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8"/>
          <w:sz w:val="56"/>
          <w:szCs w:val="56"/>
        </w:rPr>
        <w:t xml:space="preserve">BigMart Sales Prediction</w:t>
      </w:r>
    </w:p>
    <w:p>
      <w:pPr>
        <w:spacing w:after="600"/>
        <w:jc w:val="center"/>
      </w:pPr>
      <w:r>
        <w:rPr>
          <w:color w:val="444444"/>
          <w:sz w:val="30"/>
          <w:szCs w:val="30"/>
        </w:rPr>
        <w:t xml:space="preserve">Market Sales Analysis using AI / Machine Learning</w:t>
      </w:r>
    </w:p>
    <w:p>
      <w:pPr>
        <w:spacing w:after="100"/>
        <w:jc w:val="center"/>
      </w:pPr>
      <w:r>
        <w:rPr>
          <w:b/>
          <w:bCs/>
          <w:sz w:val="24"/>
          <w:szCs w:val="24"/>
        </w:rPr>
        <w:t xml:space="preserve">Internship Project Report</w:t>
      </w:r>
    </w:p>
    <w:p>
      <w:pPr>
        <w:spacing w:after="800"/>
        <w:jc w:val="center"/>
      </w:pPr>
      <w:r>
        <w:rPr>
          <w:color w:val="666666"/>
          <w:sz w:val="22"/>
          <w:szCs w:val="22"/>
        </w:rPr>
        <w:t xml:space="preserve">Data Analysis &amp; AI Internship</w:t>
      </w:r>
    </w:p>
    <w:p>
      <w:pPr>
        <w:spacing w:after="60"/>
        <w:jc w:val="center"/>
      </w:pPr>
      <w:r>
        <w:rPr>
          <w:i/>
          <w:iCs/>
          <w:sz w:val="20"/>
          <w:szCs w:val="20"/>
        </w:rPr>
        <w:t xml:space="preserve">Dataset: Big Mart Sales Data (Kaggle)</w:t>
      </w:r>
    </w:p>
    <w:p>
      <w:pPr>
        <w:spacing w:after="60"/>
        <w:jc w:val="center"/>
      </w:pPr>
      <w:r>
        <w:rPr>
          <w:i/>
          <w:iCs/>
          <w:sz w:val="20"/>
          <w:szCs w:val="20"/>
        </w:rPr>
        <w:t xml:space="preserve">Tech Stack: Python · pandas · scikit-learn · Flask · Streamlit · Plotly</w:t>
      </w:r>
    </w:p>
    <w:p>
      <w:pPr>
        <w:jc w:val="center"/>
      </w:pPr>
      <w:r>
        <w:rPr>
          <w:i/>
          <w:iCs/>
          <w:color w:val="888888"/>
          <w:sz w:val="20"/>
          <w:szCs w:val="20"/>
        </w:rPr>
        <w:t xml:space="preserve">September 2026</w:t>
      </w:r>
    </w:p>
    <w:p>
      <w:r>
        <w:br w:type="page"/>
      </w:r>
    </w:p>
    <w:p>
      <w:pPr>
        <w:pStyle w:val="Heading1"/>
        <w:spacing w:after="150" w:before="300"/>
      </w:pPr>
      <w:r>
        <w:t xml:space="preserve">1. Introduction &amp; Objective</w:t>
      </w:r>
    </w:p>
    <w:p>
      <w:pPr>
        <w:spacing w:after="160"/>
      </w:pPr>
      <w:r>
        <w:t xml:space="preserve">BigMart operates a chain of supermarkets and grocery stores across multiple cities. This project analyzes 2013 sales data for 1,559 products sold across 10 stores to understand what drives product sales, and to build an AI model capable of predicting sales for a given product-store combination.</w:t>
      </w:r>
    </w:p>
    <w:p>
      <w:pPr>
        <w:spacing w:after="100"/>
      </w:pPr>
      <w:r>
        <w:t xml:space="preserve">The project has three objectives:</w:t>
      </w:r>
    </w:p>
    <w:p>
      <w:pPr>
        <w:pStyle w:val="ListParagraph"/>
        <w:numPr>
          <w:ilvl w:val="0"/>
          <w:numId w:val="2"/>
        </w:numPr>
        <w:spacing w:after="90"/>
      </w:pPr>
      <w:r>
        <w:t xml:space="preserve">Clean and explore the raw sales data to uncover the key factors behind product sales.</w:t>
      </w:r>
    </w:p>
    <w:p>
      <w:pPr>
        <w:pStyle w:val="ListParagraph"/>
        <w:numPr>
          <w:ilvl w:val="0"/>
          <w:numId w:val="2"/>
        </w:numPr>
        <w:spacing w:after="90"/>
      </w:pPr>
      <w:r>
        <w:t xml:space="preserve">Train and compare machine learning models that predict Item Outlet Sales.</w:t>
      </w:r>
    </w:p>
    <w:p>
      <w:pPr>
        <w:pStyle w:val="ListParagraph"/>
        <w:numPr>
          <w:ilvl w:val="0"/>
          <w:numId w:val="2"/>
        </w:numPr>
        <w:spacing w:after="90"/>
      </w:pPr>
      <w:r>
        <w:t xml:space="preserve">Deploy the trained model behind a live web application (REST API + interactive dashboard) so predictions can be generated on demand, and summarize the findings as actionable business recommendations.</w:t>
      </w:r>
    </w:p>
    <w:p>
      <w:pPr>
        <w:pStyle w:val="Heading1"/>
        <w:spacing w:after="150" w:before="300"/>
      </w:pPr>
      <w:r>
        <w:t xml:space="preserve">2. Dataset Description</w:t>
      </w:r>
    </w:p>
    <w:p>
      <w:pPr>
        <w:spacing w:after="160"/>
      </w:pPr>
      <w:r>
        <w:t xml:space="preserve">Source: Big Mart Sales Data (Kaggle) — 8,523 rows and 12 columns. Target variable: Item_Outlet_Sales.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8" w:val="clear"/>
          </w:tcPr>
          <w:p>
            <w:r>
              <w:rPr>
                <w:b/>
                <w:bCs/>
                <w:color w:val="FFFFFF"/>
                <w:sz w:val="20"/>
                <w:szCs w:val="20"/>
              </w:rPr>
              <w:t xml:space="preserve">Column</w:t>
            </w:r>
          </w:p>
        </w:tc>
        <w:tc>
          <w:tcPr>
            <w:tcW w:type="dxa" w:w="6160"/>
            <w:shd w:fill="1F4E78" w:val="clear"/>
          </w:tcPr>
          <w:p>
            <w:r>
              <w:rPr>
                <w:b/>
                <w:bCs/>
                <w:color w:val="FFFFFF"/>
                <w:sz w:val="20"/>
                <w:szCs w:val="20"/>
              </w:rPr>
              <w:t xml:space="preserve">Description</w:t>
            </w:r>
          </w:p>
        </w:tc>
      </w:tr>
      <w:tr>
        <w:tc>
          <w:tcPr>
            <w:tcW w:type="dxa" w:w="3200"/>
            <w:shd w:fill="FFFFFF" w:val="clear"/>
          </w:tcPr>
          <w:p>
            <w:r>
              <w:rPr>
                <w:sz w:val="20"/>
                <w:szCs w:val="20"/>
              </w:rPr>
              <w:t xml:space="preserve">Item_Identifier</w:t>
            </w:r>
          </w:p>
        </w:tc>
        <w:tc>
          <w:tcPr>
            <w:tcW w:type="dxa" w:w="6160"/>
            <w:shd w:fill="FFFFFF" w:val="clear"/>
          </w:tcPr>
          <w:p>
            <w:r>
              <w:rPr>
                <w:sz w:val="20"/>
                <w:szCs w:val="20"/>
              </w:rPr>
              <w:t xml:space="preserve">Unique product ID</w:t>
            </w:r>
          </w:p>
        </w:tc>
      </w:tr>
      <w:tr>
        <w:tc>
          <w:tcPr>
            <w:tcW w:type="dxa" w:w="3200"/>
            <w:shd w:fill="EAF1F8" w:val="clear"/>
          </w:tcPr>
          <w:p>
            <w:r>
              <w:rPr>
                <w:sz w:val="20"/>
                <w:szCs w:val="20"/>
              </w:rPr>
              <w:t xml:space="preserve">Item_Weight</w:t>
            </w:r>
          </w:p>
        </w:tc>
        <w:tc>
          <w:tcPr>
            <w:tcW w:type="dxa" w:w="6160"/>
            <w:shd w:fill="EAF1F8" w:val="clear"/>
          </w:tcPr>
          <w:p>
            <w:r>
              <w:rPr>
                <w:sz w:val="20"/>
                <w:szCs w:val="20"/>
              </w:rPr>
              <w:t xml:space="preserve">Weight of the product</w:t>
            </w:r>
          </w:p>
        </w:tc>
      </w:tr>
      <w:tr>
        <w:tc>
          <w:tcPr>
            <w:tcW w:type="dxa" w:w="3200"/>
            <w:shd w:fill="FFFFFF" w:val="clear"/>
          </w:tcPr>
          <w:p>
            <w:r>
              <w:rPr>
                <w:sz w:val="20"/>
                <w:szCs w:val="20"/>
              </w:rPr>
              <w:t xml:space="preserve">Item_Fat_Content</w:t>
            </w:r>
          </w:p>
        </w:tc>
        <w:tc>
          <w:tcPr>
            <w:tcW w:type="dxa" w:w="6160"/>
            <w:shd w:fill="FFFFFF" w:val="clear"/>
          </w:tcPr>
          <w:p>
            <w:r>
              <w:rPr>
                <w:sz w:val="20"/>
                <w:szCs w:val="20"/>
              </w:rPr>
              <w:t xml:space="preserve">Low Fat / Regular</w:t>
            </w:r>
          </w:p>
        </w:tc>
      </w:tr>
      <w:tr>
        <w:tc>
          <w:tcPr>
            <w:tcW w:type="dxa" w:w="3200"/>
            <w:shd w:fill="EAF1F8" w:val="clear"/>
          </w:tcPr>
          <w:p>
            <w:r>
              <w:rPr>
                <w:sz w:val="20"/>
                <w:szCs w:val="20"/>
              </w:rPr>
              <w:t xml:space="preserve">Item_Visibility</w:t>
            </w:r>
          </w:p>
        </w:tc>
        <w:tc>
          <w:tcPr>
            <w:tcW w:type="dxa" w:w="6160"/>
            <w:shd w:fill="EAF1F8" w:val="clear"/>
          </w:tcPr>
          <w:p>
            <w:r>
              <w:rPr>
                <w:sz w:val="20"/>
                <w:szCs w:val="20"/>
              </w:rPr>
              <w:t xml:space="preserve">% of display area allocated to the item</w:t>
            </w:r>
          </w:p>
        </w:tc>
      </w:tr>
      <w:tr>
        <w:tc>
          <w:tcPr>
            <w:tcW w:type="dxa" w:w="3200"/>
            <w:shd w:fill="FFFFFF" w:val="clear"/>
          </w:tcPr>
          <w:p>
            <w:r>
              <w:rPr>
                <w:sz w:val="20"/>
                <w:szCs w:val="20"/>
              </w:rPr>
              <w:t xml:space="preserve">Item_Type</w:t>
            </w:r>
          </w:p>
        </w:tc>
        <w:tc>
          <w:tcPr>
            <w:tcW w:type="dxa" w:w="6160"/>
            <w:shd w:fill="FFFFFF" w:val="clear"/>
          </w:tcPr>
          <w:p>
            <w:r>
              <w:rPr>
                <w:sz w:val="20"/>
                <w:szCs w:val="20"/>
              </w:rPr>
              <w:t xml:space="preserve">Product category (Dairy, Snacks, Household, etc.)</w:t>
            </w:r>
          </w:p>
        </w:tc>
      </w:tr>
      <w:tr>
        <w:tc>
          <w:tcPr>
            <w:tcW w:type="dxa" w:w="3200"/>
            <w:shd w:fill="EAF1F8" w:val="clear"/>
          </w:tcPr>
          <w:p>
            <w:r>
              <w:rPr>
                <w:sz w:val="20"/>
                <w:szCs w:val="20"/>
              </w:rPr>
              <w:t xml:space="preserve">Item_MRP</w:t>
            </w:r>
          </w:p>
        </w:tc>
        <w:tc>
          <w:tcPr>
            <w:tcW w:type="dxa" w:w="6160"/>
            <w:shd w:fill="EAF1F8" w:val="clear"/>
          </w:tcPr>
          <w:p>
            <w:r>
              <w:rPr>
                <w:sz w:val="20"/>
                <w:szCs w:val="20"/>
              </w:rPr>
              <w:t xml:space="preserve">Maximum Retail Price</w:t>
            </w:r>
          </w:p>
        </w:tc>
      </w:tr>
      <w:tr>
        <w:tc>
          <w:tcPr>
            <w:tcW w:type="dxa" w:w="3200"/>
            <w:shd w:fill="FFFFFF" w:val="clear"/>
          </w:tcPr>
          <w:p>
            <w:r>
              <w:rPr>
                <w:sz w:val="20"/>
                <w:szCs w:val="20"/>
              </w:rPr>
              <w:t xml:space="preserve">Outlet_Identifier</w:t>
            </w:r>
          </w:p>
        </w:tc>
        <w:tc>
          <w:tcPr>
            <w:tcW w:type="dxa" w:w="6160"/>
            <w:shd w:fill="FFFFFF" w:val="clear"/>
          </w:tcPr>
          <w:p>
            <w:r>
              <w:rPr>
                <w:sz w:val="20"/>
                <w:szCs w:val="20"/>
              </w:rPr>
              <w:t xml:space="preserve">Unique store ID</w:t>
            </w:r>
          </w:p>
        </w:tc>
      </w:tr>
      <w:tr>
        <w:tc>
          <w:tcPr>
            <w:tcW w:type="dxa" w:w="3200"/>
            <w:shd w:fill="EAF1F8" w:val="clear"/>
          </w:tcPr>
          <w:p>
            <w:r>
              <w:rPr>
                <w:sz w:val="20"/>
                <w:szCs w:val="20"/>
              </w:rPr>
              <w:t xml:space="preserve">Outlet_Establishment_Year</w:t>
            </w:r>
          </w:p>
        </w:tc>
        <w:tc>
          <w:tcPr>
            <w:tcW w:type="dxa" w:w="6160"/>
            <w:shd w:fill="EAF1F8" w:val="clear"/>
          </w:tcPr>
          <w:p>
            <w:r>
              <w:rPr>
                <w:sz w:val="20"/>
                <w:szCs w:val="20"/>
              </w:rPr>
              <w:t xml:space="preserve">Year the store was opened</w:t>
            </w:r>
          </w:p>
        </w:tc>
      </w:tr>
      <w:tr>
        <w:tc>
          <w:tcPr>
            <w:tcW w:type="dxa" w:w="3200"/>
            <w:shd w:fill="FFFFFF" w:val="clear"/>
          </w:tcPr>
          <w:p>
            <w:r>
              <w:rPr>
                <w:sz w:val="20"/>
                <w:szCs w:val="20"/>
              </w:rPr>
              <w:t xml:space="preserve">Outlet_Size</w:t>
            </w:r>
          </w:p>
        </w:tc>
        <w:tc>
          <w:tcPr>
            <w:tcW w:type="dxa" w:w="6160"/>
            <w:shd w:fill="FFFFFF" w:val="clear"/>
          </w:tcPr>
          <w:p>
            <w:r>
              <w:rPr>
                <w:sz w:val="20"/>
                <w:szCs w:val="20"/>
              </w:rPr>
              <w:t xml:space="preserve">Small / Medium / High</w:t>
            </w:r>
          </w:p>
        </w:tc>
      </w:tr>
      <w:tr>
        <w:tc>
          <w:tcPr>
            <w:tcW w:type="dxa" w:w="3200"/>
            <w:shd w:fill="EAF1F8" w:val="clear"/>
          </w:tcPr>
          <w:p>
            <w:r>
              <w:rPr>
                <w:sz w:val="20"/>
                <w:szCs w:val="20"/>
              </w:rPr>
              <w:t xml:space="preserve">Outlet_Location_Type</w:t>
            </w:r>
          </w:p>
        </w:tc>
        <w:tc>
          <w:tcPr>
            <w:tcW w:type="dxa" w:w="6160"/>
            <w:shd w:fill="EAF1F8" w:val="clear"/>
          </w:tcPr>
          <w:p>
            <w:r>
              <w:rPr>
                <w:sz w:val="20"/>
                <w:szCs w:val="20"/>
              </w:rPr>
              <w:t xml:space="preserve">Tier 1 / Tier 2 / Tier 3 city</w:t>
            </w:r>
          </w:p>
        </w:tc>
      </w:tr>
      <w:tr>
        <w:tc>
          <w:tcPr>
            <w:tcW w:type="dxa" w:w="3200"/>
            <w:shd w:fill="FFFFFF" w:val="clear"/>
          </w:tcPr>
          <w:p>
            <w:r>
              <w:rPr>
                <w:sz w:val="20"/>
                <w:szCs w:val="20"/>
              </w:rPr>
              <w:t xml:space="preserve">Outlet_Type</w:t>
            </w:r>
          </w:p>
        </w:tc>
        <w:tc>
          <w:tcPr>
            <w:tcW w:type="dxa" w:w="6160"/>
            <w:shd w:fill="FFFFFF" w:val="clear"/>
          </w:tcPr>
          <w:p>
            <w:r>
              <w:rPr>
                <w:sz w:val="20"/>
                <w:szCs w:val="20"/>
              </w:rPr>
              <w:t xml:space="preserve">Grocery Store / Supermarket Type1-3</w:t>
            </w:r>
          </w:p>
        </w:tc>
      </w:tr>
      <w:tr>
        <w:tc>
          <w:tcPr>
            <w:tcW w:type="dxa" w:w="3200"/>
            <w:shd w:fill="EAF1F8" w:val="clear"/>
          </w:tcPr>
          <w:p>
            <w:r>
              <w:rPr>
                <w:sz w:val="20"/>
                <w:szCs w:val="20"/>
              </w:rPr>
              <w:t xml:space="preserve">Item_Outlet_Sales</w:t>
            </w:r>
          </w:p>
        </w:tc>
        <w:tc>
          <w:tcPr>
            <w:tcW w:type="dxa" w:w="6160"/>
            <w:shd w:fill="EAF1F8" w:val="clear"/>
          </w:tcPr>
          <w:p>
            <w:r>
              <w:rPr>
                <w:sz w:val="20"/>
                <w:szCs w:val="20"/>
              </w:rPr>
              <w:t xml:space="preserve">Target — sales of the product in that store</w:t>
            </w:r>
          </w:p>
        </w:tc>
      </w:tr>
    </w:tbl>
    <w:p>
      <w:pPr>
        <w:spacing w:after="200"/>
      </w:pPr>
    </w:p>
    <w:p>
      <w:pPr>
        <w:pStyle w:val="Heading1"/>
        <w:spacing w:after="150" w:before="300"/>
      </w:pPr>
      <w:r>
        <w:t xml:space="preserve">3. Methodology</w:t>
      </w:r>
    </w:p>
    <w:p>
      <w:pPr>
        <w:pStyle w:val="Heading2"/>
        <w:spacing w:after="150" w:before="300"/>
      </w:pPr>
      <w:r>
        <w:t xml:space="preserve">3.1 Data Cleaning</w:t>
      </w:r>
    </w:p>
    <w:p>
      <w:pPr>
        <w:pStyle w:val="ListParagraph"/>
        <w:numPr>
          <w:ilvl w:val="0"/>
          <w:numId w:val="2"/>
        </w:numPr>
        <w:spacing w:after="90"/>
      </w:pPr>
      <w:r>
        <w:t xml:space="preserve">Standardized inconsistent Item_Fat_Content labels (LF, low fat → Low Fat; reg → Regular).</w:t>
      </w:r>
    </w:p>
    <w:p>
      <w:pPr>
        <w:pStyle w:val="ListParagraph"/>
        <w:numPr>
          <w:ilvl w:val="0"/>
          <w:numId w:val="2"/>
        </w:numPr>
        <w:spacing w:after="90"/>
      </w:pPr>
      <w:r>
        <w:t xml:space="preserve">Imputed missing Item_Weight (~17% missing) using the mean weight of that specific product.</w:t>
      </w:r>
    </w:p>
    <w:p>
      <w:pPr>
        <w:pStyle w:val="ListParagraph"/>
        <w:numPr>
          <w:ilvl w:val="0"/>
          <w:numId w:val="2"/>
        </w:numPr>
        <w:spacing w:after="90"/>
      </w:pPr>
      <w:r>
        <w:t xml:space="preserve">Imputed missing Outlet_Size (~28% missing) using the most common size for that store's Outlet_Type.</w:t>
      </w:r>
    </w:p>
    <w:p>
      <w:pPr>
        <w:pStyle w:val="ListParagraph"/>
        <w:numPr>
          <w:ilvl w:val="0"/>
          <w:numId w:val="2"/>
        </w:numPr>
        <w:spacing w:after="90"/>
      </w:pPr>
      <w:r>
        <w:t xml:space="preserve">Result: a fully clean, model-ready dataset with zero missing values.</w:t>
      </w:r>
    </w:p>
    <w:p>
      <w:pPr>
        <w:pStyle w:val="Heading2"/>
        <w:spacing w:after="150" w:before="300"/>
      </w:pPr>
      <w:r>
        <w:t xml:space="preserve">3.2 Feature Engineering</w:t>
      </w:r>
    </w:p>
    <w:p>
      <w:pPr>
        <w:pStyle w:val="ListParagraph"/>
        <w:numPr>
          <w:ilvl w:val="0"/>
          <w:numId w:val="2"/>
        </w:numPr>
        <w:spacing w:after="90"/>
      </w:pPr>
      <w:r>
        <w:t xml:space="preserve">Outlet_Age — years since the store opened (reference year 2013).</w:t>
      </w:r>
    </w:p>
    <w:p>
      <w:pPr>
        <w:pStyle w:val="ListParagraph"/>
        <w:numPr>
          <w:ilvl w:val="0"/>
          <w:numId w:val="2"/>
        </w:numPr>
        <w:spacing w:after="90"/>
      </w:pPr>
      <w:r>
        <w:t xml:space="preserve">Item_Category — consolidated the 16 Item_Type values into Food / Drinks / Non-Consumable.</w:t>
      </w:r>
    </w:p>
    <w:p>
      <w:pPr>
        <w:pStyle w:val="ListParagraph"/>
        <w:numPr>
          <w:ilvl w:val="0"/>
          <w:numId w:val="2"/>
        </w:numPr>
        <w:spacing w:after="90"/>
      </w:pPr>
      <w:r>
        <w:t xml:space="preserve">Outlet_Identifier and a derived MRP price-bucket were deliberately excluded from the deployed model so predictions generalize to new, hypothetical stores rather than only the 10 stores seen in training.</w:t>
      </w:r>
    </w:p>
    <w:p>
      <w:pPr>
        <w:pStyle w:val="Heading2"/>
        <w:spacing w:after="150" w:before="300"/>
      </w:pPr>
      <w:r>
        <w:t xml:space="preserve">3.3 Exploratory Data Analysis</w:t>
      </w:r>
    </w:p>
    <w:p>
      <w:pPr>
        <w:spacing w:after="160"/>
      </w:pPr>
      <w:r>
        <w:t xml:space="preserve">Item_Outlet_Sales is right-skewed: most products sell modestly, with a long tail of high performers.</w:t>
      </w:r>
    </w:p>
    <w:p>
      <w:pPr>
        <w:spacing w:after="60" w:before="120"/>
        <w:jc w:val="center"/>
      </w:pPr>
      <w:r>
        <w:drawing>
          <wp:inline distT="0" distB="0" distL="0" distR="0">
            <wp:extent cx="4953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676400"/>
                    </a:xfrm>
                    <a:prstGeom prst="rect">
                      <a:avLst/>
                    </a:prstGeom>
                  </pic:spPr>
                </pic:pic>
              </a:graphicData>
            </a:graphic>
          </wp:inline>
        </w:drawing>
      </w:r>
    </w:p>
    <w:p>
      <w:pPr>
        <w:spacing w:after="200"/>
        <w:jc w:val="center"/>
      </w:pPr>
      <w:r>
        <w:rPr>
          <w:i/>
          <w:iCs/>
          <w:color w:val="555555"/>
          <w:sz w:val="18"/>
          <w:szCs w:val="18"/>
        </w:rPr>
        <w:t xml:space="preserve">Figure 1. Distribution of Item Outlet Sales</w:t>
      </w:r>
    </w:p>
    <w:p>
      <w:pPr>
        <w:spacing w:after="160"/>
      </w:pPr>
      <w:r>
        <w:t xml:space="preserve">Store format is one of the strongest sales drivers — Supermarket Type3 massively outsells Grocery Store outlets, more than store size or city tier.</w:t>
      </w:r>
    </w:p>
    <w:p>
      <w:pPr>
        <w:spacing w:after="60" w:before="120"/>
        <w:jc w:val="center"/>
      </w:pPr>
      <w:r>
        <w:drawing>
          <wp:inline distT="0" distB="0" distL="0" distR="0">
            <wp:extent cx="4953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514475"/>
                    </a:xfrm>
                    <a:prstGeom prst="rect">
                      <a:avLst/>
                    </a:prstGeom>
                  </pic:spPr>
                </pic:pic>
              </a:graphicData>
            </a:graphic>
          </wp:inline>
        </w:drawing>
      </w:r>
    </w:p>
    <w:p>
      <w:pPr>
        <w:spacing w:after="200"/>
        <w:jc w:val="center"/>
      </w:pPr>
      <w:r>
        <w:rPr>
          <w:i/>
          <w:iCs/>
          <w:color w:val="555555"/>
          <w:sz w:val="18"/>
          <w:szCs w:val="18"/>
        </w:rPr>
        <w:t xml:space="preserve">Figure 2. Sales by Outlet Type, Size, and Location Tier</w:t>
      </w:r>
    </w:p>
    <w:p>
      <w:pPr>
        <w:spacing w:after="60" w:before="120"/>
        <w:jc w:val="center"/>
      </w:pPr>
      <w:r>
        <w:drawing>
          <wp:inline distT="0" distB="0" distL="0" distR="0">
            <wp:extent cx="4953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19250"/>
                    </a:xfrm>
                    <a:prstGeom prst="rect">
                      <a:avLst/>
                    </a:prstGeom>
                  </pic:spPr>
                </pic:pic>
              </a:graphicData>
            </a:graphic>
          </wp:inline>
        </w:drawing>
      </w:r>
    </w:p>
    <w:p>
      <w:pPr>
        <w:spacing w:after="200"/>
        <w:jc w:val="center"/>
      </w:pPr>
      <w:r>
        <w:rPr>
          <w:i/>
          <w:iCs/>
          <w:color w:val="555555"/>
          <w:sz w:val="18"/>
          <w:szCs w:val="18"/>
        </w:rPr>
        <w:t xml:space="preserve">Figure 3. Average Sales by Item Category and Top Item Types</w:t>
      </w:r>
    </w:p>
    <w:p>
      <w:pPr>
        <w:spacing w:after="160"/>
      </w:pPr>
      <w:r>
        <w:t xml:space="preserve">Item_MRP (price) shows a clear positive relationship with sales, visible as upward bands in the scatter plot; among numeric features, only price correlates meaningfully with the target.</w:t>
      </w:r>
    </w:p>
    <w:p>
      <w:pPr>
        <w:spacing w:after="60" w:before="120"/>
        <w:jc w:val="center"/>
      </w:pPr>
      <w:r>
        <w:drawing>
          <wp:inline distT="0" distB="0" distL="0" distR="0">
            <wp:extent cx="4953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790700"/>
                    </a:xfrm>
                    <a:prstGeom prst="rect">
                      <a:avLst/>
                    </a:prstGeom>
                  </pic:spPr>
                </pic:pic>
              </a:graphicData>
            </a:graphic>
          </wp:inline>
        </w:drawing>
      </w:r>
    </w:p>
    <w:p>
      <w:pPr>
        <w:spacing w:after="200"/>
        <w:jc w:val="center"/>
      </w:pPr>
      <w:r>
        <w:rPr>
          <w:i/>
          <w:iCs/>
          <w:color w:val="555555"/>
          <w:sz w:val="18"/>
          <w:szCs w:val="18"/>
        </w:rPr>
        <w:t xml:space="preserve">Figure 4. Item MRP vs. Sales, and Correlation Heatmap</w:t>
      </w:r>
    </w:p>
    <w:p>
      <w:pPr>
        <w:pStyle w:val="Heading2"/>
        <w:spacing w:after="150" w:before="300"/>
      </w:pPr>
      <w:r>
        <w:t xml:space="preserve">3.4 Model Training</w:t>
      </w:r>
    </w:p>
    <w:p>
      <w:pPr>
        <w:spacing w:after="160"/>
      </w:pPr>
      <w:r>
        <w:t xml:space="preserve">Categorical features were label-encoded and the data was split 80/20 into train and test sets. Three regression models were trained and compared to predict Item_Outlet_Sales:</w:t>
      </w:r>
    </w:p>
    <w:p>
      <w:pPr>
        <w:pStyle w:val="ListParagraph"/>
        <w:numPr>
          <w:ilvl w:val="0"/>
          <w:numId w:val="2"/>
        </w:numPr>
        <w:spacing w:after="90"/>
      </w:pPr>
      <w:r>
        <w:t xml:space="preserve">Linear Regression — simple baseline</w:t>
      </w:r>
    </w:p>
    <w:p>
      <w:pPr>
        <w:pStyle w:val="ListParagraph"/>
        <w:numPr>
          <w:ilvl w:val="0"/>
          <w:numId w:val="2"/>
        </w:numPr>
        <w:spacing w:after="90"/>
      </w:pPr>
      <w:r>
        <w:t xml:space="preserve">Random Forest Regressor — captures non-linear relationships and feature interactions</w:t>
      </w:r>
    </w:p>
    <w:p>
      <w:pPr>
        <w:pStyle w:val="ListParagraph"/>
        <w:numPr>
          <w:ilvl w:val="0"/>
          <w:numId w:val="2"/>
        </w:numPr>
        <w:spacing w:after="90"/>
      </w:pPr>
      <w:r>
        <w:t xml:space="preserve">XGBoost Regressor — gradient boosting, typically strong on tabular data</w:t>
      </w:r>
    </w:p>
    <w:p>
      <w:r>
        <w:br w:type="page"/>
      </w:r>
    </w:p>
    <w:p>
      <w:pPr>
        <w:pStyle w:val="Heading1"/>
        <w:spacing w:after="150" w:before="300"/>
      </w:pPr>
      <w:r>
        <w:t xml:space="preserve">4.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shd w:fill="1F4E78" w:val="clear"/>
          </w:tcPr>
          <w:p>
            <w:r>
              <w:rPr>
                <w:b/>
                <w:bCs/>
                <w:color w:val="FFFFFF"/>
                <w:sz w:val="20"/>
                <w:szCs w:val="20"/>
              </w:rPr>
              <w:t xml:space="preserve">Model</w:t>
            </w:r>
          </w:p>
        </w:tc>
        <w:tc>
          <w:tcPr>
            <w:tcW w:type="dxa" w:w="2050"/>
            <w:shd w:fill="1F4E78" w:val="clear"/>
          </w:tcPr>
          <w:p>
            <w:r>
              <w:rPr>
                <w:b/>
                <w:bCs/>
                <w:color w:val="FFFFFF"/>
                <w:sz w:val="20"/>
                <w:szCs w:val="20"/>
              </w:rPr>
              <w:t xml:space="preserve">RMSE</w:t>
            </w:r>
          </w:p>
        </w:tc>
        <w:tc>
          <w:tcPr>
            <w:tcW w:type="dxa" w:w="2050"/>
            <w:shd w:fill="1F4E78" w:val="clear"/>
          </w:tcPr>
          <w:p>
            <w:r>
              <w:rPr>
                <w:b/>
                <w:bCs/>
                <w:color w:val="FFFFFF"/>
                <w:sz w:val="20"/>
                <w:szCs w:val="20"/>
              </w:rPr>
              <w:t xml:space="preserve">MAE</w:t>
            </w:r>
          </w:p>
        </w:tc>
        <w:tc>
          <w:tcPr>
            <w:tcW w:type="dxa" w:w="2060"/>
            <w:shd w:fill="1F4E78" w:val="clear"/>
          </w:tcPr>
          <w:p>
            <w:r>
              <w:rPr>
                <w:b/>
                <w:bCs/>
                <w:color w:val="FFFFFF"/>
                <w:sz w:val="20"/>
                <w:szCs w:val="20"/>
              </w:rPr>
              <w:t xml:space="preserve">R² Score</w:t>
            </w:r>
          </w:p>
        </w:tc>
      </w:tr>
      <w:tr>
        <w:tc>
          <w:tcPr>
            <w:tcW w:type="dxa" w:w="3200"/>
            <w:shd w:fill="FFFFFF" w:val="clear"/>
          </w:tcPr>
          <w:p>
            <w:r>
              <w:rPr>
                <w:sz w:val="20"/>
                <w:szCs w:val="20"/>
              </w:rPr>
              <w:t xml:space="preserve">Random Forest (deployed)</w:t>
            </w:r>
          </w:p>
        </w:tc>
        <w:tc>
          <w:tcPr>
            <w:tcW w:type="dxa" w:w="2050"/>
            <w:shd w:fill="FFFFFF" w:val="clear"/>
          </w:tcPr>
          <w:p>
            <w:r>
              <w:rPr>
                <w:sz w:val="20"/>
                <w:szCs w:val="20"/>
              </w:rPr>
              <w:t xml:space="preserve">1022.68</w:t>
            </w:r>
          </w:p>
        </w:tc>
        <w:tc>
          <w:tcPr>
            <w:tcW w:type="dxa" w:w="2050"/>
            <w:shd w:fill="FFFFFF" w:val="clear"/>
          </w:tcPr>
          <w:p>
            <w:r>
              <w:rPr>
                <w:sz w:val="20"/>
                <w:szCs w:val="20"/>
              </w:rPr>
              <w:t xml:space="preserve">716.03</w:t>
            </w:r>
          </w:p>
        </w:tc>
        <w:tc>
          <w:tcPr>
            <w:tcW w:type="dxa" w:w="2060"/>
            <w:shd w:fill="FFFFFF" w:val="clear"/>
          </w:tcPr>
          <w:p>
            <w:r>
              <w:rPr>
                <w:sz w:val="20"/>
                <w:szCs w:val="20"/>
              </w:rPr>
              <w:t xml:space="preserve">0.6152</w:t>
            </w:r>
          </w:p>
        </w:tc>
      </w:tr>
      <w:tr>
        <w:tc>
          <w:tcPr>
            <w:tcW w:type="dxa" w:w="3200"/>
            <w:shd w:fill="EAF1F8" w:val="clear"/>
          </w:tcPr>
          <w:p>
            <w:r>
              <w:rPr>
                <w:sz w:val="20"/>
                <w:szCs w:val="20"/>
              </w:rPr>
              <w:t xml:space="preserve">XGBoost</w:t>
            </w:r>
          </w:p>
        </w:tc>
        <w:tc>
          <w:tcPr>
            <w:tcW w:type="dxa" w:w="2050"/>
            <w:shd w:fill="EAF1F8" w:val="clear"/>
          </w:tcPr>
          <w:p>
            <w:r>
              <w:rPr>
                <w:sz w:val="20"/>
                <w:szCs w:val="20"/>
              </w:rPr>
              <w:t xml:space="preserve">1033.55</w:t>
            </w:r>
          </w:p>
        </w:tc>
        <w:tc>
          <w:tcPr>
            <w:tcW w:type="dxa" w:w="2050"/>
            <w:shd w:fill="EAF1F8" w:val="clear"/>
          </w:tcPr>
          <w:p>
            <w:r>
              <w:rPr>
                <w:sz w:val="20"/>
                <w:szCs w:val="20"/>
              </w:rPr>
              <w:t xml:space="preserve">723.03</w:t>
            </w:r>
          </w:p>
        </w:tc>
        <w:tc>
          <w:tcPr>
            <w:tcW w:type="dxa" w:w="2060"/>
            <w:shd w:fill="EAF1F8" w:val="clear"/>
          </w:tcPr>
          <w:p>
            <w:r>
              <w:rPr>
                <w:sz w:val="20"/>
                <w:szCs w:val="20"/>
              </w:rPr>
              <w:t xml:space="preserve">0.6070</w:t>
            </w:r>
          </w:p>
        </w:tc>
      </w:tr>
      <w:tr>
        <w:tc>
          <w:tcPr>
            <w:tcW w:type="dxa" w:w="3200"/>
            <w:shd w:fill="FFFFFF" w:val="clear"/>
          </w:tcPr>
          <w:p>
            <w:r>
              <w:rPr>
                <w:sz w:val="20"/>
                <w:szCs w:val="20"/>
              </w:rPr>
              <w:t xml:space="preserve">Linear Regression</w:t>
            </w:r>
          </w:p>
        </w:tc>
        <w:tc>
          <w:tcPr>
            <w:tcW w:type="dxa" w:w="2050"/>
            <w:shd w:fill="FFFFFF" w:val="clear"/>
          </w:tcPr>
          <w:p>
            <w:r>
              <w:rPr>
                <w:sz w:val="20"/>
                <w:szCs w:val="20"/>
              </w:rPr>
              <w:t xml:space="preserve">1142.93</w:t>
            </w:r>
          </w:p>
        </w:tc>
        <w:tc>
          <w:tcPr>
            <w:tcW w:type="dxa" w:w="2050"/>
            <w:shd w:fill="FFFFFF" w:val="clear"/>
          </w:tcPr>
          <w:p>
            <w:r>
              <w:rPr>
                <w:sz w:val="20"/>
                <w:szCs w:val="20"/>
              </w:rPr>
              <w:t xml:space="preserve">856.35</w:t>
            </w:r>
          </w:p>
        </w:tc>
        <w:tc>
          <w:tcPr>
            <w:tcW w:type="dxa" w:w="2060"/>
            <w:shd w:fill="FFFFFF" w:val="clear"/>
          </w:tcPr>
          <w:p>
            <w:r>
              <w:rPr>
                <w:sz w:val="20"/>
                <w:szCs w:val="20"/>
              </w:rPr>
              <w:t xml:space="preserve">0.5194</w:t>
            </w:r>
          </w:p>
        </w:tc>
      </w:tr>
    </w:tbl>
    <w:p>
      <w:pPr>
        <w:spacing w:after="200"/>
      </w:pPr>
    </w:p>
    <w:p>
      <w:pPr>
        <w:spacing w:after="60" w:before="120"/>
        <w:jc w:val="center"/>
      </w:pPr>
      <w:r>
        <w:drawing>
          <wp:inline distT="0" distB="0" distL="0" distR="0">
            <wp:extent cx="4953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81350"/>
                    </a:xfrm>
                    <a:prstGeom prst="rect">
                      <a:avLst/>
                    </a:prstGeom>
                  </pic:spPr>
                </pic:pic>
              </a:graphicData>
            </a:graphic>
          </wp:inline>
        </w:drawing>
      </w:r>
    </w:p>
    <w:p>
      <w:pPr>
        <w:spacing w:after="200"/>
        <w:jc w:val="center"/>
      </w:pPr>
      <w:r>
        <w:rPr>
          <w:i/>
          <w:iCs/>
          <w:color w:val="555555"/>
          <w:sz w:val="18"/>
          <w:szCs w:val="18"/>
        </w:rPr>
        <w:t xml:space="preserve">Figure 5. Model Comparison — R² Score</w:t>
      </w:r>
    </w:p>
    <w:p>
      <w:pPr>
        <w:spacing w:after="160"/>
      </w:pPr>
      <w:r>
        <w:t xml:space="preserve">Random Forest was selected as the deployed model. Item_MRP and Outlet_Type dominate its predictions, together accounting for the large majority of the model's predictive power — store format and product pricing matter far more than product weight, fat content, or shelf visibility.</w:t>
      </w:r>
    </w:p>
    <w:p>
      <w:pPr>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33775"/>
                    </a:xfrm>
                    <a:prstGeom prst="rect">
                      <a:avLst/>
                    </a:prstGeom>
                  </pic:spPr>
                </pic:pic>
              </a:graphicData>
            </a:graphic>
          </wp:inline>
        </w:drawing>
      </w:r>
    </w:p>
    <w:p>
      <w:pPr>
        <w:spacing w:after="200"/>
        <w:jc w:val="center"/>
      </w:pPr>
      <w:r>
        <w:rPr>
          <w:i/>
          <w:iCs/>
          <w:color w:val="555555"/>
          <w:sz w:val="18"/>
          <w:szCs w:val="18"/>
        </w:rPr>
        <w:t xml:space="preserve">Figure 6. Feature Importance (Random Forest)</w:t>
      </w:r>
    </w:p>
    <w:p>
      <w:pPr>
        <w:spacing w:after="160"/>
      </w:pPr>
      <w:r>
        <w:t xml:space="preserve">The diagnostics below show predictions tracking actual sales reasonably well, with residuals centered close to zero and no strong systematic bias, though variance increases for very high-sales outliers.</w:t>
      </w:r>
    </w:p>
    <w:p>
      <w:pPr>
        <w:spacing w:after="60" w:before="120"/>
        <w:jc w:val="center"/>
      </w:pPr>
      <w:r>
        <w:drawing>
          <wp:inline distT="0" distB="0" distL="0" distR="0">
            <wp:extent cx="4953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66925"/>
                    </a:xfrm>
                    <a:prstGeom prst="rect">
                      <a:avLst/>
                    </a:prstGeom>
                  </pic:spPr>
                </pic:pic>
              </a:graphicData>
            </a:graphic>
          </wp:inline>
        </w:drawing>
      </w:r>
    </w:p>
    <w:p>
      <w:pPr>
        <w:spacing w:after="200"/>
        <w:jc w:val="center"/>
      </w:pPr>
      <w:r>
        <w:rPr>
          <w:i/>
          <w:iCs/>
          <w:color w:val="555555"/>
          <w:sz w:val="18"/>
          <w:szCs w:val="18"/>
        </w:rPr>
        <w:t xml:space="preserve">Figure 7. Actual vs. Predicted Sales and Residual Distribution</w:t>
      </w:r>
    </w:p>
    <w:p>
      <w:pPr>
        <w:pStyle w:val="Heading1"/>
        <w:spacing w:after="150" w:before="300"/>
      </w:pPr>
      <w:r>
        <w:t xml:space="preserve">5. Business Insights &amp; Recommendations</w:t>
      </w:r>
    </w:p>
    <w:p>
      <w:pPr>
        <w:pStyle w:val="ListParagraph"/>
        <w:numPr>
          <w:ilvl w:val="0"/>
          <w:numId w:val="2"/>
        </w:numPr>
        <w:spacing w:after="90"/>
      </w:pPr>
      <w:r>
        <w:t xml:space="preserve">Store format (Outlet_Type) and price (Item_MRP) are the two biggest sales drivers — decisions about which store format to open matter more than fine-tuning individual product attributes.</w:t>
      </w:r>
    </w:p>
    <w:p>
      <w:pPr>
        <w:pStyle w:val="ListParagraph"/>
        <w:numPr>
          <w:ilvl w:val="0"/>
          <w:numId w:val="2"/>
        </w:numPr>
        <w:spacing w:after="90"/>
      </w:pPr>
      <w:r>
        <w:t xml:space="preserve">Grocery Stores dramatically underperform Supermarkets; converting or upgrading Grocery Store locations to a Supermarket format is likely to lift revenue substantially.</w:t>
      </w:r>
    </w:p>
    <w:p>
      <w:pPr>
        <w:pStyle w:val="ListParagraph"/>
        <w:numPr>
          <w:ilvl w:val="0"/>
          <w:numId w:val="2"/>
        </w:numPr>
        <w:spacing w:after="90"/>
      </w:pPr>
      <w:r>
        <w:t xml:space="preserve">Store age has little effect on sales — the oldest outlet in the data is actually the weakest performer, pointing to a format problem rather than a maturity problem.</w:t>
      </w:r>
    </w:p>
    <w:p>
      <w:pPr>
        <w:pStyle w:val="ListParagraph"/>
        <w:numPr>
          <w:ilvl w:val="0"/>
          <w:numId w:val="2"/>
        </w:numPr>
        <w:spacing w:after="90"/>
      </w:pPr>
      <w:r>
        <w:t xml:space="preserve">Item weight, fat content, and shelf visibility have minimal impact on sales; resources are better spent on pricing and store-format strategy than shelf placement.</w:t>
      </w:r>
    </w:p>
    <w:p>
      <w:pPr>
        <w:pStyle w:val="ListParagraph"/>
        <w:numPr>
          <w:ilvl w:val="0"/>
          <w:numId w:val="2"/>
        </w:numPr>
        <w:spacing w:after="90"/>
      </w:pPr>
      <w:r>
        <w:t xml:space="preserve">The trained model can flag under-performing product-store combinations (large gap between predicted and actual sales) for manual review — e.g. stock-outs or local demand issues.</w:t>
      </w:r>
    </w:p>
    <w:p>
      <w:pPr>
        <w:pStyle w:val="Heading1"/>
        <w:spacing w:after="150" w:before="300"/>
      </w:pPr>
      <w:r>
        <w:t xml:space="preserve">6. System Architecture</w:t>
      </w:r>
    </w:p>
    <w:p>
      <w:pPr>
        <w:spacing w:after="160"/>
      </w:pPr>
      <w:r>
        <w:t xml:space="preserve">The trained model is deployed behind a small full-stack application so predictions can be generated live rather than only inside a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F4E78" w:val="clear"/>
          </w:tcPr>
          <w:p>
            <w:r>
              <w:rPr>
                <w:b/>
                <w:bCs/>
                <w:color w:val="FFFFFF"/>
                <w:sz w:val="20"/>
                <w:szCs w:val="20"/>
              </w:rPr>
              <w:t xml:space="preserve">Layer</w:t>
            </w:r>
          </w:p>
        </w:tc>
        <w:tc>
          <w:tcPr>
            <w:tcW w:type="dxa" w:w="3200"/>
            <w:shd w:fill="1F4E78" w:val="clear"/>
          </w:tcPr>
          <w:p>
            <w:r>
              <w:rPr>
                <w:b/>
                <w:bCs/>
                <w:color w:val="FFFFFF"/>
                <w:sz w:val="20"/>
                <w:szCs w:val="20"/>
              </w:rPr>
              <w:t xml:space="preserve">Technology</w:t>
            </w:r>
          </w:p>
        </w:tc>
        <w:tc>
          <w:tcPr>
            <w:tcW w:type="dxa" w:w="3960"/>
            <w:shd w:fill="1F4E78" w:val="clear"/>
          </w:tcPr>
          <w:p>
            <w:r>
              <w:rPr>
                <w:b/>
                <w:bCs/>
                <w:color w:val="FFFFFF"/>
                <w:sz w:val="20"/>
                <w:szCs w:val="20"/>
              </w:rPr>
              <w:t xml:space="preserve">Role</w:t>
            </w:r>
          </w:p>
        </w:tc>
      </w:tr>
      <w:tr>
        <w:tc>
          <w:tcPr>
            <w:tcW w:type="dxa" w:w="2200"/>
            <w:shd w:fill="FFFFFF" w:val="clear"/>
          </w:tcPr>
          <w:p>
            <w:r>
              <w:rPr>
                <w:sz w:val="20"/>
                <w:szCs w:val="20"/>
              </w:rPr>
              <w:t xml:space="preserve">ML Model</w:t>
            </w:r>
          </w:p>
        </w:tc>
        <w:tc>
          <w:tcPr>
            <w:tcW w:type="dxa" w:w="3200"/>
            <w:shd w:fill="FFFFFF" w:val="clear"/>
          </w:tcPr>
          <w:p>
            <w:r>
              <w:rPr>
                <w:sz w:val="20"/>
                <w:szCs w:val="20"/>
              </w:rPr>
              <w:t xml:space="preserve">scikit-learn (Random Forest)</w:t>
            </w:r>
          </w:p>
        </w:tc>
        <w:tc>
          <w:tcPr>
            <w:tcW w:type="dxa" w:w="3960"/>
            <w:shd w:fill="FFFFFF" w:val="clear"/>
          </w:tcPr>
          <w:p>
            <w:r>
              <w:rPr>
                <w:sz w:val="20"/>
                <w:szCs w:val="20"/>
              </w:rPr>
              <w:t xml:space="preserve">Predicts Item_Outlet_Sales</w:t>
            </w:r>
          </w:p>
        </w:tc>
      </w:tr>
      <w:tr>
        <w:tc>
          <w:tcPr>
            <w:tcW w:type="dxa" w:w="2200"/>
            <w:shd w:fill="EAF1F8" w:val="clear"/>
          </w:tcPr>
          <w:p>
            <w:r>
              <w:rPr>
                <w:sz w:val="20"/>
                <w:szCs w:val="20"/>
              </w:rPr>
              <w:t xml:space="preserve">Backend</w:t>
            </w:r>
          </w:p>
        </w:tc>
        <w:tc>
          <w:tcPr>
            <w:tcW w:type="dxa" w:w="3200"/>
            <w:shd w:fill="EAF1F8" w:val="clear"/>
          </w:tcPr>
          <w:p>
            <w:r>
              <w:rPr>
                <w:sz w:val="20"/>
                <w:szCs w:val="20"/>
              </w:rPr>
              <w:t xml:space="preserve">Flask REST API</w:t>
            </w:r>
          </w:p>
        </w:tc>
        <w:tc>
          <w:tcPr>
            <w:tcW w:type="dxa" w:w="3960"/>
            <w:shd w:fill="EAF1F8" w:val="clear"/>
          </w:tcPr>
          <w:p>
            <w:r>
              <w:rPr>
                <w:sz w:val="20"/>
                <w:szCs w:val="20"/>
              </w:rPr>
              <w:t xml:space="preserve">Serves predictions and model/data endpoints</w:t>
            </w:r>
          </w:p>
        </w:tc>
      </w:tr>
      <w:tr>
        <w:tc>
          <w:tcPr>
            <w:tcW w:type="dxa" w:w="2200"/>
            <w:shd w:fill="FFFFFF" w:val="clear"/>
          </w:tcPr>
          <w:p>
            <w:r>
              <w:rPr>
                <w:sz w:val="20"/>
                <w:szCs w:val="20"/>
              </w:rPr>
              <w:t xml:space="preserve">Frontend</w:t>
            </w:r>
          </w:p>
        </w:tc>
        <w:tc>
          <w:tcPr>
            <w:tcW w:type="dxa" w:w="3200"/>
            <w:shd w:fill="FFFFFF" w:val="clear"/>
          </w:tcPr>
          <w:p>
            <w:r>
              <w:rPr>
                <w:sz w:val="20"/>
                <w:szCs w:val="20"/>
              </w:rPr>
              <w:t xml:space="preserve">Streamlit + Plotly</w:t>
            </w:r>
          </w:p>
        </w:tc>
        <w:tc>
          <w:tcPr>
            <w:tcW w:type="dxa" w:w="3960"/>
            <w:shd w:fill="FFFFFF" w:val="clear"/>
          </w:tcPr>
          <w:p>
            <w:r>
              <w:rPr>
                <w:sz w:val="20"/>
                <w:szCs w:val="20"/>
              </w:rPr>
              <w:t xml:space="preserve">Interactive dashboard for predictions and EDA</w:t>
            </w:r>
          </w:p>
        </w:tc>
      </w:tr>
      <w:tr>
        <w:tc>
          <w:tcPr>
            <w:tcW w:type="dxa" w:w="2200"/>
            <w:shd w:fill="EAF1F8" w:val="clear"/>
          </w:tcPr>
          <w:p>
            <w:r>
              <w:rPr>
                <w:sz w:val="20"/>
                <w:szCs w:val="20"/>
              </w:rPr>
              <w:t xml:space="preserve">Data</w:t>
            </w:r>
          </w:p>
        </w:tc>
        <w:tc>
          <w:tcPr>
            <w:tcW w:type="dxa" w:w="3200"/>
            <w:shd w:fill="EAF1F8" w:val="clear"/>
          </w:tcPr>
          <w:p>
            <w:r>
              <w:rPr>
                <w:sz w:val="20"/>
                <w:szCs w:val="20"/>
              </w:rPr>
              <w:t xml:space="preserve">pandas, numpy</w:t>
            </w:r>
          </w:p>
        </w:tc>
        <w:tc>
          <w:tcPr>
            <w:tcW w:type="dxa" w:w="3960"/>
            <w:shd w:fill="EAF1F8" w:val="clear"/>
          </w:tcPr>
          <w:p>
            <w:r>
              <w:rPr>
                <w:sz w:val="20"/>
                <w:szCs w:val="20"/>
              </w:rPr>
              <w:t xml:space="preserve">Cleaning, feature engineering</w:t>
            </w:r>
          </w:p>
        </w:tc>
      </w:tr>
    </w:tbl>
    <w:p>
      <w:pPr>
        <w:spacing w:after="150"/>
      </w:pPr>
    </w:p>
    <w:p>
      <w:pPr>
        <w:spacing w:after="160"/>
      </w:pPr>
      <w:r>
        <w:rPr>
          <w:b/>
          <w:bCs/>
        </w:rPr>
        <w:t xml:space="preserve">API Endpoints (Flask backend, http://localhost:5000):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rPr>
          <w:tblHeader/>
        </w:trPr>
        <w:tc>
          <w:tcPr>
            <w:tcW w:type="dxa" w:w="1600"/>
            <w:shd w:fill="1F4E78" w:val="clear"/>
          </w:tcPr>
          <w:p>
            <w:r>
              <w:rPr>
                <w:b/>
                <w:bCs/>
                <w:color w:val="FFFFFF"/>
                <w:sz w:val="20"/>
                <w:szCs w:val="20"/>
              </w:rPr>
              <w:t xml:space="preserve">Method</w:t>
            </w:r>
          </w:p>
        </w:tc>
        <w:tc>
          <w:tcPr>
            <w:tcW w:type="dxa" w:w="1900"/>
            <w:shd w:fill="1F4E78" w:val="clear"/>
          </w:tcPr>
          <w:p>
            <w:r>
              <w:rPr>
                <w:b/>
                <w:bCs/>
                <w:color w:val="FFFFFF"/>
                <w:sz w:val="20"/>
                <w:szCs w:val="20"/>
              </w:rPr>
              <w:t xml:space="preserve">Endpoint</w:t>
            </w:r>
          </w:p>
        </w:tc>
        <w:tc>
          <w:tcPr>
            <w:tcW w:type="dxa" w:w="5860"/>
            <w:shd w:fill="1F4E78" w:val="clear"/>
          </w:tcPr>
          <w:p>
            <w:r>
              <w:rPr>
                <w:b/>
                <w:bCs/>
                <w:color w:val="FFFFFF"/>
                <w:sz w:val="20"/>
                <w:szCs w:val="20"/>
              </w:rPr>
              <w:t xml:space="preserve">Description</w:t>
            </w:r>
          </w:p>
        </w:tc>
      </w:tr>
      <w:tr>
        <w:tc>
          <w:tcPr>
            <w:tcW w:type="dxa" w:w="1600"/>
            <w:shd w:fill="FFFFFF" w:val="clear"/>
          </w:tcPr>
          <w:p>
            <w:r>
              <w:rPr>
                <w:sz w:val="20"/>
                <w:szCs w:val="20"/>
              </w:rPr>
              <w:t xml:space="preserve">GET</w:t>
            </w:r>
          </w:p>
        </w:tc>
        <w:tc>
          <w:tcPr>
            <w:tcW w:type="dxa" w:w="1900"/>
            <w:shd w:fill="FFFFFF" w:val="clear"/>
          </w:tcPr>
          <w:p>
            <w:r>
              <w:rPr>
                <w:sz w:val="20"/>
                <w:szCs w:val="20"/>
              </w:rPr>
              <w:t xml:space="preserve">/health</w:t>
            </w:r>
          </w:p>
        </w:tc>
        <w:tc>
          <w:tcPr>
            <w:tcW w:type="dxa" w:w="5860"/>
            <w:shd w:fill="FFFFFF" w:val="clear"/>
          </w:tcPr>
          <w:p>
            <w:r>
              <w:rPr>
                <w:sz w:val="20"/>
                <w:szCs w:val="20"/>
              </w:rPr>
              <w:t xml:space="preserve">Health check</w:t>
            </w:r>
          </w:p>
        </w:tc>
      </w:tr>
      <w:tr>
        <w:tc>
          <w:tcPr>
            <w:tcW w:type="dxa" w:w="1600"/>
            <w:shd w:fill="EAF1F8" w:val="clear"/>
          </w:tcPr>
          <w:p>
            <w:r>
              <w:rPr>
                <w:sz w:val="20"/>
                <w:szCs w:val="20"/>
              </w:rPr>
              <w:t xml:space="preserve">POST</w:t>
            </w:r>
          </w:p>
        </w:tc>
        <w:tc>
          <w:tcPr>
            <w:tcW w:type="dxa" w:w="1900"/>
            <w:shd w:fill="EAF1F8" w:val="clear"/>
          </w:tcPr>
          <w:p>
            <w:r>
              <w:rPr>
                <w:sz w:val="20"/>
                <w:szCs w:val="20"/>
              </w:rPr>
              <w:t xml:space="preserve">/predict</w:t>
            </w:r>
          </w:p>
        </w:tc>
        <w:tc>
          <w:tcPr>
            <w:tcW w:type="dxa" w:w="5860"/>
            <w:shd w:fill="EAF1F8" w:val="clear"/>
          </w:tcPr>
          <w:p>
            <w:r>
              <w:rPr>
                <w:sz w:val="20"/>
                <w:szCs w:val="20"/>
              </w:rPr>
              <w:t xml:space="preserve">Predict sales for a product/store combination</w:t>
            </w:r>
          </w:p>
        </w:tc>
      </w:tr>
      <w:tr>
        <w:tc>
          <w:tcPr>
            <w:tcW w:type="dxa" w:w="1600"/>
            <w:shd w:fill="FFFFFF" w:val="clear"/>
          </w:tcPr>
          <w:p>
            <w:r>
              <w:rPr>
                <w:sz w:val="20"/>
                <w:szCs w:val="20"/>
              </w:rPr>
              <w:t xml:space="preserve">GET</w:t>
            </w:r>
          </w:p>
        </w:tc>
        <w:tc>
          <w:tcPr>
            <w:tcW w:type="dxa" w:w="1900"/>
            <w:shd w:fill="FFFFFF" w:val="clear"/>
          </w:tcPr>
          <w:p>
            <w:r>
              <w:rPr>
                <w:sz w:val="20"/>
                <w:szCs w:val="20"/>
              </w:rPr>
              <w:t xml:space="preserve">/dataset</w:t>
            </w:r>
          </w:p>
        </w:tc>
        <w:tc>
          <w:tcPr>
            <w:tcW w:type="dxa" w:w="5860"/>
            <w:shd w:fill="FFFFFF" w:val="clear"/>
          </w:tcPr>
          <w:p>
            <w:r>
              <w:rPr>
                <w:sz w:val="20"/>
                <w:szCs w:val="20"/>
              </w:rPr>
              <w:t xml:space="preserve">Return the cleaned dataset as JSON</w:t>
            </w:r>
          </w:p>
        </w:tc>
      </w:tr>
      <w:tr>
        <w:tc>
          <w:tcPr>
            <w:tcW w:type="dxa" w:w="1600"/>
            <w:shd w:fill="EAF1F8" w:val="clear"/>
          </w:tcPr>
          <w:p>
            <w:r>
              <w:rPr>
                <w:sz w:val="20"/>
                <w:szCs w:val="20"/>
              </w:rPr>
              <w:t xml:space="preserve">GET</w:t>
            </w:r>
          </w:p>
        </w:tc>
        <w:tc>
          <w:tcPr>
            <w:tcW w:type="dxa" w:w="1900"/>
            <w:shd w:fill="EAF1F8" w:val="clear"/>
          </w:tcPr>
          <w:p>
            <w:r>
              <w:rPr>
                <w:sz w:val="20"/>
                <w:szCs w:val="20"/>
              </w:rPr>
              <w:t xml:space="preserve">/model_info</w:t>
            </w:r>
          </w:p>
        </w:tc>
        <w:tc>
          <w:tcPr>
            <w:tcW w:type="dxa" w:w="5860"/>
            <w:shd w:fill="EAF1F8" w:val="clear"/>
          </w:tcPr>
          <w:p>
            <w:r>
              <w:rPr>
                <w:sz w:val="20"/>
                <w:szCs w:val="20"/>
              </w:rPr>
              <w:t xml:space="preserve">Model type, metrics, feature importance</w:t>
            </w:r>
          </w:p>
        </w:tc>
      </w:tr>
    </w:tbl>
    <w:p>
      <w:pPr>
        <w:spacing w:after="150"/>
      </w:pPr>
    </w:p>
    <w:p>
      <w:pPr>
        <w:spacing w:after="160"/>
      </w:pPr>
      <w:r>
        <w:t xml:space="preserve">Frontend Pages (Streamlit UI, http://localhost:8501): Predict Sales (live prediction form with a gauge chart), Dataset Explorer (distribution, boxplots, correlation heatmap), and Model Insights (metrics, model comparison, feature importance, diagnostics).</w:t>
      </w:r>
    </w:p>
    <w:p>
      <w:pPr>
        <w:pStyle w:val="Heading1"/>
        <w:spacing w:after="150" w:before="300"/>
      </w:pPr>
      <w:r>
        <w:t xml:space="preserve">7. Conclusion &amp; Future Work</w:t>
      </w:r>
    </w:p>
    <w:p>
      <w:pPr>
        <w:spacing w:after="160"/>
      </w:pPr>
      <w:r>
        <w:t xml:space="preserve">This project walked through a complete data analysis and AI pipeline: cleaning messy real-world retail data, engineering useful features, visualizing the key sales drivers, training and comparing machine learning models, and deploying the best model behind a live web application — ending with concrete business recommendations.</w:t>
      </w:r>
    </w:p>
    <w:p>
      <w:pPr>
        <w:spacing w:after="160"/>
      </w:pPr>
      <w:r>
        <w:rPr>
          <w:b/>
          <w:bCs/>
        </w:rPr>
        <w:t xml:space="preserve">Possible extensions:</w:t>
      </w:r>
    </w:p>
    <w:p>
      <w:pPr>
        <w:pStyle w:val="ListParagraph"/>
        <w:numPr>
          <w:ilvl w:val="0"/>
          <w:numId w:val="2"/>
        </w:numPr>
        <w:spacing w:after="90"/>
      </w:pPr>
      <w:r>
        <w:t xml:space="preserve">Hyperparameter tuning (GridSearchCV / Optuna) to push R² higher</w:t>
      </w:r>
    </w:p>
    <w:p>
      <w:pPr>
        <w:pStyle w:val="ListParagraph"/>
        <w:numPr>
          <w:ilvl w:val="0"/>
          <w:numId w:val="2"/>
        </w:numPr>
        <w:spacing w:after="90"/>
      </w:pPr>
      <w:r>
        <w:t xml:space="preserve">SHAP values for more granular, per-prediction explainability</w:t>
      </w:r>
    </w:p>
    <w:p>
      <w:pPr>
        <w:pStyle w:val="ListParagraph"/>
        <w:numPr>
          <w:ilvl w:val="0"/>
          <w:numId w:val="2"/>
        </w:numPr>
        <w:spacing w:after="90"/>
      </w:pPr>
      <w:r>
        <w:t xml:space="preserve">Authentication and deployment of the Flask + Streamlit app to a cloud host</w:t>
      </w:r>
    </w:p>
    <w:p>
      <w:pPr>
        <w:pStyle w:val="ListParagraph"/>
        <w:numPr>
          <w:ilvl w:val="0"/>
          <w:numId w:val="2"/>
        </w:numPr>
        <w:spacing w:after="90"/>
      </w:pPr>
      <w:r>
        <w:t xml:space="preserve">Incorporating external data (seasonality, promotions) since this dataset is a single-year snapshot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86f061a90f10ef254c3a3ae0348077feb953d6.png"/><Relationship Id="rId8" Type="http://schemas.openxmlformats.org/officeDocument/2006/relationships/image" Target="media/e69ca4e86d46dd2f7c1bbac21a8571f6d8ee8d43.png"/><Relationship Id="rId9" Type="http://schemas.openxmlformats.org/officeDocument/2006/relationships/image" Target="media/20b29f8e93ec533d80f62f5d2cec25185000225c.png"/><Relationship Id="rId10" Type="http://schemas.openxmlformats.org/officeDocument/2006/relationships/image" Target="media/4619364429856c09de85b36329f97fc891c744cf.png"/><Relationship Id="rId11" Type="http://schemas.openxmlformats.org/officeDocument/2006/relationships/image" Target="media/cbbfd8cca3a573b12106b0a19c1702bd9d1a5029.png"/><Relationship Id="rId12" Type="http://schemas.openxmlformats.org/officeDocument/2006/relationships/image" Target="media/c067c687bb022f0aba1b25ce3c94300290f611f5.png"/><Relationship Id="rId13" Type="http://schemas.openxmlformats.org/officeDocument/2006/relationships/image" Target="media/1ac85e79aa573a7a2d57f6608cb2dcf8319e0a4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2026-09-21T08:57:26.006Z</dcterms:created>
  <dcterms:modified xsi:type="dcterms:W3CDTF">2026-09-21T08:57:26.006Z</dcterms:modified>
</cp:coreProperties>
</file>

<file path=docProps/custom.xml><?xml version="1.0" encoding="utf-8"?>
<Properties xmlns="http://schemas.openxmlformats.org/officeDocument/2006/custom-properties" xmlns:vt="http://schemas.openxmlformats.org/officeDocument/2006/docPropsVTypes"/>
</file>