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WatchRansom: A Behavioral Machine Learning Framework for</w:t>
        <w:br/>
        <w:t>Real-Time Ransomware Detection and Deployment Validation</w:t>
      </w:r>
    </w:p>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tcPr>
          <w:p>
            <w:pPr>
              <w:jc w:val="center"/>
            </w:pPr>
            <w:r>
              <w:rPr>
                <w:rFonts w:ascii="Times New Roman" w:hAnsi="Times New Roman"/>
                <w:sz w:val="20"/>
              </w:rPr>
              <w:t>1</w:t>
            </w:r>
            <w:r>
              <w:rPr>
                <w:rFonts w:ascii="Times New Roman" w:hAnsi="Times New Roman"/>
                <w:sz w:val="20"/>
                <w:vertAlign w:val="superscript"/>
              </w:rPr>
              <w:t xml:space="preserve">st </w:t>
            </w:r>
            <w:r>
              <w:rPr>
                <w:i/>
                <w:color w:val="B00000"/>
                <w:sz w:val="22"/>
              </w:rPr>
              <w:t>[TODO: Author Name]</w:t>
            </w:r>
          </w:p>
          <w:p>
            <w:pPr>
              <w:jc w:val="center"/>
            </w:pPr>
            <w:r>
              <w:rPr>
                <w:rFonts w:ascii="Times New Roman" w:hAnsi="Times New Roman"/>
                <w:i/>
                <w:color w:val="B00000"/>
                <w:sz w:val="20"/>
              </w:rPr>
              <w:t>[TODO: Department]</w:t>
            </w:r>
          </w:p>
          <w:p>
            <w:pPr>
              <w:jc w:val="center"/>
            </w:pPr>
            <w:r>
              <w:rPr>
                <w:rFonts w:ascii="Times New Roman" w:hAnsi="Times New Roman"/>
                <w:i/>
                <w:color w:val="B00000"/>
                <w:sz w:val="20"/>
              </w:rPr>
              <w:t>[TODO: Institution]</w:t>
            </w:r>
          </w:p>
          <w:p>
            <w:pPr>
              <w:jc w:val="center"/>
            </w:pPr>
            <w:r>
              <w:rPr>
                <w:rFonts w:ascii="Times New Roman" w:hAnsi="Times New Roman"/>
                <w:i/>
                <w:color w:val="B00000"/>
                <w:sz w:val="20"/>
              </w:rPr>
              <w:t>[TODO: City, Country]</w:t>
            </w:r>
          </w:p>
          <w:p>
            <w:pPr>
              <w:jc w:val="center"/>
            </w:pPr>
            <w:r>
              <w:rPr>
                <w:rFonts w:ascii="Times New Roman" w:hAnsi="Times New Roman"/>
                <w:i/>
                <w:color w:val="B00000"/>
                <w:sz w:val="20"/>
              </w:rPr>
              <w:t>[TODO: email address]</w:t>
            </w:r>
          </w:p>
        </w:tc>
      </w:tr>
    </w:tbl>
    <w:p/>
    <w:p>
      <w:pPr>
        <w:jc w:val="center"/>
      </w:pPr>
      <w:r>
        <w:rPr>
          <w:rFonts w:ascii="Times New Roman" w:hAnsi="Times New Roman"/>
          <w:i/>
          <w:color w:val="B00000"/>
          <w:sz w:val="16"/>
        </w:rPr>
        <w:t>[TODO: template supports up to 6 authors in a 3-per-row grid, per standard IEEE conference formatting - add co-authors here]</w:t>
      </w:r>
    </w:p>
    <w:p/>
    <w:p>
      <w:pPr>
        <w:sectPr>
          <w:pgSz w:w="12240" w:h="15840"/>
          <w:pgMar w:top="1080" w:right="1080" w:bottom="1440" w:left="1080" w:header="720" w:footer="720" w:gutter="0"/>
          <w:cols w:space="720"/>
          <w:docGrid w:linePitch="360"/>
        </w:sectPr>
      </w:pPr>
    </w:p>
    <w:p>
      <w:pPr>
        <w:jc w:val="both"/>
      </w:pPr>
      <w:r>
        <w:rPr>
          <w:rFonts w:ascii="Times New Roman" w:hAnsi="Times New Roman"/>
          <w:sz w:val="18"/>
        </w:rPr>
        <w:t>Ransomware detection based on static signatures fails against previously unseen variants, motivating behavior-based detection methods. This paper presents WatchRansom, a host-based ransomware detection system combining a supervised gradient-boosted classifier (XGBoost) with an unsupervised autoencoder for anomaly-based detection of novel threats, built upon a publicly available dynamic-feature dataset [1] and extended with continuous host-monitoring telemetry. This paper documents two rounds of structured validation. The first traced the boundary between offline model training and live deployment, finding that three of the twelve trained features, accounting for a substantial share of the classifier's decision weight, were never populated by the deployed monitoring components despite offline accuracy exceeding 98%. The second applied the same scrutiny to the evaluation methodology itself, finding that the originally reported 98.10% ten-fold cross-validation accuracy was inflated by duplicate feature vectors arising from the source dataset's repeated sandbox executions, and that the anomaly-detection component's reported F1-score had been computed on data overlapping its own training set. Correcting both yields a mean classification accuracy of 85.50% under group-aware, repeated cross-validation (interval 84.86%-86.14%) and an anomaly-detection F1-score of 0.637 (standard deviation 0.020 across ten independently seeded models) under a genuinely held-out evaluation split. A subsequent controlled test further found that the system's anomaly-based alert, previously interpreted during a system demonstration as independent corroboration of a live attack, is triggered at a comparably extreme level by the monitoring system's own resource footprint with no attack present, indicating this alert path does not reliably discriminate attack activity from ambient host noise in the tested environment. These results indicate that offline evaluation accuracy is not, by itself, sufficient evidence of correct behavior in a continuously operating machine learning security system, and that the evaluation methodology itself warrants the same validation rigor as the deployment pipeline.</w:t>
      </w:r>
    </w:p>
    <w:p>
      <w:pPr>
        <w:jc w:val="both"/>
      </w:pPr>
      <w:r>
        <w:rPr>
          <w:rFonts w:ascii="Times New Roman" w:hAnsi="Times New Roman"/>
          <w:b/>
          <w:i/>
          <w:sz w:val="18"/>
        </w:rPr>
        <w:t>Index Terms—</w:t>
      </w:r>
      <w:r>
        <w:rPr>
          <w:rFonts w:ascii="Times New Roman" w:hAnsi="Times New Roman"/>
          <w:i/>
          <w:sz w:val="18"/>
        </w:rPr>
        <w:t>ransomware detection, behavioral analysis, intrusion detection, machine learning, gradient boosting, autoencoder, anomaly detection, host-based monitoring</w:t>
      </w:r>
    </w:p>
    <w:p/>
    <w:p>
      <w:pPr>
        <w:spacing w:before="200" w:after="120"/>
        <w:jc w:val="center"/>
      </w:pPr>
      <w:r>
        <w:rPr>
          <w:rFonts w:ascii="Times New Roman" w:hAnsi="Times New Roman"/>
          <w:b/>
          <w:sz w:val="20"/>
        </w:rPr>
        <w:t>I. INTRODUCTION</w:t>
      </w:r>
    </w:p>
    <w:p>
      <w:r>
        <w:rPr>
          <w:rFonts w:ascii="Times New Roman" w:hAnsi="Times New Roman"/>
          <w:i/>
          <w:color w:val="B00000"/>
          <w:sz w:val="18"/>
        </w:rPr>
        <w:t>[TODO: Expand opening paragraph with ransomware incident statistics and 1-3 recent industry/academic citations before submission.]</w:t>
      </w:r>
    </w:p>
    <w:p>
      <w:pPr>
        <w:spacing w:after="0"/>
        <w:ind w:firstLine="288"/>
        <w:jc w:val="both"/>
      </w:pPr>
      <w:r>
        <w:rPr>
          <w:rFonts w:ascii="Times New Roman" w:hAnsi="Times New Roman"/>
          <w:sz w:val="20"/>
        </w:rPr>
        <w:t>Ransomware is a category of malicious software that denies a victim access to their own data or system, typically through file encryption or interface locking, until a ransom demand is met. The continued prevalence of ransomware incidents, together with the financial and operational damage associated with successful attacks, has sustained research interest in detection methods that operate before encryption completes rather than after damage has occurred.</w:t>
      </w:r>
    </w:p>
    <w:p>
      <w:pPr>
        <w:spacing w:after="0"/>
        <w:ind w:firstLine="288"/>
        <w:jc w:val="both"/>
      </w:pPr>
      <w:r>
        <w:rPr>
          <w:rFonts w:ascii="Times New Roman" w:hAnsi="Times New Roman"/>
          <w:sz w:val="20"/>
        </w:rPr>
        <w:t>Detection approaches for ransomware are broadly divided into signature-based and behavior-based methods. Signature-based detection identifies malware by comparing file content against a database of known patterns; while computationally efficient, this approach is inherently unable to detect variants that have not previously been catalogued. Behavior-based detection instead observes the actions a program performs at runtime, such as file system operations, registry modification, process activity, and network communication. Because the operational pattern required to encrypt a large number of files changes far less than the underlying code implementing it, behavior-based methods are comparatively more resilient to previously unseen ransomware families.</w:t>
      </w:r>
    </w:p>
    <w:p>
      <w:pPr>
        <w:spacing w:after="0"/>
        <w:ind w:firstLine="288"/>
        <w:jc w:val="both"/>
      </w:pPr>
      <w:r>
        <w:rPr>
          <w:rFonts w:ascii="Times New Roman" w:hAnsi="Times New Roman"/>
          <w:sz w:val="20"/>
        </w:rPr>
        <w:t>Machine learning has been applied extensively to behavior-based ransomware detection, most commonly by training a supervised classifier on labeled samples of known ransomware and goodware behavior. A limitation of this formulation is that supervised classifiers can only recognize patterns present in their training data, leaving them susceptible to genuinely novel attack behavior. This motivates a complementary detection strategy based on anomaly detection, in which a model is trained exclusively on benign behavior and flags deviation from the learned norm, independent of whether the deviating behavior matches a known ransomware family.</w:t>
      </w:r>
    </w:p>
    <w:p>
      <w:pPr>
        <w:spacing w:after="0"/>
        <w:ind w:firstLine="288"/>
        <w:jc w:val="both"/>
      </w:pPr>
      <w:r>
        <w:rPr>
          <w:rFonts w:ascii="Times New Roman" w:hAnsi="Times New Roman"/>
          <w:sz w:val="20"/>
        </w:rPr>
        <w:t>A second and comparatively underexamined problem in this domain concerns the transition from an offline-trained model to a continuously operating live system. A model evaluated on a held-out split of its training data is evaluated in a self-consistent environment: every feature the model expects is, by construction, present and correctly formed in the evaluation data. A live host monitoring system responsible for populating those same features in real time is under no equivalent guarantee, and a discrepancy between the two can leave a model's offline accuracy figure disconnected from its behavior in operation. This paper refers to this discrepancy as the training-serving gap and treats its identification and correction as a primary contribution.</w:t>
      </w:r>
    </w:p>
    <w:p>
      <w:pPr>
        <w:spacing w:after="0"/>
        <w:ind w:firstLine="288"/>
        <w:jc w:val="both"/>
      </w:pPr>
      <w:r>
        <w:rPr>
          <w:rFonts w:ascii="Times New Roman" w:hAnsi="Times New Roman"/>
          <w:sz w:val="20"/>
        </w:rPr>
        <w:t>The contributions of this paper are summarized as follows.</w:t>
      </w:r>
    </w:p>
    <w:p>
      <w:pPr>
        <w:ind w:left="288" w:hanging="288"/>
        <w:jc w:val="both"/>
      </w:pPr>
      <w:r>
        <w:rPr>
          <w:rFonts w:ascii="Times New Roman" w:hAnsi="Times New Roman"/>
          <w:sz w:val="20"/>
        </w:rPr>
        <w:t>1) A real-time, host-based ransomware detection system is presented, combining a supervised XGBoost classifier with an unsupervised autoencoder, built upon a public dynamic-feature dataset [1] and extended with telemetry from continuous host monitoring.</w:t>
      </w:r>
    </w:p>
    <w:p>
      <w:pPr>
        <w:ind w:left="288" w:hanging="288"/>
        <w:jc w:val="both"/>
      </w:pPr>
      <w:r>
        <w:rPr>
          <w:rFonts w:ascii="Times New Roman" w:hAnsi="Times New Roman"/>
          <w:sz w:val="20"/>
        </w:rPr>
        <w:t>2) A structured validation of the deployment pipeline is conducted, identifying and correcting defects between offline model training and live system behavior, including a case in which 41% of the classifier's decision weight was structurally unreachable at inference time despite high offline accuracy.</w:t>
      </w:r>
    </w:p>
    <w:p>
      <w:pPr>
        <w:ind w:left="288" w:hanging="288"/>
        <w:jc w:val="both"/>
      </w:pPr>
      <w:r>
        <w:rPr>
          <w:rFonts w:ascii="Times New Roman" w:hAnsi="Times New Roman"/>
          <w:sz w:val="20"/>
        </w:rPr>
        <w:t>3) Detection performance is evaluated using group-aware, repeated ten-fold cross-validation, yielding a mean accuracy of 85.50% (repeated-cross-validation interval 84.86%-86.14%). A conventional shuffled ten-fold cross-validation, consistent with the methodology of the source dataset [1] and reported here for comparison, yields 98.10%; Section IV-G attributes this discrepancy to duplicate feature vectors arising from the source dataset's sandboxed collection methodology, which shuffled cross-validation does not protect against.</w:t>
      </w:r>
    </w:p>
    <w:p>
      <w:pPr>
        <w:ind w:left="288" w:hanging="288"/>
        <w:jc w:val="both"/>
      </w:pPr>
      <w:r>
        <w:rPr>
          <w:rFonts w:ascii="Times New Roman" w:hAnsi="Times New Roman"/>
          <w:sz w:val="20"/>
        </w:rPr>
        <w:t>4) Two additional experiments — class-weighted training and threshold adjustment — were conducted to address a persistent recall limitation on the encryption-ransomware class and did not produce a meaningful improvement. A subsequent analysis, reported in Section V-C, attributes this limitation to a specific mechanical cause: a subset of encryptor-class samples is feature-identical, at the twelve-feature resolution used by this system, to samples labeled goodware, imposing a hard upper bound on achievable recall that is independent of model calibration.</w:t>
      </w:r>
    </w:p>
    <w:p>
      <w:pPr>
        <w:ind w:left="288" w:hanging="288"/>
        <w:jc w:val="both"/>
      </w:pPr>
      <w:r>
        <w:rPr>
          <w:rFonts w:ascii="Times New Roman" w:hAnsi="Times New Roman"/>
          <w:sz w:val="20"/>
        </w:rPr>
        <w:t xml:space="preserve">5) A second validation pass applies the same auditing methodology used in Section IV to the evaluation pipeline itself. This pass identifies and corrects duplicate-vector cross-validation leakage and an autoencoder evaluation that overlapped its own training data, and reports a negative-control experiment establishing that the system's anomaly-based alert, previously interpreted during a system demonstration as independent corroboration of a live attack, does not reliably discriminate attack activity from the monitoring system's own ambient resource footprint.</w:t>
      </w:r>
    </w:p>
    <w:p>
      <w:pPr>
        <w:spacing w:after="0"/>
        <w:ind w:firstLine="288"/>
        <w:jc w:val="both"/>
      </w:pPr>
      <w:r>
        <w:rPr>
          <w:rFonts w:ascii="Times New Roman" w:hAnsi="Times New Roman"/>
          <w:sz w:val="20"/>
        </w:rPr>
        <w:t>The remainder of this paper is organized as follows. Section II reviews the dataset on which this work is based. Section III describes the proposed system and its methodology. Section IV presents the deployment validation process and its findings. Section V reports experimental results. Section VI discusses limitations, and Section VII concludes the paper and outlines directions for future work.</w:t>
      </w:r>
    </w:p>
    <w:p>
      <w:pPr>
        <w:spacing w:before="200" w:after="120"/>
        <w:jc w:val="center"/>
      </w:pPr>
      <w:r>
        <w:rPr>
          <w:rFonts w:ascii="Times New Roman" w:hAnsi="Times New Roman"/>
          <w:b/>
          <w:sz w:val="20"/>
        </w:rPr>
        <w:t>II. RELATED WORK</w:t>
      </w:r>
    </w:p>
    <w:p>
      <w:r>
        <w:rPr>
          <w:rFonts w:ascii="Times New Roman" w:hAnsi="Times New Roman"/>
          <w:i/>
          <w:color w:val="B00000"/>
          <w:sz w:val="18"/>
        </w:rPr>
        <w:t>[TODO: Broadened below with additional ransomware/malware ML detection and evaluation-leakage literature; a dedicated review of signature-based and dynamic-sandbox systems as distinct topics remains open.]</w:t>
      </w:r>
    </w:p>
    <w:p>
      <w:pPr>
        <w:spacing w:after="0"/>
        <w:ind w:firstLine="288"/>
        <w:jc w:val="both"/>
      </w:pPr>
      <w:r>
        <w:rPr>
          <w:rFonts w:ascii="Times New Roman" w:hAnsi="Times New Roman"/>
          <w:sz w:val="20"/>
        </w:rPr>
        <w:t>The dataset used in this work was introduced by Herrera-Silva and Hernandez-Alvarez [1], who generated 2,000 dynamic-analysis records by executing 20 ransomware and 20 goodware artifacts ten times each across five Windows platforms within a sandboxed environment. From an initial set of 326 dynamic features, the authors selected 50 low-redundancy, high-relevance characteristics spanning process memory usage, extracted scripts, network activity, behavioral signatures, static and entropy analysis, library and registry interaction, and diagnostic information. Each record is labeled as goodware (G), encryptor ransomware (E), or locker ransomware (L). Using ten-fold cross-validation, the original authors reported accuracies ranging from 74% to 100% across Random Forest, Gradient Boosted Regression Trees, Gaussian Naive Bayes, and Neural Network classifiers, depending on model and feature subset.</w:t>
      </w:r>
    </w:p>
    <w:p>
      <w:pPr>
        <w:spacing w:after="0"/>
        <w:ind w:firstLine="288"/>
        <w:jc w:val="both"/>
      </w:pPr>
      <w:r>
        <w:rPr>
          <w:rFonts w:ascii="Times New Roman" w:hAnsi="Times New Roman"/>
          <w:sz w:val="20"/>
        </w:rPr>
        <w:t>This work adopts the dataset and the ten-fold cross-validation methodology of [1], but restricts the feature set to a twelve-feature subset reproducible through ordinary host monitoring, and evaluates a combination of a gradient-boosted classifier and an autoencoder rather than reproducing the original comparison of classifier types.</w:t>
      </w:r>
    </w:p>
    <w:p>
      <w:pPr>
        <w:spacing w:after="0"/>
        <w:ind w:firstLine="288"/>
        <w:jc w:val="both"/>
      </w:pPr>
      <w:r>
        <w:rPr>
          <w:rFonts w:ascii="Times New Roman" w:hAnsi="Times New Roman"/>
          <w:sz w:val="20"/>
        </w:rPr>
        <w:t>Related work on ransomware detection using machine learning spans a range of classifier families and dataset construction methods. Masum et al. [2] compared Decision Tree, Random Forest, Naive Bayes, Logistic Regression, and neural-network classifiers for ransomware classification, reporting Random Forest as most effective on their dataset. Song et al. [3] conducted a large-scale behavioral characterization spanning 117 published ransomware defense mechanisms together with runtime analysis of real ransomware samples, arguing that deployability is as significant a criterion for practical value as detection accuracy, a position consistent with this paper's emphasis on deployment validation. Onwuegbuche et al. [4] introduced a considerably larger behavioral ransomware dataset spanning 64 families and reported detection rates exceeding 98%; the present work reports a substantially lower, group-validated accuracy on a smaller dataset, a comparison discussed further in Section VI in light of the evaluation-methodology findings in Section IV-G.</w:t>
      </w:r>
    </w:p>
    <w:p>
      <w:pPr>
        <w:spacing w:after="0"/>
        <w:ind w:firstLine="288"/>
        <w:jc w:val="both"/>
      </w:pPr>
      <w:r>
        <w:rPr>
          <w:rFonts w:ascii="Times New Roman" w:hAnsi="Times New Roman"/>
          <w:sz w:val="20"/>
        </w:rPr>
        <w:t>Combining a supervised classifier with an unsupervised anomaly detector, structurally similar to the dual-model design adopted in this paper, has precedent in adjacent detection domains; hybrid architectures pairing autoencoder-based anomaly scoring or feature reduction with gradient-boosted classification have been applied to malware and network-intrusion detection, reporting improved detection relative to either component used alone [5]. Separately, data leakage arising from near-duplicate samples appearing on both sides of a training/evaluation split has been identified as a recurring problem in malware-detection machine learning specifically: Liu et al. [6], studying Android malware classifiers, found that a substantial fraction of test samples were identical or near-identical to training samples, inflating reported performance and, in some cases, altering the qualitative conclusions drawn from it. Section IV-G reports an analogous finding for the dataset used in this paper and corrects for it using group-aware cross-validation.</w:t>
      </w:r>
    </w:p>
    <w:p>
      <w:pPr>
        <w:spacing w:before="200" w:after="120"/>
        <w:jc w:val="center"/>
      </w:pPr>
      <w:r>
        <w:rPr>
          <w:rFonts w:ascii="Times New Roman" w:hAnsi="Times New Roman"/>
          <w:b/>
          <w:sz w:val="20"/>
        </w:rPr>
        <w:t>III. PROPOSED METHODOLOGY</w:t>
      </w:r>
    </w:p>
    <w:p>
      <w:pPr>
        <w:spacing w:before="120" w:after="60"/>
      </w:pPr>
      <w:r>
        <w:rPr>
          <w:rFonts w:ascii="Times New Roman" w:hAnsi="Times New Roman"/>
          <w:b/>
          <w:i/>
          <w:sz w:val="20"/>
        </w:rPr>
        <w:t>A. Feature Selection for Live Deployment</w:t>
      </w:r>
    </w:p>
    <w:p>
      <w:pPr>
        <w:spacing w:after="0"/>
        <w:ind w:firstLine="288"/>
        <w:jc w:val="both"/>
      </w:pPr>
      <w:r>
        <w:rPr>
          <w:rFonts w:ascii="Times New Roman" w:hAnsi="Times New Roman"/>
          <w:sz w:val="20"/>
        </w:rPr>
        <w:t>Of the fifty features in the source dataset, twelve were selected for use in the deployed system on the basis of being reproducible from ordinary host-level monitoring, without requiring the privileged sandbox instrumentation used for the original data collection. Three of the twelve — apistats, directory_enumerated, and tree_command_line — correspond to source features that originally relied on in-sandbox API hooking. For these, host-level proxy measurements were designed: apistats is approximated by counting loaded modules associated with cryptographic Windows APIs; directory_enumerated is approximated from the number of distinct directories referenced by a process's open file handles, supplemented by directories touched during real filesystem activity; and tree_command_line is approximated by summing command-line length across a process's ancestor chain. These proxies are directionally consistent with the behavior they approximate but are not numerically equivalent to true API-call instrumentation, a limitation discussed further in Section VI.</w:t>
      </w:r>
    </w:p>
    <w:p>
      <w:pPr>
        <w:spacing w:before="120" w:after="60"/>
      </w:pPr>
      <w:r>
        <w:rPr>
          <w:rFonts w:ascii="Times New Roman" w:hAnsi="Times New Roman"/>
          <w:b/>
          <w:i/>
          <w:sz w:val="20"/>
        </w:rPr>
        <w:t>B. System Architecture</w:t>
      </w:r>
    </w:p>
    <w:p>
      <w:pPr>
        <w:spacing w:after="0"/>
        <w:ind w:firstLine="288"/>
        <w:jc w:val="both"/>
      </w:pPr>
      <w:r>
        <w:rPr>
          <w:rFonts w:ascii="Times New Roman" w:hAnsi="Times New Roman"/>
          <w:sz w:val="20"/>
        </w:rPr>
        <w:t>The proposed system consists of four monitoring components — file, process, network, and registry monitors — that report observed activity to a central event collector. Raw events are aggregated by a sliding-window aggregator into a twelve-dimensional feature vector computed over a thirty-second interval. This feature vector is passed to an inference engine that evaluates both the classification model and the anomaly detection model in parallel; their outputs are combined by an alert system that applies configurable confidence and anomaly-score thresholds to assign one of three alert levels (critical, warning, or informational). An optional prevention module may act on critical alerts; this module is disabled by default and is discussed in Section III-E.</w:t>
      </w:r>
    </w:p>
    <w:p>
      <w:r>
        <w:rPr>
          <w:rFonts w:ascii="Times New Roman" w:hAnsi="Times New Roman"/>
          <w:i/>
          <w:color w:val="B00000"/>
          <w:sz w:val="18"/>
        </w:rPr>
        <w:t>[TODO: Insert Fig. 1 (System Architecture Diagram) here - see diagrams.txt.]</w:t>
      </w:r>
    </w:p>
    <w:p>
      <w:pPr>
        <w:spacing w:before="120" w:after="60"/>
      </w:pPr>
      <w:r>
        <w:rPr>
          <w:rFonts w:ascii="Times New Roman" w:hAnsi="Times New Roman"/>
          <w:b/>
          <w:i/>
          <w:sz w:val="20"/>
        </w:rPr>
        <w:t>C. Classification Model</w:t>
      </w:r>
    </w:p>
    <w:p>
      <w:pPr>
        <w:spacing w:after="0"/>
        <w:ind w:firstLine="288"/>
        <w:jc w:val="both"/>
      </w:pPr>
      <w:r>
        <w:rPr>
          <w:rFonts w:ascii="Times New Roman" w:hAnsi="Times New Roman"/>
          <w:sz w:val="20"/>
        </w:rPr>
        <w:t>A gradient-boosted decision tree classifier (XGBoost) is trained on the twelve-feature, StandardScaler-normalized dataset, using a multiclass softmax objective with two hundred estimators, a maximum tree depth of five, and a learning rate of 0.1. A monitoring window is classified as ransomware (encryptor or locker) when the corresponding predicted class probability exceeds a configurable confidence threshold, set to 0.85 in the deployed configuration; otherwise, the window is classified as goodware.</w:t>
      </w:r>
    </w:p>
    <w:p>
      <w:pPr>
        <w:spacing w:before="120" w:after="60"/>
      </w:pPr>
      <w:r>
        <w:rPr>
          <w:rFonts w:ascii="Times New Roman" w:hAnsi="Times New Roman"/>
          <w:b/>
          <w:i/>
          <w:sz w:val="20"/>
        </w:rPr>
        <w:t>D. Anomaly Detection Model</w:t>
      </w:r>
    </w:p>
    <w:p>
      <w:pPr>
        <w:spacing w:after="0"/>
        <w:ind w:firstLine="288"/>
        <w:jc w:val="both"/>
      </w:pPr>
      <w:r>
        <w:rPr>
          <w:rFonts w:ascii="Times New Roman" w:hAnsi="Times New Roman"/>
          <w:sz w:val="20"/>
        </w:rPr>
        <w:t>A symmetric autoencoder with layer widths 12-10-6-3-6-10-12 and rectified linear activations is trained exclusively on goodware windows. At inference time, the mean squared reconstruction error for an input window is normalized against a threshold derived from the percentile of goodware reconstruction error that maximizes detection F1-score on a reference evaluation set. Because this threshold is specific to a given trained model, it is recalibrated whenever the autoencoder is retrained; the implications of this coupling are discussed in Section IV-C.</w:t>
      </w:r>
    </w:p>
    <w:p>
      <w:pPr>
        <w:spacing w:before="120" w:after="60"/>
      </w:pPr>
      <w:r>
        <w:rPr>
          <w:rFonts w:ascii="Times New Roman" w:hAnsi="Times New Roman"/>
          <w:b/>
          <w:i/>
          <w:sz w:val="20"/>
        </w:rPr>
        <w:t>E. Response Mechanism</w:t>
      </w:r>
    </w:p>
    <w:p>
      <w:pPr>
        <w:spacing w:after="0"/>
        <w:ind w:firstLine="288"/>
        <w:jc w:val="both"/>
      </w:pPr>
      <w:r>
        <w:rPr>
          <w:rFonts w:ascii="Times New Roman" w:hAnsi="Times New Roman"/>
          <w:sz w:val="20"/>
        </w:rPr>
        <w:t>The system includes an optional automated response module capable of terminating a flagged process, restricting write access to monitored directories, or isolating the host from the network upon a critical alert. This module is disabled by default. Process termination was validated against a disposable process created for that purpose. Filesystem restriction and network isolation were not evaluated, as both actions are destructive and difficult to reverse on a production machine, and meaningful evaluation requires an isolated, disposable environment that was not available for this work. This module is not central to the contribution or evaluation of this paper, which concerns detection rather than response, and is discussed further as future work in Section VII.</w:t>
      </w:r>
    </w:p>
    <w:p>
      <w:pPr>
        <w:spacing w:before="120" w:after="60"/>
      </w:pPr>
      <w:r>
        <w:rPr>
          <w:rFonts w:ascii="Times New Roman" w:hAnsi="Times New Roman"/>
          <w:b/>
          <w:i/>
          <w:sz w:val="20"/>
        </w:rPr>
        <w:t>F. Evaluation Protocol</w:t>
      </w:r>
    </w:p>
    <w:p>
      <w:pPr>
        <w:spacing w:after="0"/>
        <w:ind w:firstLine="288"/>
        <w:jc w:val="both"/>
      </w:pPr>
      <w:r>
        <w:rPr>
          <w:rFonts w:ascii="Times New Roman" w:hAnsi="Times New Roman"/>
          <w:sz w:val="20"/>
        </w:rPr>
        <w:t>Detection performance is evaluated using stratified ten-fold cross-validation rather than a single train/test split. This choice followed an observation that repeated single 80/20-split retrains of an otherwise unchanged model produced accuracy values differing purely as a result of fold membership, a variation that could otherwise be mistaken for the effect of an intervening change. Ten-fold cross-validation, consistent with [1], yields a mean and a standard deviation and therefore supports a defensible confidence interval rather than a single point estimate.</w:t>
      </w:r>
    </w:p>
    <w:p>
      <w:pPr>
        <w:spacing w:before="200" w:after="120"/>
        <w:jc w:val="center"/>
      </w:pPr>
      <w:r>
        <w:rPr>
          <w:rFonts w:ascii="Times New Roman" w:hAnsi="Times New Roman"/>
          <w:b/>
          <w:sz w:val="20"/>
        </w:rPr>
        <w:t>IV. DEPLOYMENT VALIDATION</w:t>
      </w:r>
    </w:p>
    <w:p>
      <w:pPr>
        <w:spacing w:after="0"/>
        <w:ind w:firstLine="288"/>
        <w:jc w:val="both"/>
      </w:pPr>
      <w:r>
        <w:rPr>
          <w:rFonts w:ascii="Times New Roman" w:hAnsi="Times New Roman"/>
          <w:sz w:val="20"/>
        </w:rPr>
        <w:t>Prior to reporting detection results, the system was subjected to a structured validation covering the path between the trained model and the continuously operating deployment. This validation traced every trained feature to its corresponding live data source, compared observed live values against the distribution present in the training data, and measured computational cost under realistic operating conditions rather than relying on manual inspection alone. This process identified issues in six areas, described below and summarized in Table I. A second validation pass, described in Section IV-G, subsequently applied the same methodology to the evaluation pipeline used to assess the system, rather than to the deployment pipeline alone.</w:t>
      </w:r>
    </w:p>
    <w:p>
      <w:pPr>
        <w:spacing w:before="120" w:after="60"/>
      </w:pPr>
      <w:r>
        <w:rPr>
          <w:rFonts w:ascii="Times New Roman" w:hAnsi="Times New Roman"/>
          <w:b/>
          <w:i/>
          <w:sz w:val="20"/>
        </w:rPr>
        <w:t>A. Feature Availability in Continuous Monitoring</w:t>
      </w:r>
    </w:p>
    <w:p>
      <w:pPr>
        <w:spacing w:after="0"/>
        <w:ind w:firstLine="288"/>
        <w:jc w:val="both"/>
      </w:pPr>
      <w:r>
        <w:rPr>
          <w:rFonts w:ascii="Times New Roman" w:hAnsi="Times New Roman"/>
          <w:sz w:val="20"/>
        </w:rPr>
        <w:t>Tracing each of the twelve trained features to its corresponding live monitoring component revealed that three features — directory_enumerated, apistats, and dll_loaded — were never written by any monitor, despite being present in the training data and accounting for 41% of the classifier's feature importance, with directory_enumerated alone the single highest-importance feature. Consequently, these features were structurally fixed at zero during every live classification, regardless of the classifier's offline accuracy. A later audit conducted while preparing this manuscript identified that a twelfth feature, tree_command_line, exhibited the same defect and had been overlooked during the initial validation pass, indicating that even a deliberate audit process benefits from an exhaustive, per-feature checklist rather than terminating once several defects have been located.</w:t>
      </w:r>
    </w:p>
    <w:p>
      <w:pPr>
        <w:spacing w:before="120" w:after="60"/>
      </w:pPr>
      <w:r>
        <w:rPr>
          <w:rFonts w:ascii="Times New Roman" w:hAnsi="Times New Roman"/>
          <w:b/>
          <w:i/>
          <w:sz w:val="20"/>
        </w:rPr>
        <w:t>B. Temporal Sampling Behaviour</w:t>
      </w:r>
    </w:p>
    <w:p>
      <w:pPr>
        <w:spacing w:after="0"/>
        <w:ind w:firstLine="288"/>
        <w:jc w:val="both"/>
      </w:pPr>
      <w:r>
        <w:rPr>
          <w:rFonts w:ascii="Times New Roman" w:hAnsi="Times New Roman"/>
          <w:sz w:val="20"/>
        </w:rPr>
        <w:t>The initial correction for the issue described in Section IV-A sampled each process exactly once, at the instant it was first observed. Comparison against the per-class feature distributions in the training data, in which ransomware samples exhibit values one to three orders of magnitude larger than goodware on these features, indicated that a value sampled at process creation would resemble goodware irrespective of a process's subsequent behavior, particularly for ransomware executing as a single long-lived process. The correction was revised to resample tracked processes periodically and accumulate the observed increase, so that cumulative behavior over the monitoring window is reflected rather than a single value captured at process birth.</w:t>
      </w:r>
    </w:p>
    <w:p>
      <w:pPr>
        <w:spacing w:before="120" w:after="60"/>
      </w:pPr>
      <w:r>
        <w:rPr>
          <w:rFonts w:ascii="Times New Roman" w:hAnsi="Times New Roman"/>
          <w:b/>
          <w:i/>
          <w:sz w:val="20"/>
        </w:rPr>
        <w:t>C. Threshold-Model Coupling</w:t>
      </w:r>
    </w:p>
    <w:p>
      <w:pPr>
        <w:spacing w:after="0"/>
        <w:ind w:firstLine="288"/>
        <w:jc w:val="both"/>
      </w:pPr>
      <w:r>
        <w:rPr>
          <w:rFonts w:ascii="Times New Roman" w:hAnsi="Times New Roman"/>
          <w:sz w:val="20"/>
        </w:rPr>
        <w:t>The anomaly detection threshold described in Section III-D is calibrated to a specific trained autoencoder and is stored independently of the model artifact it corresponds to, with no mechanism in the system enforcing consistency between the two. Across three retraining cycles conducted during this work, the threshold required manual recalibration on each occasion, as the underlying reconstruction error distribution shifted with each retrained model. Failure to recalibrate the threshold following a retrain would cause ordinary activity to register a near-maximal anomaly score, triggering the system's highest alert level under routine operation. The recurrence of this issue across three independent retraining cycles is treated as evidence that this coupling represents a structural risk warranting an automated consistency check rather than a procedural reminder.</w:t>
      </w:r>
    </w:p>
    <w:p>
      <w:pPr>
        <w:spacing w:before="120" w:after="60"/>
      </w:pPr>
      <w:r>
        <w:rPr>
          <w:rFonts w:ascii="Times New Roman" w:hAnsi="Times New Roman"/>
          <w:b/>
          <w:i/>
          <w:sz w:val="20"/>
        </w:rPr>
        <w:t>D. Computational Feasibility Under Realistic Load</w:t>
      </w:r>
    </w:p>
    <w:p>
      <w:pPr>
        <w:spacing w:after="0"/>
        <w:ind w:firstLine="288"/>
        <w:jc w:val="both"/>
      </w:pPr>
      <w:r>
        <w:rPr>
          <w:rFonts w:ascii="Times New Roman" w:hAnsi="Times New Roman"/>
          <w:sz w:val="20"/>
        </w:rPr>
        <w:t>An optimization intended to reduce the overhead introduced by the correction described in Section IV-B reduced the frequency at which tracked processes are resampled, without measuring the computational cost of the underlying operation. Benchmarking under a realistic process count, comprising 266 concurrently running processes on the evaluation machine, showed that a complete resampling pass required approximately fifty-two seconds, a duration thirteen to twenty-six times greater than the interval within which it was expected to execute. Profiling attributed this cost to a single system call used to enumerate a process's open file handles, measured at approximately eight times the cost of the alternative call used for the remaining resampled features. The operation was removed from the continuous polling path and replaced with an equivalent signal derived from filesystem events already collected by the system, reducing the measured cost to 5.67 seconds. This finding indicates that a reduction in call frequency is not, by itself, sufficient evidence that a performance-sensitive operation meets its timing budget.</w:t>
      </w:r>
    </w:p>
    <w:p>
      <w:pPr>
        <w:spacing w:before="120" w:after="60"/>
      </w:pPr>
      <w:r>
        <w:rPr>
          <w:rFonts w:ascii="Times New Roman" w:hAnsi="Times New Roman"/>
          <w:b/>
          <w:i/>
          <w:sz w:val="20"/>
        </w:rPr>
        <w:t>E. Data Pipeline Robustness</w:t>
      </w:r>
    </w:p>
    <w:p>
      <w:pPr>
        <w:spacing w:after="0"/>
        <w:ind w:firstLine="288"/>
        <w:jc w:val="both"/>
      </w:pPr>
      <w:r>
        <w:rPr>
          <w:rFonts w:ascii="Times New Roman" w:hAnsi="Times New Roman"/>
          <w:sz w:val="20"/>
        </w:rPr>
        <w:t>The offline pipeline responsible for converting collected telemetry into training data was found to load the complete event log into memory prior to processing, which raised an out-of-memory error when applied to a realistically sized log of approximately 1.3 gigabytes. The pipeline was rewritten to process the log as a single streaming pass. Separately, an encoding artifact introduced during data extraction — a byte-order mark inserted by a text-processing utility — caused one hundred percent of rows in an extracted file to fail timestamp parsing without producing an explicit error, and was resolved by extracting the affected data using an encoding-aware file read.</w:t>
      </w:r>
    </w:p>
    <w:p>
      <w:pPr>
        <w:spacing w:before="120" w:after="60"/>
      </w:pPr>
      <w:r>
        <w:rPr>
          <w:rFonts w:ascii="Times New Roman" w:hAnsi="Times New Roman"/>
          <w:b/>
          <w:i/>
          <w:sz w:val="20"/>
        </w:rPr>
        <w:t>F. Response Mechanism Integration</w:t>
      </w:r>
    </w:p>
    <w:p>
      <w:pPr>
        <w:spacing w:after="0"/>
        <w:ind w:firstLine="288"/>
        <w:jc w:val="both"/>
      </w:pPr>
      <w:r>
        <w:rPr>
          <w:rFonts w:ascii="Times New Roman" w:hAnsi="Times New Roman"/>
          <w:sz w:val="20"/>
        </w:rPr>
        <w:t>The automated response module described in Section III-E was found to be fully implemented but not connected to the alert pipeline at any point in the codebase, such that no automated response could occur regardless of configuration. This was corrected by invoking the response module from the alert system upon a critical classification, while retaining the module's default-disabled configuration.</w:t>
      </w:r>
    </w:p>
    <w:p>
      <w:pPr>
        <w:spacing w:before="120" w:after="60"/>
      </w:pPr>
      <w:r>
        <w:rPr>
          <w:rFonts w:ascii="Times New Roman" w:hAnsi="Times New Roman"/>
          <w:b/>
          <w:i/>
          <w:sz w:val="20"/>
        </w:rPr>
        <w:t xml:space="preserve">G. Evaluation Methodology Validation</w:t>
      </w:r>
    </w:p>
    <w:p>
      <w:pPr>
        <w:spacing w:after="0"/>
        <w:ind w:firstLine="288"/>
        <w:jc w:val="both"/>
      </w:pPr>
      <w:r>
        <w:rPr>
          <w:rFonts w:ascii="Times New Roman" w:hAnsi="Times New Roman"/>
          <w:sz w:val="20"/>
        </w:rPr>
        <w:t xml:space="preserve">The validation described in Sections IV-A through IV-F concerns the correctness of the deployment pipeline; it does not, by itself, establish that the offline evaluation used to report the system's accuracy is itself methodologically sound. A subsequent pass applied the same scrutiny to the evaluation pipeline and identified two further issues. First, 61.5% of the rows in the final training dataset share an exact twelve-feature vector with at least one other row, a consequence of the source dataset's sandboxed collection methodology, which executed each of forty ransomware and goodware artifacts ten times; conventional shuffled cross-validation does not prevent a duplicated row's near-identical twin from appearing in the training fold when its counterpart is held out for testing, so a held-out evaluation under this scheme can measure memorization of a duplicated example rather than generalization to an unseen one. This was corrected using group-aware cross-validation, grouping by the exact feature vector rather than by row, with zero group-leakage violations confirmed programmatically; the corrected result is reported in Section V-A alongside the original figure. Second, the autoencoder's reported detection F1-score was evaluated against the source dataset's goodware rows, which are also present, unmodified, in the autoencoder's own training data; this evaluation therefore measured reconstruction of previously seen examples rather than generalization to unseen ones. This was corrected by partitioning the goodware corpus, prior to any training, into disjoint subsets for model training, threshold calibration, and final evaluation, and is reported in Section V-B. Both corrections concern how the system's performance is measured, not the deployed model or monitoring implementation, which are unchanged by this validation pass.</w:t>
      </w:r>
    </w:p>
    <w:p>
      <w:pPr>
        <w:spacing w:after="60"/>
        <w:jc w:val="center"/>
      </w:pPr>
      <w:r>
        <w:rPr>
          <w:rFonts w:ascii="Times New Roman" w:hAnsi="Times New Roman"/>
          <w:sz w:val="18"/>
        </w:rPr>
        <w:t>TABLE I</w:t>
        <w:br/>
      </w:r>
      <w:r>
        <w:rPr>
          <w:rFonts w:ascii="Times New Roman" w:hAnsi="Times New Roman"/>
          <w:sz w:val="18"/>
        </w:rPr>
        <w:t>SUMMARY OF DEPLOYMENT VALIDATION FINDINGS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pPr>
              <w:jc w:val="center"/>
            </w:pPr>
            <w:r>
              <w:rPr>
                <w:rFonts w:ascii="Times New Roman" w:hAnsi="Times New Roman"/>
                <w:b/>
                <w:sz w:val="16"/>
              </w:rPr>
              <w:t>Area</w:t>
            </w:r>
          </w:p>
        </w:tc>
        <w:tc>
          <w:tcPr>
            <w:tcW w:type="dxa" w:w="3360"/>
          </w:tcPr>
          <w:p>
            <w:pPr>
              <w:jc w:val="center"/>
            </w:pPr>
            <w:r>
              <w:rPr>
                <w:rFonts w:ascii="Times New Roman" w:hAnsi="Times New Roman"/>
                <w:b/>
                <w:sz w:val="16"/>
              </w:rPr>
              <w:t>Finding</w:t>
            </w:r>
          </w:p>
        </w:tc>
        <w:tc>
          <w:tcPr>
            <w:tcW w:type="dxa" w:w="3360"/>
          </w:tcPr>
          <w:p>
            <w:pPr>
              <w:jc w:val="center"/>
            </w:pPr>
            <w:r>
              <w:rPr>
                <w:rFonts w:ascii="Times New Roman" w:hAnsi="Times New Roman"/>
                <w:b/>
                <w:sz w:val="16"/>
              </w:rPr>
              <w:t>Resolution</w:t>
            </w:r>
          </w:p>
        </w:tc>
      </w:tr>
      <w:tr>
        <w:tc>
          <w:tcPr>
            <w:tcW w:type="dxa" w:w="3360"/>
          </w:tcPr>
          <w:p>
            <w:pPr>
              <w:jc w:val="center"/>
            </w:pPr>
            <w:r>
              <w:rPr>
                <w:rFonts w:ascii="Times New Roman" w:hAnsi="Times New Roman"/>
                <w:sz w:val="16"/>
              </w:rPr>
              <w:t>Feature availability</w:t>
            </w:r>
          </w:p>
        </w:tc>
        <w:tc>
          <w:tcPr>
            <w:tcW w:type="dxa" w:w="3360"/>
          </w:tcPr>
          <w:p>
            <w:pPr>
              <w:jc w:val="center"/>
            </w:pPr>
            <w:r>
              <w:rPr>
                <w:rFonts w:ascii="Times New Roman" w:hAnsi="Times New Roman"/>
                <w:sz w:val="16"/>
              </w:rPr>
              <w:t>3 of 12 features never populated in live operation (41% of model importance)</w:t>
            </w:r>
          </w:p>
        </w:tc>
        <w:tc>
          <w:tcPr>
            <w:tcW w:type="dxa" w:w="3360"/>
          </w:tcPr>
          <w:p>
            <w:pPr>
              <w:jc w:val="center"/>
            </w:pPr>
            <w:r>
              <w:rPr>
                <w:rFonts w:ascii="Times New Roman" w:hAnsi="Times New Roman"/>
                <w:sz w:val="16"/>
              </w:rPr>
              <w:t>Live proxy measurements implemented and validated</w:t>
            </w:r>
          </w:p>
        </w:tc>
      </w:tr>
      <w:tr>
        <w:tc>
          <w:tcPr>
            <w:tcW w:type="dxa" w:w="3360"/>
          </w:tcPr>
          <w:p>
            <w:pPr>
              <w:jc w:val="center"/>
            </w:pPr>
            <w:r>
              <w:rPr>
                <w:rFonts w:ascii="Times New Roman" w:hAnsi="Times New Roman"/>
                <w:sz w:val="16"/>
              </w:rPr>
              <w:t>Temporal sampling</w:t>
            </w:r>
          </w:p>
        </w:tc>
        <w:tc>
          <w:tcPr>
            <w:tcW w:type="dxa" w:w="3360"/>
          </w:tcPr>
          <w:p>
            <w:pPr>
              <w:jc w:val="center"/>
            </w:pPr>
            <w:r>
              <w:rPr>
                <w:rFonts w:ascii="Times New Roman" w:hAnsi="Times New Roman"/>
                <w:sz w:val="16"/>
              </w:rPr>
              <w:t>Feature values sampled once, at process creation only</w:t>
            </w:r>
          </w:p>
        </w:tc>
        <w:tc>
          <w:tcPr>
            <w:tcW w:type="dxa" w:w="3360"/>
          </w:tcPr>
          <w:p>
            <w:pPr>
              <w:jc w:val="center"/>
            </w:pPr>
            <w:r>
              <w:rPr>
                <w:rFonts w:ascii="Times New Roman" w:hAnsi="Times New Roman"/>
                <w:sz w:val="16"/>
              </w:rPr>
              <w:t>Periodic resampling with cumulative accumulation</w:t>
            </w:r>
          </w:p>
        </w:tc>
      </w:tr>
      <w:tr>
        <w:tc>
          <w:tcPr>
            <w:tcW w:type="dxa" w:w="3360"/>
          </w:tcPr>
          <w:p>
            <w:pPr>
              <w:jc w:val="center"/>
            </w:pPr>
            <w:r>
              <w:rPr>
                <w:rFonts w:ascii="Times New Roman" w:hAnsi="Times New Roman"/>
                <w:sz w:val="16"/>
              </w:rPr>
              <w:t>Threshold coupling</w:t>
            </w:r>
          </w:p>
        </w:tc>
        <w:tc>
          <w:tcPr>
            <w:tcW w:type="dxa" w:w="3360"/>
          </w:tcPr>
          <w:p>
            <w:pPr>
              <w:jc w:val="center"/>
            </w:pPr>
            <w:r>
              <w:rPr>
                <w:rFonts w:ascii="Times New Roman" w:hAnsi="Times New Roman"/>
                <w:sz w:val="16"/>
              </w:rPr>
              <w:t>Anomaly threshold not recalibrated after retraining</w:t>
            </w:r>
          </w:p>
        </w:tc>
        <w:tc>
          <w:tcPr>
            <w:tcW w:type="dxa" w:w="3360"/>
          </w:tcPr>
          <w:p>
            <w:pPr>
              <w:jc w:val="center"/>
            </w:pPr>
            <w:r>
              <w:rPr>
                <w:rFonts w:ascii="Times New Roman" w:hAnsi="Times New Roman"/>
                <w:sz w:val="16"/>
              </w:rPr>
              <w:t>Recalibration applied after each retrain (recurred 3x)</w:t>
            </w:r>
          </w:p>
        </w:tc>
      </w:tr>
      <w:tr>
        <w:tc>
          <w:tcPr>
            <w:tcW w:type="dxa" w:w="3360"/>
          </w:tcPr>
          <w:p>
            <w:pPr>
              <w:jc w:val="center"/>
            </w:pPr>
            <w:r>
              <w:rPr>
                <w:rFonts w:ascii="Times New Roman" w:hAnsi="Times New Roman"/>
                <w:sz w:val="16"/>
              </w:rPr>
              <w:t>Computational cost</w:t>
            </w:r>
          </w:p>
        </w:tc>
        <w:tc>
          <w:tcPr>
            <w:tcW w:type="dxa" w:w="3360"/>
          </w:tcPr>
          <w:p>
            <w:pPr>
              <w:jc w:val="center"/>
            </w:pPr>
            <w:r>
              <w:rPr>
                <w:rFonts w:ascii="Times New Roman" w:hAnsi="Times New Roman"/>
                <w:sz w:val="16"/>
              </w:rPr>
              <w:t>Optimization remained 13-26x over its timing budget</w:t>
            </w:r>
          </w:p>
        </w:tc>
        <w:tc>
          <w:tcPr>
            <w:tcW w:type="dxa" w:w="3360"/>
          </w:tcPr>
          <w:p>
            <w:pPr>
              <w:jc w:val="center"/>
            </w:pPr>
            <w:r>
              <w:rPr>
                <w:rFonts w:ascii="Times New Roman" w:hAnsi="Times New Roman"/>
                <w:sz w:val="16"/>
              </w:rPr>
              <w:t>Expensive call removed; cost reduced from 52.3s to 5.67s</w:t>
            </w:r>
          </w:p>
        </w:tc>
      </w:tr>
      <w:tr>
        <w:tc>
          <w:tcPr>
            <w:tcW w:type="dxa" w:w="3360"/>
          </w:tcPr>
          <w:p>
            <w:pPr>
              <w:jc w:val="center"/>
            </w:pPr>
            <w:r>
              <w:rPr>
                <w:rFonts w:ascii="Times New Roman" w:hAnsi="Times New Roman"/>
                <w:sz w:val="16"/>
              </w:rPr>
              <w:t>Pipeline robustness</w:t>
            </w:r>
          </w:p>
        </w:tc>
        <w:tc>
          <w:tcPr>
            <w:tcW w:type="dxa" w:w="3360"/>
          </w:tcPr>
          <w:p>
            <w:pPr>
              <w:jc w:val="center"/>
            </w:pPr>
            <w:r>
              <w:rPr>
                <w:rFonts w:ascii="Times New Roman" w:hAnsi="Times New Roman"/>
                <w:sz w:val="16"/>
              </w:rPr>
              <w:t>Offline pipeline failed on realistic data volume</w:t>
            </w:r>
          </w:p>
        </w:tc>
        <w:tc>
          <w:tcPr>
            <w:tcW w:type="dxa" w:w="3360"/>
          </w:tcPr>
          <w:p>
            <w:pPr>
              <w:jc w:val="center"/>
            </w:pPr>
            <w:r>
              <w:rPr>
                <w:rFonts w:ascii="Times New Roman" w:hAnsi="Times New Roman"/>
                <w:sz w:val="16"/>
              </w:rPr>
              <w:t>Rewritten as a single streaming pass</w:t>
            </w:r>
          </w:p>
        </w:tc>
      </w:tr>
      <w:tr>
        <w:tc>
          <w:tcPr>
            <w:tcW w:type="dxa" w:w="3360"/>
          </w:tcPr>
          <w:p>
            <w:pPr>
              <w:jc w:val="center"/>
            </w:pPr>
            <w:r>
              <w:rPr>
                <w:rFonts w:ascii="Times New Roman" w:hAnsi="Times New Roman"/>
                <w:sz w:val="16"/>
              </w:rPr>
              <w:t>Response integration</w:t>
            </w:r>
          </w:p>
        </w:tc>
        <w:tc>
          <w:tcPr>
            <w:tcW w:type="dxa" w:w="3360"/>
          </w:tcPr>
          <w:p>
            <w:pPr>
              <w:jc w:val="center"/>
            </w:pPr>
            <w:r>
              <w:rPr>
                <w:rFonts w:ascii="Times New Roman" w:hAnsi="Times New Roman"/>
                <w:sz w:val="16"/>
              </w:rPr>
              <w:t>Response module implemented but never invoked</w:t>
            </w:r>
          </w:p>
        </w:tc>
        <w:tc>
          <w:tcPr>
            <w:tcW w:type="dxa" w:w="3360"/>
          </w:tcPr>
          <w:p>
            <w:pPr>
              <w:jc w:val="center"/>
            </w:pPr>
            <w:r>
              <w:rPr>
                <w:rFonts w:ascii="Times New Roman" w:hAnsi="Times New Roman"/>
                <w:sz w:val="16"/>
              </w:rPr>
              <w:t>Connected to the alert pipeline; disabled by default</w:t>
            </w:r>
          </w:p>
        </w:tc>
      </w:tr>
    </w:tbl>
    <w:p/>
    <w:p>
      <w:pPr>
        <w:spacing w:before="200" w:after="120"/>
        <w:jc w:val="center"/>
      </w:pPr>
      <w:r>
        <w:rPr>
          <w:rFonts w:ascii="Times New Roman" w:hAnsi="Times New Roman"/>
          <w:b/>
          <w:sz w:val="20"/>
        </w:rPr>
        <w:t>V. EXPERIMENTAL RESULTS</w:t>
      </w:r>
    </w:p>
    <w:p>
      <w:pPr>
        <w:spacing w:before="120" w:after="60"/>
      </w:pPr>
      <w:r>
        <w:rPr>
          <w:rFonts w:ascii="Times New Roman" w:hAnsi="Times New Roman"/>
          <w:b/>
          <w:i/>
          <w:sz w:val="20"/>
        </w:rPr>
        <w:t>A. Classification Performance</w:t>
      </w:r>
    </w:p>
    <w:p>
      <w:pPr>
        <w:spacing w:after="0"/>
        <w:ind w:firstLine="288"/>
        <w:jc w:val="both"/>
      </w:pPr>
      <w:r>
        <w:rPr>
          <w:rFonts w:ascii="Times New Roman" w:hAnsi="Times New Roman"/>
          <w:sz w:val="20"/>
        </w:rPr>
        <w:t>Table II reports classification performance on the final 2,999-row dataset (1,999 goodware, 800 encryptor ransomware, 200 locker ransomware) under three evaluation protocols: the conventional shuffled ten-fold cross-validation used prior to the finding reported in Section IV-G; a single run of group-aware ten-fold cross-validation, correcting the duplicate-vector leakage identified in that section; and the mean of ten independent repetitions of the group-aware procedure, each using an independently randomized group-to-fold assignment, from which an interval is obtained by treating each repetition's mean as one independent replicate.</w:t>
      </w:r>
    </w:p>
    <w:p>
      <w:pPr>
        <w:spacing w:after="60"/>
        <w:jc w:val="center"/>
      </w:pPr>
      <w:r>
        <w:rPr>
          <w:rFonts w:ascii="Times New Roman" w:hAnsi="Times New Roman"/>
          <w:sz w:val="18"/>
        </w:rPr>
        <w:t>TABLE II</w:t>
        <w:br/>
      </w:r>
      <w:r>
        <w:rPr>
          <w:rFonts w:ascii="Times New Roman" w:hAnsi="Times New Roman"/>
          <w:sz w:val="18"/>
        </w:rPr>
        <w:t>CROSS-VALIDATION SUMMARY: NAIVE VS. GROUP-AWARE</w:t>
      </w:r>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Value</w:t>
            </w:r>
          </w:p>
        </w:tc>
      </w:tr>
      <w:tr>
        <w:tc>
          <w:tcPr>
            <w:tcW w:type="dxa" w:w="5040"/>
          </w:tcPr>
          <w:p>
            <w:r>
              <w:t>Naive shuffled 10-fold CV (uncorrected)</w:t>
            </w:r>
          </w:p>
        </w:tc>
        <w:tc>
          <w:tcPr>
            <w:tcW w:type="dxa" w:w="5040"/>
          </w:tcPr>
          <w:p>
            <w:r>
              <w:t>98.10% (std 0.62%)</w:t>
            </w:r>
          </w:p>
        </w:tc>
      </w:tr>
      <w:tr>
        <w:tc>
          <w:tcPr>
            <w:tcW w:type="dxa" w:w="5040"/>
          </w:tcPr>
          <w:p>
            <w:r>
              <w:t>Group-aware 10-fold CV, single run</w:t>
            </w:r>
          </w:p>
        </w:tc>
        <w:tc>
          <w:tcPr>
            <w:tcW w:type="dxa" w:w="5040"/>
          </w:tcPr>
          <w:p>
            <w:r>
              <w:t>85.59% (std 15.39%)</w:t>
            </w:r>
          </w:p>
        </w:tc>
      </w:tr>
      <w:tr>
        <w:tc>
          <w:tcPr>
            <w:tcW w:type="dxa" w:w="5040"/>
          </w:tcPr>
          <w:p>
            <w:r>
              <w:t>Group-aware CV, 10 repeats, grand mean</w:t>
            </w:r>
          </w:p>
        </w:tc>
        <w:tc>
          <w:tcPr>
            <w:tcW w:type="dxa" w:w="5040"/>
          </w:tcPr>
          <w:p>
            <w:r>
              <w:t>85.50%</w:t>
            </w:r>
          </w:p>
        </w:tc>
      </w:tr>
      <w:tr>
        <w:tc>
          <w:tcPr>
            <w:tcW w:type="dxa" w:w="5040"/>
          </w:tcPr>
          <w:p>
            <w:r>
              <w:t>Repeated-CV interval (10 replicates)</w:t>
            </w:r>
          </w:p>
        </w:tc>
        <w:tc>
          <w:tcPr>
            <w:tcW w:type="dxa" w:w="5040"/>
          </w:tcPr>
          <w:p>
            <w:r>
              <w:t>84.86% - 86.14%</w:t>
            </w:r>
          </w:p>
        </w:tc>
      </w:tr>
      <w:tr>
        <w:tc>
          <w:tcPr>
            <w:tcW w:type="dxa" w:w="5040"/>
          </w:tcPr>
          <w:p>
            <w:r>
              <w:t>Raw per-fold range (100 folds, 10 repeats)</w:t>
            </w:r>
          </w:p>
        </w:tc>
        <w:tc>
          <w:tcPr>
            <w:tcW w:type="dxa" w:w="5040"/>
          </w:tcPr>
          <w:p>
            <w:r>
              <w:t>40.48% - 100.00%</w:t>
            </w:r>
          </w:p>
        </w:tc>
      </w:tr>
    </w:tbl>
    <w:p/>
    <w:p>
      <w:pPr>
        <w:spacing w:after="60"/>
        <w:jc w:val="center"/>
      </w:pPr>
      <w:r>
        <w:rPr>
          <w:rFonts w:ascii="Times New Roman" w:hAnsi="Times New Roman"/>
          <w:sz w:val="18"/>
        </w:rPr>
        <w:t>TABLE III</w:t>
        <w:br/>
      </w:r>
      <w:r>
        <w:rPr>
          <w:rFonts w:ascii="Times New Roman" w:hAnsi="Times New Roman"/>
          <w:sz w:val="18"/>
        </w:rPr>
        <w:t>PER-CLASS CLASSIFICATION PERFORMANCE (SINGLE GROUP-AWARE RUN; SEE TABLE II FOR THE REPEATED-CV OVERALL ESTIMATE)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Class</w:t>
            </w:r>
          </w:p>
        </w:tc>
        <w:tc>
          <w:tcPr>
            <w:tcW w:type="dxa" w:w="2520"/>
          </w:tcPr>
          <w:p>
            <w:r>
              <w:t>Precision</w:t>
            </w:r>
          </w:p>
        </w:tc>
        <w:tc>
          <w:tcPr>
            <w:tcW w:type="dxa" w:w="2520"/>
          </w:tcPr>
          <w:p>
            <w:r>
              <w:t>Recall</w:t>
            </w:r>
          </w:p>
        </w:tc>
        <w:tc>
          <w:tcPr>
            <w:tcW w:type="dxa" w:w="2520"/>
          </w:tcPr>
          <w:p>
            <w:r>
              <w:t>F1-score</w:t>
            </w:r>
          </w:p>
        </w:tc>
      </w:tr>
      <w:tr>
        <w:tc>
          <w:tcPr>
            <w:tcW w:type="dxa" w:w="2520"/>
          </w:tcPr>
          <w:p>
            <w:r>
              <w:t>Encryptor (E)</w:t>
            </w:r>
          </w:p>
        </w:tc>
        <w:tc>
          <w:tcPr>
            <w:tcW w:type="dxa" w:w="2520"/>
          </w:tcPr>
          <w:p>
            <w:r>
              <w:t>80.26% ± 21.54%</w:t>
            </w:r>
          </w:p>
        </w:tc>
        <w:tc>
          <w:tcPr>
            <w:tcW w:type="dxa" w:w="2520"/>
          </w:tcPr>
          <w:p>
            <w:r>
              <w:t>84.25% ± 16.51%</w:t>
            </w:r>
          </w:p>
        </w:tc>
        <w:tc>
          <w:tcPr>
            <w:tcW w:type="dxa" w:w="2520"/>
          </w:tcPr>
          <w:p>
            <w:r>
              <w:t>78.90% ± 15.35%</w:t>
            </w:r>
          </w:p>
        </w:tc>
      </w:tr>
      <w:tr>
        <w:tc>
          <w:tcPr>
            <w:tcW w:type="dxa" w:w="2520"/>
          </w:tcPr>
          <w:p>
            <w:r>
              <w:t>Goodware (G)</w:t>
            </w:r>
          </w:p>
        </w:tc>
        <w:tc>
          <w:tcPr>
            <w:tcW w:type="dxa" w:w="2520"/>
          </w:tcPr>
          <w:p>
            <w:r>
              <w:t>96.31% ± 4.95%</w:t>
            </w:r>
          </w:p>
        </w:tc>
        <w:tc>
          <w:tcPr>
            <w:tcW w:type="dxa" w:w="2520"/>
          </w:tcPr>
          <w:p>
            <w:r>
              <w:t>87.36% ± 25.16%</w:t>
            </w:r>
          </w:p>
        </w:tc>
        <w:tc>
          <w:tcPr>
            <w:tcW w:type="dxa" w:w="2520"/>
          </w:tcPr>
          <w:p>
            <w:r>
              <w:t>88.53% ± 21.41%</w:t>
            </w:r>
          </w:p>
        </w:tc>
      </w:tr>
      <w:tr>
        <w:tc>
          <w:tcPr>
            <w:tcW w:type="dxa" w:w="2520"/>
          </w:tcPr>
          <w:p>
            <w:r>
              <w:t>Locker (L)</w:t>
            </w:r>
          </w:p>
        </w:tc>
        <w:tc>
          <w:tcPr>
            <w:tcW w:type="dxa" w:w="2520"/>
          </w:tcPr>
          <w:p>
            <w:r>
              <w:t>64.89% ± 39.75%</w:t>
            </w:r>
          </w:p>
        </w:tc>
        <w:tc>
          <w:tcPr>
            <w:tcW w:type="dxa" w:w="2520"/>
          </w:tcPr>
          <w:p>
            <w:r>
              <w:t>69.50% ± 39.65%</w:t>
            </w:r>
          </w:p>
        </w:tc>
        <w:tc>
          <w:tcPr>
            <w:tcW w:type="dxa" w:w="2520"/>
          </w:tcPr>
          <w:p>
            <w:r>
              <w:t>65.09% ± 37.60%</w:t>
            </w:r>
          </w:p>
        </w:tc>
      </w:tr>
    </w:tbl>
    <w:p/>
    <w:p>
      <w:pPr>
        <w:spacing w:after="0"/>
        <w:ind w:firstLine="288"/>
        <w:jc w:val="both"/>
      </w:pPr>
      <w:r>
        <w:rPr>
          <w:rFonts w:ascii="Times New Roman" w:hAnsi="Times New Roman"/>
          <w:sz w:val="20"/>
        </w:rPr>
        <w:t>Under the corrected, group-aware evaluation protocol, the classifier no longer attains near-perfect precision on the goodware class: 245 of 1,999 goodware windows (12.3%) are misclassified as encryptor ransomware in the aggregated confusion matrix, compared to zero under the original shuffled evaluation. Recall on the locker-ransomware class, previously near-perfect, falls to approximately 70%, with the largest fold-to-fold variance of the three classes; this class has only 60 distinct feature vectors among its 200 rows, likely an insufficient number of distinct groups to support a stable per-fold estimate under ten-fold partitioning, and is treated as a data-scarcity limitation rather than a modeling deficiency (Section VI). Repeating the group-aware procedure ten times with independently randomized fold assignments yields a mean accuracy of 85.50%, closely matching the single-run figure of 85.59% and indicating the corrected estimate is not an artifact of one particular partition; the standard error computed across these ten repetitions, a more defensible unit of replication than individual folds within a single run, yields the interval reported in Table II, while the raw per-fold accuracy continues to range from approximately 40% to 100% in every repetition, indicating this spread is a structural property of the data rather than sampling noise that averages out with additional repetitions. The most important features by XGBoost feature importance, in the final model trained on the complete corrected dataset, were directory_enumerated (20.6%), apistats (17.5%), and file_created (14.2%) — the three features affected by the finding reported in Section IV-A, consistent with the correction of their collection having been the appropriate priority.</w:t>
      </w:r>
    </w:p>
    <w:p>
      <w:r>
        <w:rPr>
          <w:rFonts w:ascii="Times New Roman" w:hAnsi="Times New Roman"/>
          <w:i/>
          <w:color w:val="B00000"/>
          <w:sz w:val="18"/>
        </w:rPr>
        <w:t>[TODO: Insert Fig. showing paired confusion-matrix heatmaps (naive vs. group-aware evaluation) and the updated feature importance chart here - see diagrams.txt items 3-4.]</w:t>
      </w:r>
    </w:p>
    <w:p>
      <w:pPr>
        <w:spacing w:before="120" w:after="60"/>
      </w:pPr>
      <w:r>
        <w:rPr>
          <w:rFonts w:ascii="Times New Roman" w:hAnsi="Times New Roman"/>
          <w:b/>
          <w:i/>
          <w:sz w:val="20"/>
        </w:rPr>
        <w:t>B. Anomaly Detection Performance</w:t>
      </w:r>
    </w:p>
    <w:p>
      <w:pPr>
        <w:spacing w:after="60"/>
        <w:jc w:val="center"/>
      </w:pPr>
      <w:r>
        <w:rPr>
          <w:rFonts w:ascii="Times New Roman" w:hAnsi="Times New Roman"/>
          <w:sz w:val="18"/>
        </w:rPr>
        <w:t>TABLE IV</w:t>
        <w:br/>
      </w:r>
      <w:r>
        <w:rPr>
          <w:rFonts w:ascii="Times New Roman" w:hAnsi="Times New Roman"/>
          <w:sz w:val="18"/>
        </w:rPr>
        <w:t>AUTOENCODER RESULTS ACROSS RETRAINING CYCLES (ROWS 1-4: HISTORICAL, IN-SAMPLE; ROW 5: HELD-OUT, THIS WORK)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pPr>
              <w:jc w:val="center"/>
            </w:pPr>
            <w:r>
              <w:rPr>
                <w:rFonts w:ascii="Times New Roman" w:hAnsi="Times New Roman"/>
                <w:b/>
                <w:sz w:val="16"/>
              </w:rPr>
              <w:t>Version</w:t>
            </w:r>
          </w:p>
        </w:tc>
        <w:tc>
          <w:tcPr>
            <w:tcW w:type="dxa" w:w="2520"/>
          </w:tcPr>
          <w:p>
            <w:pPr>
              <w:jc w:val="center"/>
            </w:pPr>
            <w:r>
              <w:rPr>
                <w:rFonts w:ascii="Times New Roman" w:hAnsi="Times New Roman"/>
                <w:b/>
                <w:sz w:val="16"/>
              </w:rPr>
              <w:t>Goodware Error</w:t>
            </w:r>
          </w:p>
        </w:tc>
        <w:tc>
          <w:tcPr>
            <w:tcW w:type="dxa" w:w="2520"/>
          </w:tcPr>
          <w:p>
            <w:pPr>
              <w:jc w:val="center"/>
            </w:pPr>
            <w:r>
              <w:rPr>
                <w:rFonts w:ascii="Times New Roman" w:hAnsi="Times New Roman"/>
                <w:b/>
                <w:sz w:val="16"/>
              </w:rPr>
              <w:t>F1-score</w:t>
            </w:r>
          </w:p>
        </w:tc>
        <w:tc>
          <w:tcPr>
            <w:tcW w:type="dxa" w:w="2520"/>
          </w:tcPr>
          <w:p>
            <w:pPr>
              <w:jc w:val="center"/>
            </w:pPr>
            <w:r>
              <w:rPr>
                <w:rFonts w:ascii="Times New Roman" w:hAnsi="Times New Roman"/>
                <w:b/>
                <w:sz w:val="16"/>
              </w:rPr>
              <w:t>Threshold</w:t>
            </w:r>
          </w:p>
        </w:tc>
      </w:tr>
      <w:tr>
        <w:tc>
          <w:tcPr>
            <w:tcW w:type="dxa" w:w="2520"/>
          </w:tcPr>
          <w:p>
            <w:pPr>
              <w:jc w:val="center"/>
            </w:pPr>
            <w:r>
              <w:rPr>
                <w:rFonts w:ascii="Times New Roman" w:hAnsi="Times New Roman"/>
                <w:sz w:val="16"/>
              </w:rPr>
              <w:t>Baseline</w:t>
            </w:r>
          </w:p>
        </w:tc>
        <w:tc>
          <w:tcPr>
            <w:tcW w:type="dxa" w:w="2520"/>
          </w:tcPr>
          <w:p>
            <w:pPr>
              <w:jc w:val="center"/>
            </w:pPr>
            <w:r>
              <w:rPr>
                <w:rFonts w:ascii="Times New Roman" w:hAnsi="Times New Roman"/>
                <w:sz w:val="16"/>
              </w:rPr>
              <w:t>0.137</w:t>
            </w:r>
          </w:p>
        </w:tc>
        <w:tc>
          <w:tcPr>
            <w:tcW w:type="dxa" w:w="2520"/>
          </w:tcPr>
          <w:p>
            <w:pPr>
              <w:jc w:val="center"/>
            </w:pPr>
            <w:r>
              <w:rPr>
                <w:rFonts w:ascii="Times New Roman" w:hAnsi="Times New Roman"/>
                <w:sz w:val="16"/>
              </w:rPr>
              <w:t>0.70</w:t>
            </w:r>
          </w:p>
        </w:tc>
        <w:tc>
          <w:tcPr>
            <w:tcW w:type="dxa" w:w="2520"/>
          </w:tcPr>
          <w:p>
            <w:pPr>
              <w:jc w:val="center"/>
            </w:pPr>
            <w:r>
              <w:rPr>
                <w:rFonts w:ascii="Times New Roman" w:hAnsi="Times New Roman"/>
                <w:sz w:val="16"/>
              </w:rPr>
              <w:t>0.18</w:t>
            </w:r>
          </w:p>
        </w:tc>
      </w:tr>
      <w:tr>
        <w:tc>
          <w:tcPr>
            <w:tcW w:type="dxa" w:w="2520"/>
          </w:tcPr>
          <w:p>
            <w:pPr>
              <w:jc w:val="center"/>
            </w:pPr>
            <w:r>
              <w:rPr>
                <w:rFonts w:ascii="Times New Roman" w:hAnsi="Times New Roman"/>
                <w:sz w:val="16"/>
              </w:rPr>
              <w:t>Retrain 1</w:t>
            </w:r>
          </w:p>
        </w:tc>
        <w:tc>
          <w:tcPr>
            <w:tcW w:type="dxa" w:w="2520"/>
          </w:tcPr>
          <w:p>
            <w:pPr>
              <w:jc w:val="center"/>
            </w:pPr>
            <w:r>
              <w:rPr>
                <w:rFonts w:ascii="Times New Roman" w:hAnsi="Times New Roman"/>
                <w:sz w:val="16"/>
              </w:rPr>
              <w:t>0.336</w:t>
            </w:r>
          </w:p>
        </w:tc>
        <w:tc>
          <w:tcPr>
            <w:tcW w:type="dxa" w:w="2520"/>
          </w:tcPr>
          <w:p>
            <w:pPr>
              <w:jc w:val="center"/>
            </w:pPr>
            <w:r>
              <w:rPr>
                <w:rFonts w:ascii="Times New Roman" w:hAnsi="Times New Roman"/>
                <w:sz w:val="16"/>
              </w:rPr>
              <w:t>0.62</w:t>
            </w:r>
          </w:p>
        </w:tc>
        <w:tc>
          <w:tcPr>
            <w:tcW w:type="dxa" w:w="2520"/>
          </w:tcPr>
          <w:p>
            <w:pPr>
              <w:jc w:val="center"/>
            </w:pPr>
            <w:r>
              <w:rPr>
                <w:rFonts w:ascii="Times New Roman" w:hAnsi="Times New Roman"/>
                <w:sz w:val="16"/>
              </w:rPr>
              <w:t>0.6955</w:t>
            </w:r>
          </w:p>
        </w:tc>
      </w:tr>
      <w:tr>
        <w:tc>
          <w:tcPr>
            <w:tcW w:type="dxa" w:w="2520"/>
          </w:tcPr>
          <w:p>
            <w:pPr>
              <w:jc w:val="center"/>
            </w:pPr>
            <w:r>
              <w:rPr>
                <w:rFonts w:ascii="Times New Roman" w:hAnsi="Times New Roman"/>
                <w:sz w:val="16"/>
              </w:rPr>
              <w:t>Retrain 2</w:t>
            </w:r>
          </w:p>
        </w:tc>
        <w:tc>
          <w:tcPr>
            <w:tcW w:type="dxa" w:w="2520"/>
          </w:tcPr>
          <w:p>
            <w:pPr>
              <w:jc w:val="center"/>
            </w:pPr>
            <w:r>
              <w:rPr>
                <w:rFonts w:ascii="Times New Roman" w:hAnsi="Times New Roman"/>
                <w:sz w:val="16"/>
              </w:rPr>
              <w:t>0.4645</w:t>
            </w:r>
          </w:p>
        </w:tc>
        <w:tc>
          <w:tcPr>
            <w:tcW w:type="dxa" w:w="2520"/>
          </w:tcPr>
          <w:p>
            <w:pPr>
              <w:jc w:val="center"/>
            </w:pPr>
            <w:r>
              <w:rPr>
                <w:rFonts w:ascii="Times New Roman" w:hAnsi="Times New Roman"/>
                <w:sz w:val="16"/>
              </w:rPr>
              <w:t>0.7036</w:t>
            </w:r>
          </w:p>
        </w:tc>
        <w:tc>
          <w:tcPr>
            <w:tcW w:type="dxa" w:w="2520"/>
          </w:tcPr>
          <w:p>
            <w:pPr>
              <w:jc w:val="center"/>
            </w:pPr>
            <w:r>
              <w:rPr>
                <w:rFonts w:ascii="Times New Roman" w:hAnsi="Times New Roman"/>
                <w:sz w:val="16"/>
              </w:rPr>
              <w:t>0.4306</w:t>
            </w:r>
          </w:p>
        </w:tc>
      </w:tr>
      <w:tr>
        <w:tc>
          <w:tcPr>
            <w:tcW w:type="dxa" w:w="2520"/>
          </w:tcPr>
          <w:p>
            <w:pPr>
              <w:jc w:val="center"/>
            </w:pPr>
            <w:r>
              <w:rPr>
                <w:rFonts w:ascii="Times New Roman" w:hAnsi="Times New Roman"/>
                <w:sz w:val="16"/>
              </w:rPr>
              <w:t>Final</w:t>
            </w:r>
          </w:p>
        </w:tc>
        <w:tc>
          <w:tcPr>
            <w:tcW w:type="dxa" w:w="2520"/>
          </w:tcPr>
          <w:p>
            <w:pPr>
              <w:jc w:val="center"/>
            </w:pPr>
            <w:r>
              <w:rPr>
                <w:rFonts w:ascii="Times New Roman" w:hAnsi="Times New Roman"/>
                <w:sz w:val="16"/>
              </w:rPr>
              <w:t>0.508</w:t>
            </w:r>
          </w:p>
        </w:tc>
        <w:tc>
          <w:tcPr>
            <w:tcW w:type="dxa" w:w="2520"/>
          </w:tcPr>
          <w:p>
            <w:pPr>
              <w:jc w:val="center"/>
            </w:pPr>
            <w:r>
              <w:rPr>
                <w:rFonts w:ascii="Times New Roman" w:hAnsi="Times New Roman"/>
                <w:sz w:val="16"/>
              </w:rPr>
              <w:t>0.6069</w:t>
            </w:r>
          </w:p>
        </w:tc>
        <w:tc>
          <w:tcPr>
            <w:tcW w:type="dxa" w:w="2520"/>
          </w:tcPr>
          <w:p>
            <w:pPr>
              <w:jc w:val="center"/>
            </w:pPr>
            <w:r>
              <w:rPr>
                <w:rFonts w:ascii="Times New Roman" w:hAnsi="Times New Roman"/>
                <w:sz w:val="16"/>
              </w:rPr>
              <w:t>0.541678</w:t>
            </w:r>
          </w:p>
        </w:tc>
      </w:tr>
      <w:tr>
        <w:tc>
          <w:tcPr>
            <w:tcW w:type="dxa" w:w="2520"/>
          </w:tcPr>
          <w:p>
            <w:r>
              <w:t>Held-out, seeded (this work, mean of 10 seeds)</w:t>
            </w:r>
          </w:p>
        </w:tc>
        <w:tc>
          <w:tcPr>
            <w:tcW w:type="dxa" w:w="2520"/>
          </w:tcPr>
          <w:p>
            <w:r>
              <w:t>0.545 (final model)</w:t>
            </w:r>
          </w:p>
        </w:tc>
        <w:tc>
          <w:tcPr>
            <w:tcW w:type="dxa" w:w="2520"/>
          </w:tcPr>
          <w:p>
            <w:r>
              <w:t>0.637 ± 0.020</w:t>
            </w:r>
          </w:p>
        </w:tc>
        <w:tc>
          <w:tcPr>
            <w:tcW w:type="dxa" w:w="2520"/>
          </w:tcPr>
          <w:p>
            <w:r>
              <w:t>0.774228 (final model)</w:t>
            </w:r>
          </w:p>
        </w:tc>
      </w:tr>
    </w:tbl>
    <w:p/>
    <w:p>
      <w:pPr>
        <w:spacing w:after="0"/>
        <w:ind w:firstLine="288"/>
        <w:jc w:val="both"/>
      </w:pPr>
      <w:r>
        <w:rPr>
          <w:rFonts w:ascii="Times New Roman" w:hAnsi="Times New Roman"/>
          <w:sz w:val="20"/>
        </w:rPr>
        <w:t>The detection F1-score reported across the four retraining cycles above (Table IV, rows 1-4) fluctuated between 0.58 and 0.70 despite a generally increasing quantity of real training data, and each of those four figures was computed on an evaluation set overlapping the autoencoder's own training data, the methodological issue identified in Section IV-G. Correcting for this by partitioning the goodware corpus into disjoint training, threshold-calibration, and evaluation subsets prior to training, and repeating the procedure across ten independently seeded models trained on an identical partition, yields a mean held-out F1-score of 0.637 (standard deviation 0.020, range 0.612-0.680; Table IV, row 5). This seed-only range, obtained with training data and architecture held fixed, spans approximately 55% of the entire historical fluctuation range reported above, indicating that a majority of the previously observed variation across retraining cycles is attributable to unseeded model initialization rather than to the data or methodology changes each cycle was originally attributed to; the remaining variation may still reflect a real effect of those changes, which this analysis does not isolate. A previously tested hypothesis, attributing part of the historical fluctuation to a small number of high-activity goodware windows widening the model's learned representation of normal behavior, was evaluated directly by excluding the busiest five percent of goodware windows from training; this reduced F1-score from 0.6069 to 0.5811 rather than improving it and was reverted, and is reported as a negative result independent of the seed-variance finding above.</w:t>
      </w:r>
    </w:p>
    <w:p>
      <w:pPr>
        <w:spacing w:before="120" w:after="60"/>
      </w:pPr>
      <w:r>
        <w:rPr>
          <w:rFonts w:ascii="Times New Roman" w:hAnsi="Times New Roman"/>
          <w:b/>
          <w:i/>
          <w:sz w:val="20"/>
        </w:rPr>
        <w:t>C. Analysis of the Encryptor-Class Recall Limitation</w:t>
      </w:r>
    </w:p>
    <w:p>
      <w:pPr>
        <w:spacing w:after="60"/>
        <w:jc w:val="center"/>
      </w:pPr>
      <w:r>
        <w:rPr>
          <w:rFonts w:ascii="Times New Roman" w:hAnsi="Times New Roman"/>
          <w:sz w:val="18"/>
        </w:rPr>
        <w:t>TABLE V</w:t>
        <w:br/>
      </w:r>
      <w:r>
        <w:rPr>
          <w:rFonts w:ascii="Times New Roman" w:hAnsi="Times New Roman"/>
          <w:sz w:val="18"/>
        </w:rPr>
        <w:t>INTERVENTIONS ATTEMPTED FOR THE RECALL LIMITATION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pPr>
              <w:jc w:val="center"/>
            </w:pPr>
            <w:r>
              <w:rPr>
                <w:rFonts w:ascii="Times New Roman" w:hAnsi="Times New Roman"/>
                <w:b/>
                <w:sz w:val="16"/>
              </w:rPr>
              <w:t>Intervention</w:t>
            </w:r>
          </w:p>
        </w:tc>
        <w:tc>
          <w:tcPr>
            <w:tcW w:type="dxa" w:w="3360"/>
          </w:tcPr>
          <w:p>
            <w:pPr>
              <w:jc w:val="center"/>
            </w:pPr>
            <w:r>
              <w:rPr>
                <w:rFonts w:ascii="Times New Roman" w:hAnsi="Times New Roman"/>
                <w:b/>
                <w:sz w:val="16"/>
              </w:rPr>
              <w:t>Effect on Recall</w:t>
            </w:r>
          </w:p>
        </w:tc>
        <w:tc>
          <w:tcPr>
            <w:tcW w:type="dxa" w:w="3360"/>
          </w:tcPr>
          <w:p>
            <w:pPr>
              <w:jc w:val="center"/>
            </w:pPr>
            <w:r>
              <w:rPr>
                <w:rFonts w:ascii="Times New Roman" w:hAnsi="Times New Roman"/>
                <w:b/>
                <w:sz w:val="16"/>
              </w:rPr>
              <w:t>Outcome</w:t>
            </w:r>
          </w:p>
        </w:tc>
      </w:tr>
      <w:tr>
        <w:tc>
          <w:tcPr>
            <w:tcW w:type="dxa" w:w="3360"/>
          </w:tcPr>
          <w:p>
            <w:pPr>
              <w:jc w:val="center"/>
            </w:pPr>
            <w:r>
              <w:rPr>
                <w:rFonts w:ascii="Times New Roman" w:hAnsi="Times New Roman"/>
                <w:sz w:val="16"/>
              </w:rPr>
              <w:t>Class-weighted training</w:t>
            </w:r>
          </w:p>
        </w:tc>
        <w:tc>
          <w:tcPr>
            <w:tcW w:type="dxa" w:w="3360"/>
          </w:tcPr>
          <w:p>
            <w:pPr>
              <w:jc w:val="center"/>
            </w:pPr>
            <w:r>
              <w:rPr>
                <w:rFonts w:ascii="Times New Roman" w:hAnsi="Times New Roman"/>
                <w:sz w:val="16"/>
              </w:rPr>
              <w:t>+0.12 percentage points</w:t>
            </w:r>
          </w:p>
        </w:tc>
        <w:tc>
          <w:tcPr>
            <w:tcW w:type="dxa" w:w="3360"/>
          </w:tcPr>
          <w:p>
            <w:pPr>
              <w:jc w:val="center"/>
            </w:pPr>
            <w:r>
              <w:rPr>
                <w:rFonts w:ascii="Times New Roman" w:hAnsi="Times New Roman"/>
                <w:sz w:val="16"/>
              </w:rPr>
              <w:t>Within cross-fold variation</w:t>
            </w:r>
          </w:p>
        </w:tc>
      </w:tr>
      <w:tr>
        <w:tc>
          <w:tcPr>
            <w:tcW w:type="dxa" w:w="3360"/>
          </w:tcPr>
          <w:p>
            <w:pPr>
              <w:jc w:val="center"/>
            </w:pPr>
            <w:r>
              <w:rPr>
                <w:rFonts w:ascii="Times New Roman" w:hAnsi="Times New Roman"/>
                <w:sz w:val="16"/>
              </w:rPr>
              <w:t>Threshold reduction (0.85 to 0.30)</w:t>
            </w:r>
          </w:p>
        </w:tc>
        <w:tc>
          <w:tcPr>
            <w:tcW w:type="dxa" w:w="3360"/>
          </w:tcPr>
          <w:p>
            <w:pPr>
              <w:jc w:val="center"/>
            </w:pPr>
            <w:r>
              <w:rPr>
                <w:rFonts w:ascii="Times New Roman" w:hAnsi="Times New Roman"/>
                <w:sz w:val="16"/>
              </w:rPr>
              <w:t>+0.5 percentage points</w:t>
            </w:r>
          </w:p>
        </w:tc>
        <w:tc>
          <w:tcPr>
            <w:tcW w:type="dxa" w:w="3360"/>
          </w:tcPr>
          <w:p>
            <w:pPr>
              <w:jc w:val="center"/>
            </w:pPr>
            <w:r>
              <w:rPr>
                <w:rFonts w:ascii="Times New Roman" w:hAnsi="Times New Roman"/>
                <w:sz w:val="16"/>
              </w:rPr>
              <w:t>No meaningful change</w:t>
            </w:r>
          </w:p>
        </w:tc>
      </w:tr>
    </w:tbl>
    <w:p/>
    <w:p>
      <w:pPr>
        <w:spacing w:after="0"/>
        <w:ind w:firstLine="288"/>
        <w:jc w:val="both"/>
      </w:pPr>
      <w:r>
        <w:rPr>
          <w:rFonts w:ascii="Times New Roman" w:hAnsi="Times New Roman"/>
          <w:sz w:val="20"/>
        </w:rPr>
        <w:t>Neither intervention produced a meaningful change in encryptor-class recall, and a subsequent inspection of the misclassified samples identifies why: forty of the eight hundred encryptor-ransomware rows have all twelve trained features equal to zero, and are feature-identical to two hundred fifty-five rows labeled goodware. At this resolution, the same input vector carries two different labels, which no classifier can resolve correctly for both simultaneously; this imposes a ceiling on achievable encryptor-class recall of (800-40)/800, or 95.0%, independent of model calibration. All two hundred ninety-five such rows originate from the source dataset's sandboxed collection; none arise from the live-collected goodware corpus. This explains why threshold adjustment, down to a permissive value of 0.30, failed to recover a meaningful proportion of the misclassified samples: their predicted probability of the goodware class is determined by the training-set base rate at this all-zero vector, approximately eighty-seven percent goodware, and is not a borderline value close to any threshold tested.</w:t>
      </w:r>
    </w:p>
    <w:p>
      <w:pPr>
        <w:spacing w:before="120" w:after="60"/>
      </w:pPr>
      <w:r>
        <w:rPr>
          <w:rFonts w:ascii="Times New Roman" w:hAnsi="Times New Roman"/>
          <w:b/>
          <w:i/>
          <w:sz w:val="20"/>
        </w:rPr>
        <w:t>D. Live Deployment Validation</w:t>
      </w:r>
    </w:p>
    <w:p>
      <w:pPr>
        <w:spacing w:after="0"/>
        <w:ind w:firstLine="288"/>
        <w:jc w:val="both"/>
      </w:pPr>
      <w:r>
        <w:rPr>
          <w:rFonts w:ascii="Times New Roman" w:hAnsi="Times New Roman"/>
          <w:sz w:val="20"/>
        </w:rPr>
        <w:t>Two non-interactive live monitoring sessions, of twenty and thirty minutes' duration respectively, were conducted using the corrected monitoring implementation. Direct inspection of the collected telemetry confirmed genuine, non-zero, and varied values for all four features affected by the findings in Section IV-A, including dll_loaded values ranging from approximately 24 to 227 and tree_command_line values including 69, 1056, and 1973, confirming that the corrected implementation produces meaningful signal under live operating conditions.</w:t>
      </w:r>
    </w:p>
    <w:p>
      <w:pPr>
        <w:spacing w:before="120" w:after="60"/>
      </w:pPr>
      <w:r>
        <w:rPr>
          <w:rFonts w:ascii="Times New Roman" w:hAnsi="Times New Roman"/>
          <w:b/>
          <w:i/>
          <w:sz w:val="20"/>
        </w:rPr>
        <w:t>E. Observations From Live Demonstration</w:t>
      </w:r>
    </w:p>
    <w:p>
      <w:pPr>
        <w:spacing w:after="0"/>
        <w:ind w:firstLine="288"/>
        <w:jc w:val="both"/>
      </w:pPr>
      <w:r>
        <w:rPr>
          <w:rFonts w:ascii="Times New Roman" w:hAnsi="Times New Roman"/>
          <w:sz w:val="20"/>
        </w:rPr>
        <w:t>During preparation of a live system demonstration using a self-contained simulated attack against a dedicated, disposable directory, the autoencoder consistently triggered a critical alert (anomaly score 1.0, the maximum value obtainable under the normalization used at the time) across three independent trials, while the XGBoost classifier output a goodware label in all three. This discrepancy was initially attributed to the process monitor operating system-wide rather than being scoped to the monitored directory: the monitor observed its own process, whose machine learning library dependencies caused the dll_loaded feature to exceed eleven thousand within the aggregation window, a value more than one hundred times larger than any value present in the training data, rendering the classifier's output on this input effectively undefined rather than a considered judgment. The autoencoder's behavior in these trials was at the time interpreted as a complementary detection path continuing to function correctly when the classifier did not.</w:t>
      </w:r>
    </w:p>
    <w:p>
      <w:pPr>
        <w:spacing w:after="0"/>
        <w:ind w:firstLine="288"/>
        <w:jc w:val="both"/>
      </w:pPr>
      <w:r>
        <w:rPr>
          <w:rFonts w:ascii="Times New Roman" w:hAnsi="Times New Roman"/>
          <w:sz w:val="20"/>
        </w:rPr>
        <w:t xml:space="preserve">A subsequent negative-control experiment tested this interpretation directly. The same monitoring stack was run against the same disposable directory for an equivalent duration, without executing the attack simulator. The classifier correctly reported a goodware label (confidence 86.1%), but the anomaly score reached 280.47 — a value obtainable only after a separate correction, reported in Section IV-G, removed an upper cap of 1.0 present in the score computation used during the original trials — indicating an anomaly signal substantially more extreme than that observed during the original attack trials, with no attack present. This result does not support the original interpretation: the anomaly-based alert reaches a comparably extreme, or more extreme, level in the complete absence of an attack, under conditions differing from the original trials only in whether the attack simulator was executed. The autoencoder's alert during the original demonstration is therefore better explained as a response to the same system-wide process-monitoring artifact that affected the classifier, rather than as an independent detection of the simulated attack. This finding is discussed further in Section VI and is not corrected in the present work; Section VII proposes scoping the process monitor to exclude its own process identity as the most direct remediation.</w:t>
      </w:r>
    </w:p>
    <w:p>
      <w:pPr>
        <w:spacing w:after="0"/>
        <w:ind w:firstLine="288"/>
        <w:jc w:val="both"/>
      </w:pPr>
      <w:r>
        <w:rPr>
          <w:rFonts w:ascii="Times New Roman" w:hAnsi="Times New Roman"/>
          <w:sz w:val="20"/>
        </w:rPr>
        <w:t>The proposed remediation — excluding the monitoring process's own identity from process_monitor.py's resampling — was implemented and re-tested first. Result: a real but insufficient improvement (a 55.7% reduction in the no-attack anomaly score) that did not restore attack/no-attack discrimination, since the anomaly score during an actual attack remained lower than the no-attack score under the same correction. This was root-caused to a second, distinct issue: dll_loaded is a per-window sum of loaded-module counts across every observed process, so any sufficiently heavy but benign process - not only the monitoring process itself - can push it far outside the range either ransomware class reaches in training (class E maximum 109, class L maximum 44). A second correction clipped dll_loaded to 150 before either model receives it, a value grounded in the training distribution (above both ransomware classes' observed maxima and goodware's 99th percentile of 121, two orders of magnitude below the self-noise-driven outliers) and deliberately not applied to apistats, which legitimately reaches into the hundreds or thousands for class E and would lose genuine attack signal under the same treatment. Paired re-verification with both corrections in place: negative control, P(goodware) 0.9960, anomaly score 6.23; a run with the attack simulator invoked, P(goodware) 0.9985, anomaly score 13.45. The no-attack anomaly score fell 97.8% from the original, uncorrected value, and for the first time in this investigation the anomaly score discriminates in the correct direction, with the attack-run score exceeding the no-attack score by a factor of 2.16. Two limitations remain: the classifier still reports goodware at 99.85% confidence during the attack, attributable to a distinct, previously documented cause (directory_enumerated, the classifier's highest-importance feature, is capped at approximately nine in this demonstration's eight-subdirectory folder, against a training-data median of fourteen and a 90th-percentile value of 809 for class E); and both the pre- and post-correction anomaly scores exceed the currently deployed anomaly_threshold by a wide margin, so a critical alert would still be raised on ordinary activity in this environment, since the threshold was not recalibrated against the new, substantially lower noise floor established by this correction.</w:t>
      </w:r>
    </w:p>
    <w:p>
      <w:pPr>
        <w:spacing w:before="120" w:after="60"/>
      </w:pPr>
      <w:r>
        <w:rPr>
          <w:rFonts w:ascii="Times New Roman" w:hAnsi="Times New Roman"/>
          <w:b/>
          <w:i/>
          <w:sz w:val="20"/>
        </w:rPr>
        <w:t>F. Computational Performance</w:t>
      </w:r>
    </w:p>
    <w:p>
      <w:pPr>
        <w:spacing w:after="60"/>
        <w:jc w:val="center"/>
      </w:pPr>
      <w:r>
        <w:rPr>
          <w:rFonts w:ascii="Times New Roman" w:hAnsi="Times New Roman"/>
          <w:sz w:val="18"/>
        </w:rPr>
        <w:t>TABLE VI</w:t>
        <w:br/>
      </w:r>
      <w:r>
        <w:rPr>
          <w:rFonts w:ascii="Times New Roman" w:hAnsi="Times New Roman"/>
          <w:sz w:val="18"/>
        </w:rPr>
        <w:t>RESAMPLING COST BEFORE AND AFTER CORRECTION (SECTION IV-D)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pPr>
              <w:jc w:val="center"/>
            </w:pPr>
            <w:r>
              <w:rPr>
                <w:rFonts w:ascii="Times New Roman" w:hAnsi="Times New Roman"/>
                <w:b/>
                <w:sz w:val="16"/>
              </w:rPr>
              <w:t>Measurement</w:t>
            </w:r>
          </w:p>
        </w:tc>
        <w:tc>
          <w:tcPr>
            <w:tcW w:type="dxa" w:w="3360"/>
          </w:tcPr>
          <w:p>
            <w:pPr>
              <w:jc w:val="center"/>
            </w:pPr>
            <w:r>
              <w:rPr>
                <w:rFonts w:ascii="Times New Roman" w:hAnsi="Times New Roman"/>
                <w:b/>
                <w:sz w:val="16"/>
              </w:rPr>
              <w:t>Before</w:t>
            </w:r>
          </w:p>
        </w:tc>
        <w:tc>
          <w:tcPr>
            <w:tcW w:type="dxa" w:w="3360"/>
          </w:tcPr>
          <w:p>
            <w:pPr>
              <w:jc w:val="center"/>
            </w:pPr>
            <w:r>
              <w:rPr>
                <w:rFonts w:ascii="Times New Roman" w:hAnsi="Times New Roman"/>
                <w:b/>
                <w:sz w:val="16"/>
              </w:rPr>
              <w:t>After</w:t>
            </w:r>
          </w:p>
        </w:tc>
      </w:tr>
      <w:tr>
        <w:tc>
          <w:tcPr>
            <w:tcW w:type="dxa" w:w="3360"/>
          </w:tcPr>
          <w:p>
            <w:pPr>
              <w:jc w:val="center"/>
            </w:pPr>
            <w:r>
              <w:rPr>
                <w:rFonts w:ascii="Times New Roman" w:hAnsi="Times New Roman"/>
                <w:sz w:val="16"/>
              </w:rPr>
              <w:t>Full resampling pass (266 processes)</w:t>
            </w:r>
          </w:p>
        </w:tc>
        <w:tc>
          <w:tcPr>
            <w:tcW w:type="dxa" w:w="3360"/>
          </w:tcPr>
          <w:p>
            <w:pPr>
              <w:jc w:val="center"/>
            </w:pPr>
            <w:r>
              <w:rPr>
                <w:rFonts w:ascii="Times New Roman" w:hAnsi="Times New Roman"/>
                <w:sz w:val="16"/>
              </w:rPr>
              <w:t>52.3 s</w:t>
            </w:r>
          </w:p>
        </w:tc>
        <w:tc>
          <w:tcPr>
            <w:tcW w:type="dxa" w:w="3360"/>
          </w:tcPr>
          <w:p>
            <w:pPr>
              <w:jc w:val="center"/>
            </w:pPr>
            <w:r>
              <w:rPr>
                <w:rFonts w:ascii="Times New Roman" w:hAnsi="Times New Roman"/>
                <w:sz w:val="16"/>
              </w:rPr>
              <w:t>5.67 s</w:t>
            </w:r>
          </w:p>
        </w:tc>
      </w:tr>
      <w:tr>
        <w:tc>
          <w:tcPr>
            <w:tcW w:type="dxa" w:w="3360"/>
          </w:tcPr>
          <w:p>
            <w:pPr>
              <w:jc w:val="center"/>
            </w:pPr>
            <w:r>
              <w:rPr>
                <w:rFonts w:ascii="Times New Roman" w:hAnsi="Times New Roman"/>
                <w:sz w:val="16"/>
              </w:rPr>
              <w:t>Within timing budget</w:t>
            </w:r>
          </w:p>
        </w:tc>
        <w:tc>
          <w:tcPr>
            <w:tcW w:type="dxa" w:w="3360"/>
          </w:tcPr>
          <w:p>
            <w:pPr>
              <w:jc w:val="center"/>
            </w:pPr>
            <w:r>
              <w:rPr>
                <w:rFonts w:ascii="Times New Roman" w:hAnsi="Times New Roman"/>
                <w:sz w:val="16"/>
              </w:rPr>
              <w:t>No (13-26x over)</w:t>
            </w:r>
          </w:p>
        </w:tc>
        <w:tc>
          <w:tcPr>
            <w:tcW w:type="dxa" w:w="3360"/>
          </w:tcPr>
          <w:p>
            <w:pPr>
              <w:jc w:val="center"/>
            </w:pPr>
            <w:r>
              <w:rPr>
                <w:rFonts w:ascii="Times New Roman" w:hAnsi="Times New Roman"/>
                <w:sz w:val="16"/>
              </w:rPr>
              <w:t>Yes</w:t>
            </w:r>
          </w:p>
        </w:tc>
      </w:tr>
    </w:tbl>
    <w:p/>
    <w:p>
      <w:pPr>
        <w:spacing w:before="200" w:after="120"/>
        <w:jc w:val="center"/>
      </w:pPr>
      <w:r>
        <w:rPr>
          <w:rFonts w:ascii="Times New Roman" w:hAnsi="Times New Roman"/>
          <w:b/>
          <w:sz w:val="20"/>
        </w:rPr>
        <w:t>VI. DISCUSSION AND LIMITATIONS</w:t>
      </w:r>
    </w:p>
    <w:p>
      <w:pPr>
        <w:spacing w:after="0"/>
        <w:ind w:firstLine="288"/>
        <w:jc w:val="both"/>
      </w:pPr>
      <w:r>
        <w:rPr>
          <w:rFonts w:ascii="Times New Roman" w:hAnsi="Times New Roman"/>
          <w:sz w:val="20"/>
        </w:rPr>
        <w:t>The host-level proxy measurements described in Section III-A are directionally consistent with the behavior they approximate but are not numerically equivalent to the sandbox-derived, API-hooked values present in the training data for the ransomware classes, which were retained unchanged from the source dataset. A specific barrier to closing this gap was investigated during this work: the Event Tracing for Windows provider most directly relevant to cryptographic API-call volume, Microsoft-Windows-Threat-Intelligence, restricts consumption to processes running as a Protected-Process-Light at the Antimalware-Light signer level, which requires a driver co-signed by Microsoft; this is a substantially higher barrier than the administrator privilege or Performance Log Users group membership sufficient for ordinary ETW providers such as process, file, and registry creation events, and was not available within this project's resources. Upgrading the file, process, and registry monitors to ETW-based collection, which requires only the lower privilege tier, remains a tractable improvement not pursued in the present work; closing the apistats proxy gap specifically does not appear tractable without either a Microsoft-signed driver or equivalent kernel-level instrumentation.</w:t>
      </w:r>
    </w:p>
    <w:p>
      <w:pPr>
        <w:spacing w:after="0"/>
        <w:ind w:firstLine="288"/>
        <w:jc w:val="both"/>
      </w:pPr>
      <w:r>
        <w:rPr>
          <w:rFonts w:ascii="Times New Roman" w:hAnsi="Times New Roman"/>
          <w:sz w:val="20"/>
        </w:rPr>
        <w:t>The 93.00% recall on the encryptor class, established in Section V-C to be unresponsive to class weighting or threshold adjustment, is attributable to a specific, identified cause rather than an unexplained model limitation: forty encryptor-ransomware rows in the training data are feature-identical, at the twelve-feature resolution used by this system, to two hundred fifty-five goodware rows, imposing a recall ceiling of 95.0% independent of model calibration. Closing this gap fully would require either features that distinguish these particular rows or a different data source for the affected encryptor samples; both are noted as future work.</w:t>
      </w:r>
    </w:p>
    <w:p>
      <w:pPr>
        <w:spacing w:after="0"/>
        <w:ind w:firstLine="288"/>
        <w:jc w:val="both"/>
      </w:pPr>
      <w:r>
        <w:rPr>
          <w:rFonts w:ascii="Times New Roman" w:hAnsi="Times New Roman"/>
          <w:sz w:val="20"/>
        </w:rPr>
        <w:t>The autoencoder F1-score fluctuation reported in Section V-B is now substantially, though not completely, explained: repeating model training across ten random seeds with identical data and architecture reproduces approximately 55% of the previously observed fluctuation range, indicating that unseeded model initialization was a major, previously uncontrolled source of variation in every reported retraining figure prior to this work. The remaining variation may still reflect genuine effects of the data and methodology changes made across retraining cycles, which this analysis cannot isolate from seed variation using the historical figures alone, as those figures were not themselves computed across multiple seeds.</w:t>
      </w:r>
    </w:p>
    <w:p>
      <w:pPr>
        <w:spacing w:after="0"/>
        <w:ind w:firstLine="288"/>
        <w:jc w:val="both"/>
      </w:pPr>
      <w:r>
        <w:rPr>
          <w:rFonts w:ascii="Times New Roman" w:hAnsi="Times New Roman"/>
          <w:sz w:val="20"/>
        </w:rPr>
        <w:t xml:space="preserve">The corrections reported in Section IV-G indicate that the evaluation methodology used to assess a machine learning security system warrants the same structured scrutiny as the deployment pipeline: both the original cross-validation accuracy and the original autoencoder F1-score were computed correctly given their respective evaluation protocols, but the protocols themselves permitted memorization (Section V-A) and train/evaluation overlap (Section V-B) that a superficially reasonable methodology did not, by itself, prevent.</w:t>
      </w:r>
    </w:p>
    <w:p>
      <w:pPr>
        <w:spacing w:after="0"/>
        <w:ind w:firstLine="288"/>
        <w:jc w:val="both"/>
      </w:pPr>
      <w:r>
        <w:rPr>
          <w:rFonts w:ascii="Times New Roman" w:hAnsi="Times New Roman"/>
          <w:sz w:val="20"/>
        </w:rPr>
        <w:t>The negative-control result reported in Section V-E indicates that the dual-model architecture's anomaly-detection path, as originally implemented, did not reliably distinguish a live attack from the monitoring system's own resource footprint in the tested environment. Two corrections, applied in sequence and each measured against the same paired negative-control/attack-run methodology, closed most - though not all - of this gap: excluding the monitoring process's own identity from resampling, and clipping the dll_loaded feature specifically, chosen because its values are a property of which software happens to be running rather than of attacker behavior, unlike apistats, which was deliberately left unclipped to preserve genuine attack signal. Together these reduced the no-attack anomaly score by 97.8% and, for the first time in this investigation, produced an anomaly score that discriminates in the correct direction between attack and no-attack conditions. The classifier's continued failure to detect the demonstrated attack is attributable to a separate, already-documented limitation - the demonstration folder is too small for directory_enumerated to reach training-scale values - rather than to unresolved noise. The complementary-detection argument for combining a classifier with an anomaly detector is, following these corrections, supported by this system's own re-tested evidence for the first time, though the deployed anomaly threshold has not yet been recalibrated to reflect the corrected noise floor, and the classifier-side limitation remains open.</w:t>
      </w:r>
    </w:p>
    <w:p>
      <w:pPr>
        <w:spacing w:after="0"/>
        <w:ind w:firstLine="288"/>
        <w:jc w:val="both"/>
      </w:pPr>
      <w:r>
        <w:rPr>
          <w:rFonts w:ascii="Times New Roman" w:hAnsi="Times New Roman"/>
          <w:sz w:val="20"/>
        </w:rPr>
        <w:t>The dataset, at 2,999 rows with substantial class imbalance and, for the locker-ransomware class, as few as sixty distinct feature vectors, is modest in scale; the reported accuracy interval reflects uncertainty in the estimate obtained from this specific dataset and should not be interpreted as evidence of generalization to a larger or more diverse population.</w:t>
      </w:r>
    </w:p>
    <w:p>
      <w:pPr>
        <w:spacing w:after="0"/>
        <w:ind w:firstLine="288"/>
        <w:jc w:val="both"/>
      </w:pPr>
      <w:r>
        <w:rPr>
          <w:rFonts w:ascii="Times New Roman" w:hAnsi="Times New Roman"/>
          <w:sz w:val="20"/>
        </w:rPr>
        <w:t>Both live validation sessions in Section V-D were conducted on a single development machine, which confirms that the corrected implementation produces genuine signal but does not establish the representativeness of that signal across differing hardware, user behavior, or installed software.</w:t>
      </w:r>
    </w:p>
    <w:p>
      <w:pPr>
        <w:spacing w:after="0"/>
        <w:ind w:firstLine="288"/>
        <w:jc w:val="both"/>
      </w:pPr>
      <w:r>
        <w:rPr>
          <w:rFonts w:ascii="Times New Roman" w:hAnsi="Times New Roman"/>
          <w:sz w:val="20"/>
        </w:rPr>
        <w:t>As noted in Section III-E, the automated response mechanism is not central to the contribution of this paper. Filesystem restriction and network isolation actions remain unevaluated and should be validated in an isolated environment prior to any operational use.</w:t>
      </w:r>
    </w:p>
    <w:p>
      <w:r>
        <w:rPr>
          <w:rFonts w:ascii="Times New Roman" w:hAnsi="Times New Roman"/>
          <w:i/>
          <w:color w:val="B00000"/>
          <w:sz w:val="18"/>
        </w:rPr>
        <w:t>[TODO: Add author's own critical comparison to [1]'s reported 74-100% accuracy range across four classifier types before submission.]</w:t>
      </w:r>
    </w:p>
    <w:p>
      <w:pPr>
        <w:spacing w:before="200" w:after="120"/>
        <w:jc w:val="center"/>
      </w:pPr>
      <w:r>
        <w:rPr>
          <w:rFonts w:ascii="Times New Roman" w:hAnsi="Times New Roman"/>
          <w:b/>
          <w:sz w:val="20"/>
        </w:rPr>
        <w:t>VII. CONCLUSION AND FUTURE WORK</w:t>
      </w:r>
    </w:p>
    <w:p>
      <w:r>
        <w:rPr>
          <w:rFonts w:ascii="Times New Roman" w:hAnsi="Times New Roman"/>
          <w:i/>
          <w:color w:val="B00000"/>
          <w:sz w:val="18"/>
        </w:rPr>
        <w:t>[TODO: Finalize conclusion wording once framing/discussion are locked in.]</w:t>
      </w:r>
    </w:p>
    <w:p>
      <w:pPr>
        <w:spacing w:after="0"/>
        <w:ind w:firstLine="288"/>
        <w:jc w:val="both"/>
      </w:pPr>
      <w:r>
        <w:rPr>
          <w:rFonts w:ascii="Times New Roman" w:hAnsi="Times New Roman"/>
          <w:sz w:val="20"/>
        </w:rPr>
        <w:t>This paper presented WatchRansom, a real-time behavioral ransomware detection system combining a supervised classifier with an unsupervised anomaly detector. A structured validation of the boundary between offline training and live deployment identified and corrected defects across feature availability, temporal sampling, threshold calibration, computational feasibility, data pipeline robustness, and response integration. A second validation pass, applying the same methodology to the evaluation pipeline itself, found that the system's originally reported 98.10% cross-validated accuracy was inflated by duplicate-vector leakage and corrected it to a mean of 85.50% under group-aware, repeated cross-validation, found that the autoencoder's reported F1-score had been computed on data overlapping its own training set and corrected it to a held-out mean of 0.637, and — via a negative-control experiment — found that the system's anomaly-based alert does not reliably distinguish a live attack from the monitoring system's own resource footprint, contradicting an initial, favorable interpretation of the system's own live demonstration. [Expand: restate the central claim that both deployment-pipeline correctness and evaluation-methodology validity warrant scrutiny comparable to model accuracy, in final form.]</w:t>
      </w:r>
    </w:p>
    <w:p>
      <w:pPr>
        <w:spacing w:after="0"/>
        <w:ind w:firstLine="288"/>
        <w:jc w:val="both"/>
      </w:pPr>
      <w:r>
        <w:rPr>
          <w:rFonts w:ascii="Times New Roman" w:hAnsi="Times New Roman"/>
          <w:sz w:val="20"/>
        </w:rPr>
        <w:t>Future work includes the following directions.</w:t>
      </w:r>
    </w:p>
    <w:p>
      <w:pPr>
        <w:pStyle w:val="ListBullet"/>
        <w:ind w:left="360"/>
      </w:pPr>
      <w:r>
        <w:rPr>
          <w:rFonts w:ascii="Times New Roman" w:hAnsi="Times New Roman"/>
          <w:sz w:val="20"/>
        </w:rPr>
        <w:t>Replacement of the apistats proxy with true kernel-level API instrumentation. This was investigated during the present work: the most directly applicable Event Tracing for Windows provider, Microsoft-Windows-Threat-Intelligence, requires a consumer process running as a Protected-Process-Light at the Antimalware-Light signer level, requiring a driver co-signed by Microsoft, and was not accessible within this project's resources; the directory_enumerated and tree_command_line proxies could be replaced with ordinary, lower-privilege ETW providers (process and file creation events), which was not attempted in the present work.</w:t>
      </w:r>
    </w:p>
    <w:p>
      <w:pPr>
        <w:pStyle w:val="ListBullet"/>
        <w:ind w:left="360"/>
      </w:pPr>
      <w:r>
        <w:rPr>
          <w:rFonts w:ascii="Times New Roman" w:hAnsi="Times New Roman"/>
          <w:sz w:val="20"/>
        </w:rPr>
        <w:t>Regeneration of the ransomware-class training data using the same live-proxy measurement method applied to the goodware corpus, for exact consistency between training and deployment feature semantics.</w:t>
      </w:r>
    </w:p>
    <w:p>
      <w:pPr>
        <w:pStyle w:val="ListBullet"/>
        <w:ind w:left="360"/>
      </w:pPr>
      <w:r>
        <w:rPr>
          <w:rFonts w:ascii="Times New Roman" w:hAnsi="Times New Roman"/>
          <w:sz w:val="20"/>
        </w:rPr>
        <w:t>Collection of a larger and more diverse goodware corpus across multiple machines and usage profiles.</w:t>
      </w:r>
    </w:p>
    <w:p>
      <w:pPr>
        <w:pStyle w:val="ListBullet"/>
        <w:ind w:left="360"/>
      </w:pPr>
      <w:r>
        <w:rPr>
          <w:rFonts w:ascii="Times New Roman" w:hAnsi="Times New Roman"/>
          <w:sz w:val="20"/>
        </w:rPr>
        <w:t>Investigation of feature- or data-level interventions for the encryptor-class recall limitation, given that reweighting and threshold adjustment were shown to be ineffective.</w:t>
      </w:r>
    </w:p>
    <w:p>
      <w:pPr>
        <w:pStyle w:val="ListBullet"/>
        <w:ind w:left="360"/>
      </w:pPr>
      <w:r>
        <w:rPr>
          <w:rFonts w:ascii="Times New Roman" w:hAnsi="Times New Roman"/>
          <w:sz w:val="20"/>
        </w:rPr>
        <w:t>Evaluation of the filesystem restriction and network isolation response actions in an isolated virtual environment.</w:t>
      </w:r>
    </w:p>
    <w:p>
      <w:pPr>
        <w:pStyle w:val="ListBullet"/>
        <w:ind w:left="360"/>
      </w:pPr>
      <w:r>
        <w:rPr>
          <w:rFonts w:ascii="Times New Roman" w:hAnsi="Times New Roman"/>
          <w:sz w:val="20"/>
        </w:rPr>
        <w:t>Recalibration of the deployed anomaly threshold against the noise floor established by the dll_loaded clipping correction (Section V-E). Both the pre- and post-correction anomaly scores in that section exceed the currently deployed threshold, so a critical alert would still be raised on ordinary activity in this environment despite the 97.8% reduction in the underlying score; closing this requires re-running the threshold-calibration procedure described in Section III-D under the corrected feature regime, not attempted in the present work.</w:t>
      </w:r>
    </w:p>
    <w:p>
      <w:pPr>
        <w:pStyle w:val="ListBullet"/>
        <w:ind w:left="360"/>
      </w:pPr>
      <w:r>
        <w:rPr>
          <w:rFonts w:ascii="Times New Roman" w:hAnsi="Times New Roman"/>
          <w:sz w:val="20"/>
        </w:rPr>
        <w:t xml:space="preserve">Repetition of the live demonstration, once the robustness issue above is addressed, before citing any future run's result as evidence for the dual-model architecture's complementary-detection claim - neither the original demonstration nor the corrected re-test reported in Section V-E currently supports that claim.</w:t>
      </w:r>
    </w:p>
    <w:p>
      <w:pPr>
        <w:pStyle w:val="ListBullet"/>
        <w:ind w:left="360"/>
      </w:pPr>
      <w:r>
        <w:rPr>
          <w:rFonts w:ascii="Times New Roman" w:hAnsi="Times New Roman"/>
          <w:sz w:val="20"/>
        </w:rPr>
        <w:t xml:space="preserve">Investigation of the residual autoencoder F1-score variation not accounted for by the seed-variance analysis in Section V-B, and extension of the group-aware evaluation correction in Section IV-G to a repeated-measures design for per-class metrics, not only overall accuracy.</w:t>
      </w:r>
    </w:p>
    <w:p>
      <w:pPr>
        <w:spacing w:before="200" w:after="120"/>
        <w:jc w:val="center"/>
      </w:pPr>
      <w:r>
        <w:rPr>
          <w:rFonts w:ascii="Times New Roman" w:hAnsi="Times New Roman"/>
          <w:b/>
          <w:sz w:val="20"/>
        </w:rPr>
        <w:t>REFERENCES</w:t>
      </w:r>
    </w:p>
    <w:p>
      <w:pPr>
        <w:ind w:left="288" w:hanging="288"/>
      </w:pPr>
      <w:r>
        <w:rPr>
          <w:rFonts w:ascii="Times New Roman" w:hAnsi="Times New Roman"/>
          <w:sz w:val="18"/>
        </w:rPr>
        <w:t>[1] J. A. Herrera-Silva and M. Hernandez-Alvarez, "Dynamic Feature Dataset for Ransomware Detection Using Machine Learning Algorithms," Sensors, vol. 23, no. 3, p. 1053, 2023, doi: 10.3390/s23031053.</w:t>
      </w:r>
    </w:p>
    <w:p>
      <w:pPr>
        <w:ind w:left="288" w:hanging="288"/>
      </w:pPr>
      <w:r>
        <w:rPr>
          <w:rFonts w:ascii="Times New Roman" w:hAnsi="Times New Roman"/>
          <w:sz w:val="18"/>
        </w:rPr>
        <w:t xml:space="preserve">[2] M. Masum, M. J. H. Faruk, H. Shahriar, K. Qian, D. Lo, and M. I. Adnan, "Ransomware Classification and Detection With Machine Learning Algorithms," in Proc. 2022 IEEE 12th Annu. Computing and Communication Workshop and Conference (CCWC), 2022.</w:t>
      </w:r>
    </w:p>
    <w:p>
      <w:pPr>
        <w:ind w:left="288" w:hanging="288"/>
      </w:pPr>
      <w:r>
        <w:rPr>
          <w:rFonts w:ascii="Times New Roman" w:hAnsi="Times New Roman"/>
          <w:sz w:val="18"/>
        </w:rPr>
        <w:t xml:space="preserve">[3] W. Song, S. Karanam, Y. Xiao, J. Qi, N. Dautenhahn, N. Meng, E. Ferrari, and D. Yao, "Crypto-Ransomware and Their Defenses: In-depth Behavioral Characterization, Discussion of Deployability, and New Insights," arXiv:2306.02270, 2023.</w:t>
      </w:r>
    </w:p>
    <w:p>
      <w:pPr>
        <w:ind w:left="288" w:hanging="288"/>
      </w:pPr>
      <w:r>
        <w:rPr>
          <w:rFonts w:ascii="Times New Roman" w:hAnsi="Times New Roman"/>
          <w:sz w:val="18"/>
        </w:rPr>
        <w:t xml:space="preserve">[4] F. C. Onwuegbuche, A. Olaoluwa, A. D. Jurcut, and L. Pasquale, "MLRan: A Behavioural Dataset for Ransomware Analysis and Detection," arXiv:2505.18613, 2025.</w:t>
      </w:r>
    </w:p>
    <w:p>
      <w:pPr>
        <w:ind w:left="288" w:hanging="288"/>
      </w:pPr>
      <w:r>
        <w:rPr>
          <w:rFonts w:ascii="Times New Roman" w:hAnsi="Times New Roman"/>
          <w:sz w:val="18"/>
        </w:rPr>
        <w:t xml:space="preserve">[5] R. Almuhanna and S. Dardouri, "A deep learning/machine learning approach for anomaly based network intrusion detection," Frontiers in Artificial Intelligence, 2025.</w:t>
      </w:r>
    </w:p>
    <w:p>
      <w:pPr>
        <w:ind w:left="288" w:hanging="288"/>
      </w:pPr>
      <w:r>
        <w:rPr>
          <w:rFonts w:ascii="Times New Roman" w:hAnsi="Times New Roman"/>
          <w:sz w:val="18"/>
        </w:rPr>
        <w:t xml:space="preserve">[6] G. Liu, D. Caragea, X. Ou, and S. Roy, "The Impact of Train-Test Leakage on Machine Learning-based Android Malware Detection," arXiv:2410.19364, 2024.</w:t>
      </w:r>
    </w:p>
    <w:p>
      <w:r>
        <w:rPr>
          <w:rFonts w:ascii="Times New Roman" w:hAnsi="Times New Roman"/>
          <w:i/>
          <w:color w:val="B00000"/>
          <w:sz w:val="18"/>
        </w:rPr>
        <w:t>[TODO: Citations [2]-[6] added for related-work coverage of ransomware ML detection, hybrid autoencoder+classifier architectures, and malware-detection evaluation leakage. Introduction citations (incident statistics, industry reports per Section I's TODO) remain open.]</w:t>
      </w:r>
    </w:p>
    <w:sectPr w:rsidR="00FC693F" w:rsidRPr="0006063C" w:rsidSect="00034616">
      <w:type w:val="continuous"/>
      <w:pgSz w:w="12240" w:h="15840"/>
      <w:pgMar w:top="1080" w:right="1080" w:bottom="1440" w:left="108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