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44"/>
        </w:rPr>
        <w:t>WatchRansom: A Behavioral Machine Learning Framework for</w:t>
        <w:br/>
        <w:t>Real-Time Ransomware Detection and Deployment Validation</w:t>
      </w:r>
    </w:p>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10080"/>
      </w:tblGrid>
      <w:tr>
        <w:tc>
          <w:tcPr>
            <w:tcW w:type="dxa" w:w="10080"/>
          </w:tcPr>
          <w:p>
            <w:pPr>
              <w:jc w:val="center"/>
            </w:pPr>
            <w:r>
              <w:rPr>
                <w:rFonts w:ascii="Times New Roman" w:hAnsi="Times New Roman"/>
                <w:sz w:val="20"/>
              </w:rPr>
              <w:t>1</w:t>
            </w:r>
            <w:r>
              <w:rPr>
                <w:rFonts w:ascii="Times New Roman" w:hAnsi="Times New Roman"/>
                <w:sz w:val="20"/>
                <w:vertAlign w:val="superscript"/>
              </w:rPr>
              <w:t xml:space="preserve">st </w:t>
            </w:r>
            <w:r>
              <w:rPr>
                <w:i/>
                <w:color w:val="B00000"/>
                <w:sz w:val="22"/>
              </w:rPr>
              <w:t>[TODO: Author Name]</w:t>
            </w:r>
          </w:p>
          <w:p>
            <w:pPr>
              <w:jc w:val="center"/>
            </w:pPr>
            <w:r>
              <w:rPr>
                <w:rFonts w:ascii="Times New Roman" w:hAnsi="Times New Roman"/>
                <w:i/>
                <w:color w:val="B00000"/>
                <w:sz w:val="20"/>
              </w:rPr>
              <w:t>[TODO: Department]</w:t>
            </w:r>
          </w:p>
          <w:p>
            <w:pPr>
              <w:jc w:val="center"/>
            </w:pPr>
            <w:r>
              <w:rPr>
                <w:rFonts w:ascii="Times New Roman" w:hAnsi="Times New Roman"/>
                <w:i/>
                <w:color w:val="B00000"/>
                <w:sz w:val="20"/>
              </w:rPr>
              <w:t>[TODO: Institution]</w:t>
            </w:r>
          </w:p>
          <w:p>
            <w:pPr>
              <w:jc w:val="center"/>
            </w:pPr>
            <w:r>
              <w:rPr>
                <w:rFonts w:ascii="Times New Roman" w:hAnsi="Times New Roman"/>
                <w:i/>
                <w:color w:val="B00000"/>
                <w:sz w:val="20"/>
              </w:rPr>
              <w:t>[TODO: City, Country]</w:t>
            </w:r>
          </w:p>
          <w:p>
            <w:pPr>
              <w:jc w:val="center"/>
            </w:pPr>
            <w:r>
              <w:rPr>
                <w:rFonts w:ascii="Times New Roman" w:hAnsi="Times New Roman"/>
                <w:i/>
                <w:color w:val="B00000"/>
                <w:sz w:val="20"/>
              </w:rPr>
              <w:t>[TODO: email address]</w:t>
            </w:r>
          </w:p>
        </w:tc>
      </w:tr>
    </w:tbl>
    <w:p/>
    <w:p>
      <w:pPr>
        <w:jc w:val="center"/>
      </w:pPr>
      <w:r>
        <w:rPr>
          <w:rFonts w:ascii="Times New Roman" w:hAnsi="Times New Roman"/>
          <w:i/>
          <w:color w:val="B00000"/>
          <w:sz w:val="16"/>
        </w:rPr>
        <w:t>[TODO: template supports up to 6 authors in a 3-per-row grid, per standard IEEE conference formatting - add co-authors here]</w:t>
      </w:r>
    </w:p>
    <w:p/>
    <w:p>
      <w:pPr>
        <w:sectPr>
          <w:pgSz w:w="12240" w:h="15840"/>
          <w:pgMar w:top="1080" w:right="1080" w:bottom="1440" w:left="1080" w:header="720" w:footer="720" w:gutter="0"/>
          <w:cols w:space="720"/>
          <w:docGrid w:linePitch="360"/>
        </w:sectPr>
      </w:pPr>
    </w:p>
    <w:p>
      <w:pPr>
        <w:jc w:val="both"/>
      </w:pPr>
      <w:r>
        <w:rPr>
          <w:rFonts w:ascii="Times New Roman" w:hAnsi="Times New Roman"/>
          <w:b/>
          <w:i/>
          <w:sz w:val="18"/>
        </w:rPr>
        <w:t>Abstract—</w:t>
      </w:r>
      <w:r>
        <w:rPr>
          <w:rFonts w:ascii="Times New Roman" w:hAnsi="Times New Roman"/>
          <w:sz w:val="18"/>
        </w:rPr>
        <w:t>Ransomware detection based on static signatures fails against previously unseen variants, which has motivated a shift toward behavior-based detection methods. This paper presents WatchRansom, a host-based ransomware detection system that combines a supervised gradient-boosted classifier (XGBoost) with an unsupervised autoencoder for anomaly-based detection of novel threats. The system is built upon a publicly available dynamic-feature dataset [1] and is extended with telemetry collected from continuous host monitoring. Ten-fold cross-validation yields a mean classification accuracy of 98.10% (standard deviation 0.62%), with perfect precision on both ransomware classes and zero goodware samples misclassified as ransomware across the entire evaluation. In addition to reporting detection performance, this paper documents a structured validation of the system across the boundary between offline model training and continuous live operation. This validation identified that three of the twelve features used by the trained classifier, accounting for 41% of its decision weight, were never populated by the deployed monitoring components, despite the model reporting accuracy in excess of 98% under conventional offline evaluation. A further finding showed that a computational optimization intended to reduce monitoring overhead remained thirteen to twenty-six times more expensive than its allotted budget when measured under a realistic process count, despite appearing correct under manual inspection. Two additional experiments — class-weighted training and threshold adjustment — were conducted to address a persistent recall limitation on the encryption-ransomware class and did not produce a meaningful improvement, which is reported as evidence that the limitation originates from the feature representation rather than from model calibration. These results indicate that offline evaluation accuracy is not, by itself, sufficient evidence of correct behavior in a continuously operating machine learning security system, and that validation of the deployment pipeline should be treated as a distinct requirement alongside model accuracy.</w:t>
      </w:r>
    </w:p>
    <w:p>
      <w:pPr>
        <w:jc w:val="both"/>
      </w:pPr>
      <w:r>
        <w:rPr>
          <w:rFonts w:ascii="Times New Roman" w:hAnsi="Times New Roman"/>
          <w:b/>
          <w:i/>
          <w:sz w:val="18"/>
        </w:rPr>
        <w:t>Index Terms—</w:t>
      </w:r>
      <w:r>
        <w:rPr>
          <w:rFonts w:ascii="Times New Roman" w:hAnsi="Times New Roman"/>
          <w:i/>
          <w:sz w:val="18"/>
        </w:rPr>
        <w:t>ransomware detection, behavioral analysis, intrusion detection, machine learning, gradient boosting, autoencoder, anomaly detection, host-based monitoring</w:t>
      </w:r>
    </w:p>
    <w:p/>
    <w:p>
      <w:pPr>
        <w:spacing w:before="200" w:after="120"/>
        <w:jc w:val="center"/>
      </w:pPr>
      <w:r>
        <w:rPr>
          <w:rFonts w:ascii="Times New Roman" w:hAnsi="Times New Roman"/>
          <w:b/>
          <w:sz w:val="20"/>
        </w:rPr>
        <w:t>I. INTRODUCTION</w:t>
      </w:r>
    </w:p>
    <w:p>
      <w:r>
        <w:rPr>
          <w:rFonts w:ascii="Times New Roman" w:hAnsi="Times New Roman"/>
          <w:i/>
          <w:color w:val="B00000"/>
          <w:sz w:val="18"/>
        </w:rPr>
        <w:t>[TODO: Expand opening paragraph with ransomware incident statistics and 1-3 recent industry/academic citations before submission.]</w:t>
      </w:r>
    </w:p>
    <w:p>
      <w:pPr>
        <w:spacing w:after="0"/>
        <w:ind w:firstLine="288"/>
        <w:jc w:val="both"/>
      </w:pPr>
      <w:r>
        <w:rPr>
          <w:rFonts w:ascii="Times New Roman" w:hAnsi="Times New Roman"/>
          <w:sz w:val="20"/>
        </w:rPr>
        <w:t>Ransomware is a category of malicious software that denies a victim access to their own data or system, typically through file encryption or interface locking, until a ransom demand is met. The continued prevalence of ransomware incidents, together with the financial and operational damage associated with successful attacks, has sustained research interest in detection methods that operate before encryption completes rather than after damage has occurred.</w:t>
      </w:r>
    </w:p>
    <w:p>
      <w:pPr>
        <w:spacing w:after="0"/>
        <w:ind w:firstLine="288"/>
        <w:jc w:val="both"/>
      </w:pPr>
      <w:r>
        <w:rPr>
          <w:rFonts w:ascii="Times New Roman" w:hAnsi="Times New Roman"/>
          <w:sz w:val="20"/>
        </w:rPr>
        <w:t>Detection approaches for ransomware are broadly divided into signature-based and behavior-based methods. Signature-based detection identifies malware by comparing file content against a database of known patterns; while computationally efficient, this approach is inherently unable to detect variants that have not previously been catalogued. Behavior-based detection instead observes the actions a program performs at runtime, such as file system operations, registry modification, process activity, and network communication. Because the operational pattern required to encrypt a large number of files changes far less than the underlying code implementing it, behavior-based methods are comparatively more resilient to previously unseen ransomware families.</w:t>
      </w:r>
    </w:p>
    <w:p>
      <w:pPr>
        <w:spacing w:after="0"/>
        <w:ind w:firstLine="288"/>
        <w:jc w:val="both"/>
      </w:pPr>
      <w:r>
        <w:rPr>
          <w:rFonts w:ascii="Times New Roman" w:hAnsi="Times New Roman"/>
          <w:sz w:val="20"/>
        </w:rPr>
        <w:t>Machine learning has been applied extensively to behavior-based ransomware detection, most commonly by training a supervised classifier on labeled samples of known ransomware and goodware behavior. A limitation of this formulation is that supervised classifiers can only recognize patterns present in their training data, leaving them susceptible to genuinely novel attack behavior. This motivates a complementary detection strategy based on anomaly detection, in which a model is trained exclusively on benign behavior and flags deviation from the learned norm, independent of whether the deviating behavior matches a known ransomware family.</w:t>
      </w:r>
    </w:p>
    <w:p>
      <w:pPr>
        <w:spacing w:after="0"/>
        <w:ind w:firstLine="288"/>
        <w:jc w:val="both"/>
      </w:pPr>
      <w:r>
        <w:rPr>
          <w:rFonts w:ascii="Times New Roman" w:hAnsi="Times New Roman"/>
          <w:sz w:val="20"/>
        </w:rPr>
        <w:t>A second and comparatively underexamined problem in this domain concerns the transition from an offline-trained model to a continuously operating live system. A model evaluated on a held-out split of its training data is evaluated in a self-consistent environment: every feature the model expects is, by construction, present and correctly formed in the evaluation data. A live host monitoring system responsible for populating those same features in real time is under no equivalent guarantee, and a discrepancy between the two can leave a model's offline accuracy figure disconnected from its behavior in operation. This paper refers to this discrepancy as the training-serving gap and treats its identification and correction as a primary contribution.</w:t>
      </w:r>
    </w:p>
    <w:p>
      <w:pPr>
        <w:spacing w:after="0"/>
        <w:ind w:firstLine="288"/>
        <w:jc w:val="both"/>
      </w:pPr>
      <w:r>
        <w:rPr>
          <w:rFonts w:ascii="Times New Roman" w:hAnsi="Times New Roman"/>
          <w:sz w:val="20"/>
        </w:rPr>
        <w:t>The contributions of this paper are summarized as follows.</w:t>
      </w:r>
    </w:p>
    <w:p>
      <w:pPr>
        <w:ind w:left="288" w:hanging="288"/>
        <w:jc w:val="both"/>
      </w:pPr>
      <w:r>
        <w:rPr>
          <w:rFonts w:ascii="Times New Roman" w:hAnsi="Times New Roman"/>
          <w:sz w:val="20"/>
        </w:rPr>
        <w:t>1) A real-time, host-based ransomware detection system is presented, combining a supervised XGBoost classifier with an unsupervised autoencoder, built upon a public dynamic-feature dataset [1] and extended with telemetry from continuous host monitoring.</w:t>
      </w:r>
    </w:p>
    <w:p>
      <w:pPr>
        <w:ind w:left="288" w:hanging="288"/>
        <w:jc w:val="both"/>
      </w:pPr>
      <w:r>
        <w:rPr>
          <w:rFonts w:ascii="Times New Roman" w:hAnsi="Times New Roman"/>
          <w:sz w:val="20"/>
        </w:rPr>
        <w:t>2) A structured validation of the deployment pipeline is conducted, identifying and correcting defects between offline model training and live system behavior, including a case in which 41% of the classifier's decision weight was structurally unreachable at inference time despite high offline accuracy.</w:t>
      </w:r>
    </w:p>
    <w:p>
      <w:pPr>
        <w:ind w:left="288" w:hanging="288"/>
        <w:jc w:val="both"/>
      </w:pPr>
      <w:r>
        <w:rPr>
          <w:rFonts w:ascii="Times New Roman" w:hAnsi="Times New Roman"/>
          <w:sz w:val="20"/>
        </w:rPr>
        <w:t>3) Detection performance is evaluated using stratified ten-fold cross-validation, consistent with the methodology of the source dataset [1], yielding a mean accuracy of 98.10%.</w:t>
      </w:r>
    </w:p>
    <w:p>
      <w:pPr>
        <w:ind w:left="288" w:hanging="288"/>
        <w:jc w:val="both"/>
      </w:pPr>
      <w:r>
        <w:rPr>
          <w:rFonts w:ascii="Times New Roman" w:hAnsi="Times New Roman"/>
          <w:sz w:val="20"/>
        </w:rPr>
        <w:t>4) Two negative results are reported from attempts to close a persistent recall limitation on the encryption-ransomware class, indicating that the limitation is attributable to the feature representation rather than to model calibration.</w:t>
      </w:r>
    </w:p>
    <w:p>
      <w:pPr>
        <w:spacing w:after="0"/>
        <w:ind w:firstLine="288"/>
        <w:jc w:val="both"/>
      </w:pPr>
      <w:r>
        <w:rPr>
          <w:rFonts w:ascii="Times New Roman" w:hAnsi="Times New Roman"/>
          <w:sz w:val="20"/>
        </w:rPr>
        <w:t>The remainder of this paper is organized as follows. Section II reviews the dataset on which this work is based. Section III describes the proposed system and its methodology. Section IV presents the deployment validation process and its findings. Section V reports experimental results. Section VI discusses limitations, and Section VII concludes the paper and outlines directions for future work.</w:t>
      </w:r>
    </w:p>
    <w:p>
      <w:pPr>
        <w:spacing w:before="200" w:after="120"/>
        <w:jc w:val="center"/>
      </w:pPr>
      <w:r>
        <w:rPr>
          <w:rFonts w:ascii="Times New Roman" w:hAnsi="Times New Roman"/>
          <w:b/>
          <w:sz w:val="20"/>
        </w:rPr>
        <w:t>II. RELATED WORK</w:t>
      </w:r>
    </w:p>
    <w:p>
      <w:r>
        <w:rPr>
          <w:rFonts w:ascii="Times New Roman" w:hAnsi="Times New Roman"/>
          <w:i/>
          <w:color w:val="B00000"/>
          <w:sz w:val="18"/>
        </w:rPr>
        <w:t>[TODO: Expand with broader literature on signature-based AV, dynamic sandbox analysis, and prior ML-based ransomware detection work.]</w:t>
      </w:r>
    </w:p>
    <w:p>
      <w:pPr>
        <w:spacing w:after="0"/>
        <w:ind w:firstLine="288"/>
        <w:jc w:val="both"/>
      </w:pPr>
      <w:r>
        <w:rPr>
          <w:rFonts w:ascii="Times New Roman" w:hAnsi="Times New Roman"/>
          <w:sz w:val="20"/>
        </w:rPr>
        <w:t>The dataset used in this work was introduced by Herrera-Silva and Hernandez-Alvarez [1], who generated 2,000 dynamic-analysis records by executing 20 ransomware and 20 goodware artifacts ten times each across five Windows platforms within a sandboxed environment. From an initial set of 326 dynamic features, the authors selected 50 low-redundancy, high-relevance characteristics spanning process memory usage, extracted scripts, network activity, behavioral signatures, static and entropy analysis, library and registry interaction, and diagnostic information. Each record is labeled as goodware (G), encryptor ransomware (E), or locker ransomware (L). Using ten-fold cross-validation, the original authors reported accuracies ranging from 74% to 100% across Random Forest, Gradient Boosted Regression Trees, Gaussian Naive Bayes, and Neural Network classifiers, depending on model and feature subset.</w:t>
      </w:r>
    </w:p>
    <w:p>
      <w:pPr>
        <w:spacing w:after="0"/>
        <w:ind w:firstLine="288"/>
        <w:jc w:val="both"/>
      </w:pPr>
      <w:r>
        <w:rPr>
          <w:rFonts w:ascii="Times New Roman" w:hAnsi="Times New Roman"/>
          <w:sz w:val="20"/>
        </w:rPr>
        <w:t>This work adopts the dataset and the ten-fold cross-validation methodology of [1], but restricts the feature set to a twelve-feature subset reproducible through ordinary host monitoring, and evaluates a combination of a gradient-boosted classifier and an autoencoder rather than reproducing the original comparison of classifier types.</w:t>
      </w:r>
    </w:p>
    <w:p>
      <w:pPr>
        <w:spacing w:before="200" w:after="120"/>
        <w:jc w:val="center"/>
      </w:pPr>
      <w:r>
        <w:rPr>
          <w:rFonts w:ascii="Times New Roman" w:hAnsi="Times New Roman"/>
          <w:b/>
          <w:sz w:val="20"/>
        </w:rPr>
        <w:t>III. PROPOSED METHODOLOGY</w:t>
      </w:r>
    </w:p>
    <w:p>
      <w:pPr>
        <w:spacing w:before="120" w:after="60"/>
      </w:pPr>
      <w:r>
        <w:rPr>
          <w:rFonts w:ascii="Times New Roman" w:hAnsi="Times New Roman"/>
          <w:b/>
          <w:i/>
          <w:sz w:val="20"/>
        </w:rPr>
        <w:t>A. Feature Selection for Live Deployment</w:t>
      </w:r>
    </w:p>
    <w:p>
      <w:pPr>
        <w:spacing w:after="0"/>
        <w:ind w:firstLine="288"/>
        <w:jc w:val="both"/>
      </w:pPr>
      <w:r>
        <w:rPr>
          <w:rFonts w:ascii="Times New Roman" w:hAnsi="Times New Roman"/>
          <w:sz w:val="20"/>
        </w:rPr>
        <w:t>Of the fifty features in the source dataset, twelve were selected for use in the deployed system on the basis of being reproducible from ordinary host-level monitoring, without requiring the privileged sandbox instrumentation used for the original data collection. Three of the twelve — apistats, directory_enumerated, and tree_command_line — correspond to source features that originally relied on in-sandbox API hooking. For these, host-level proxy measurements were designed: apistats is approximated by counting loaded modules associated with cryptographic Windows APIs; directory_enumerated is approximated from the number of distinct directories referenced by a process's open file handles, supplemented by directories touched during real filesystem activity; and tree_command_line is approximated by summing command-line length across a process's ancestor chain. These proxies are directionally consistent with the behavior they approximate but are not numerically equivalent to true API-call instrumentation, a limitation discussed further in Section VI.</w:t>
      </w:r>
    </w:p>
    <w:p>
      <w:pPr>
        <w:spacing w:before="120" w:after="60"/>
      </w:pPr>
      <w:r>
        <w:rPr>
          <w:rFonts w:ascii="Times New Roman" w:hAnsi="Times New Roman"/>
          <w:b/>
          <w:i/>
          <w:sz w:val="20"/>
        </w:rPr>
        <w:t>B. System Architecture</w:t>
      </w:r>
    </w:p>
    <w:p>
      <w:pPr>
        <w:spacing w:after="0"/>
        <w:ind w:firstLine="288"/>
        <w:jc w:val="both"/>
      </w:pPr>
      <w:r>
        <w:rPr>
          <w:rFonts w:ascii="Times New Roman" w:hAnsi="Times New Roman"/>
          <w:sz w:val="20"/>
        </w:rPr>
        <w:t>The proposed system consists of four monitoring components — file, process, network, and registry monitors — that report observed activity to a central event collector. Raw events are aggregated by a sliding-window aggregator into a twelve-dimensional feature vector computed over a thirty-second interval. This feature vector is passed to an inference engine that evaluates both the classification model and the anomaly detection model in parallel; their outputs are combined by an alert system that applies configurable confidence and anomaly-score thresholds to assign one of three alert levels (critical, warning, or informational). An optional prevention module may act on critical alerts; this module is disabled by default and is discussed in Section III-E.</w:t>
      </w:r>
    </w:p>
    <w:p>
      <w:r>
        <w:rPr>
          <w:rFonts w:ascii="Times New Roman" w:hAnsi="Times New Roman"/>
          <w:i/>
          <w:color w:val="B00000"/>
          <w:sz w:val="18"/>
        </w:rPr>
        <w:t>[TODO: Insert Fig. 1 (System Architecture Diagram) here - see diagrams.txt.]</w:t>
      </w:r>
    </w:p>
    <w:p>
      <w:pPr>
        <w:spacing w:before="120" w:after="60"/>
      </w:pPr>
      <w:r>
        <w:rPr>
          <w:rFonts w:ascii="Times New Roman" w:hAnsi="Times New Roman"/>
          <w:b/>
          <w:i/>
          <w:sz w:val="20"/>
        </w:rPr>
        <w:t>C. Classification Model</w:t>
      </w:r>
    </w:p>
    <w:p>
      <w:pPr>
        <w:spacing w:after="0"/>
        <w:ind w:firstLine="288"/>
        <w:jc w:val="both"/>
      </w:pPr>
      <w:r>
        <w:rPr>
          <w:rFonts w:ascii="Times New Roman" w:hAnsi="Times New Roman"/>
          <w:sz w:val="20"/>
        </w:rPr>
        <w:t>A gradient-boosted decision tree classifier (XGBoost) is trained on the twelve-feature, StandardScaler-normalized dataset, using a multiclass softmax objective with two hundred estimators, a maximum tree depth of five, and a learning rate of 0.1. A monitoring window is classified as ransomware (encryptor or locker) when the corresponding predicted class probability exceeds a configurable confidence threshold, set to 0.85 in the deployed configuration; otherwise, the window is classified as goodware.</w:t>
      </w:r>
    </w:p>
    <w:p>
      <w:pPr>
        <w:spacing w:before="120" w:after="60"/>
      </w:pPr>
      <w:r>
        <w:rPr>
          <w:rFonts w:ascii="Times New Roman" w:hAnsi="Times New Roman"/>
          <w:b/>
          <w:i/>
          <w:sz w:val="20"/>
        </w:rPr>
        <w:t>D. Anomaly Detection Model</w:t>
      </w:r>
    </w:p>
    <w:p>
      <w:pPr>
        <w:spacing w:after="0"/>
        <w:ind w:firstLine="288"/>
        <w:jc w:val="both"/>
      </w:pPr>
      <w:r>
        <w:rPr>
          <w:rFonts w:ascii="Times New Roman" w:hAnsi="Times New Roman"/>
          <w:sz w:val="20"/>
        </w:rPr>
        <w:t>A symmetric autoencoder with layer widths 12-10-6-3-6-10-12 and rectified linear activations is trained exclusively on goodware windows. At inference time, the mean squared reconstruction error for an input window is normalized against a threshold derived from the percentile of goodware reconstruction error that maximizes detection F1-score on a reference evaluation set. Because this threshold is specific to a given trained model, it is recalibrated whenever the autoencoder is retrained; the implications of this coupling are discussed in Section IV-C.</w:t>
      </w:r>
    </w:p>
    <w:p>
      <w:pPr>
        <w:spacing w:before="120" w:after="60"/>
      </w:pPr>
      <w:r>
        <w:rPr>
          <w:rFonts w:ascii="Times New Roman" w:hAnsi="Times New Roman"/>
          <w:b/>
          <w:i/>
          <w:sz w:val="20"/>
        </w:rPr>
        <w:t>E. Response Mechanism</w:t>
      </w:r>
    </w:p>
    <w:p>
      <w:pPr>
        <w:spacing w:after="0"/>
        <w:ind w:firstLine="288"/>
        <w:jc w:val="both"/>
      </w:pPr>
      <w:r>
        <w:rPr>
          <w:rFonts w:ascii="Times New Roman" w:hAnsi="Times New Roman"/>
          <w:sz w:val="20"/>
        </w:rPr>
        <w:t>The system includes an optional automated response module capable of terminating a flagged process, restricting write access to monitored directories, or isolating the host from the network upon a critical alert. This module is disabled by default. Process termination was validated against a disposable process created for that purpose. Filesystem restriction and network isolation were not evaluated, as both actions are destructive and difficult to reverse on a production machine, and meaningful evaluation requires an isolated, disposable environment that was not available for this work. This module is not central to the contribution or evaluation of this paper, which concerns detection rather than response, and is discussed further as future work in Section VII.</w:t>
      </w:r>
    </w:p>
    <w:p>
      <w:pPr>
        <w:spacing w:before="120" w:after="60"/>
      </w:pPr>
      <w:r>
        <w:rPr>
          <w:rFonts w:ascii="Times New Roman" w:hAnsi="Times New Roman"/>
          <w:b/>
          <w:i/>
          <w:sz w:val="20"/>
        </w:rPr>
        <w:t>F. Evaluation Protocol</w:t>
      </w:r>
    </w:p>
    <w:p>
      <w:pPr>
        <w:spacing w:after="0"/>
        <w:ind w:firstLine="288"/>
        <w:jc w:val="both"/>
      </w:pPr>
      <w:r>
        <w:rPr>
          <w:rFonts w:ascii="Times New Roman" w:hAnsi="Times New Roman"/>
          <w:sz w:val="20"/>
        </w:rPr>
        <w:t>Detection performance is evaluated using stratified ten-fold cross-validation rather than a single train/test split. This choice followed an observation that repeated single 80/20-split retrains of an otherwise unchanged model produced accuracy values differing purely as a result of fold membership, a variation that could otherwise be mistaken for the effect of an intervening change. Ten-fold cross-validation, consistent with [1], yields a mean and a standard deviation and therefore supports a defensible confidence interval rather than a single point estimate.</w:t>
      </w:r>
    </w:p>
    <w:p>
      <w:pPr>
        <w:spacing w:before="200" w:after="120"/>
        <w:jc w:val="center"/>
      </w:pPr>
      <w:r>
        <w:rPr>
          <w:rFonts w:ascii="Times New Roman" w:hAnsi="Times New Roman"/>
          <w:b/>
          <w:sz w:val="20"/>
        </w:rPr>
        <w:t>IV. DEPLOYMENT VALIDATION</w:t>
      </w:r>
    </w:p>
    <w:p>
      <w:pPr>
        <w:spacing w:after="0"/>
        <w:ind w:firstLine="288"/>
        <w:jc w:val="both"/>
      </w:pPr>
      <w:r>
        <w:rPr>
          <w:rFonts w:ascii="Times New Roman" w:hAnsi="Times New Roman"/>
          <w:sz w:val="20"/>
        </w:rPr>
        <w:t>Prior to reporting detection results, the system was subjected to a structured validation covering the path between the trained model and the continuously operating deployment. This validation traced every trained feature to its corresponding live data source, compared observed live values against the distribution present in the training data, and measured computational cost under realistic operating conditions rather than relying on manual inspection alone. This process identified issues in six areas, described below and summarized in Table I.</w:t>
      </w:r>
    </w:p>
    <w:p>
      <w:pPr>
        <w:spacing w:before="120" w:after="60"/>
      </w:pPr>
      <w:r>
        <w:rPr>
          <w:rFonts w:ascii="Times New Roman" w:hAnsi="Times New Roman"/>
          <w:b/>
          <w:i/>
          <w:sz w:val="20"/>
        </w:rPr>
        <w:t>A. Feature Availability in Continuous Monitoring</w:t>
      </w:r>
    </w:p>
    <w:p>
      <w:pPr>
        <w:spacing w:after="0"/>
        <w:ind w:firstLine="288"/>
        <w:jc w:val="both"/>
      </w:pPr>
      <w:r>
        <w:rPr>
          <w:rFonts w:ascii="Times New Roman" w:hAnsi="Times New Roman"/>
          <w:sz w:val="20"/>
        </w:rPr>
        <w:t>Tracing each of the twelve trained features to its corresponding live monitoring component revealed that three features — directory_enumerated, apistats, and dll_loaded — were never written by any monitor, despite being present in the training data and accounting for 41% of the classifier's feature importance, with directory_enumerated alone the single highest-importance feature. Consequently, these features were structurally fixed at zero during every live classification, regardless of the classifier's offline accuracy. A later audit conducted while preparing this manuscript identified that a twelfth feature, tree_command_line, exhibited the same defect and had been overlooked during the initial validation pass, indicating that even a deliberate audit process benefits from an exhaustive, per-feature checklist rather than terminating once several defects have been located.</w:t>
      </w:r>
    </w:p>
    <w:p>
      <w:pPr>
        <w:spacing w:before="120" w:after="60"/>
      </w:pPr>
      <w:r>
        <w:rPr>
          <w:rFonts w:ascii="Times New Roman" w:hAnsi="Times New Roman"/>
          <w:b/>
          <w:i/>
          <w:sz w:val="20"/>
        </w:rPr>
        <w:t>B. Temporal Sampling Behaviour</w:t>
      </w:r>
    </w:p>
    <w:p>
      <w:pPr>
        <w:spacing w:after="0"/>
        <w:ind w:firstLine="288"/>
        <w:jc w:val="both"/>
      </w:pPr>
      <w:r>
        <w:rPr>
          <w:rFonts w:ascii="Times New Roman" w:hAnsi="Times New Roman"/>
          <w:sz w:val="20"/>
        </w:rPr>
        <w:t>The initial correction for the issue described in Section IV-A sampled each process exactly once, at the instant it was first observed. Comparison against the per-class feature distributions in the training data, in which ransomware samples exhibit values one to three orders of magnitude larger than goodware on these features, indicated that a value sampled at process creation would resemble goodware irrespective of a process's subsequent behavior, particularly for ransomware executing as a single long-lived process. The correction was revised to resample tracked processes periodically and accumulate the observed increase, so that cumulative behavior over the monitoring window is reflected rather than a single value captured at process birth.</w:t>
      </w:r>
    </w:p>
    <w:p>
      <w:pPr>
        <w:spacing w:before="120" w:after="60"/>
      </w:pPr>
      <w:r>
        <w:rPr>
          <w:rFonts w:ascii="Times New Roman" w:hAnsi="Times New Roman"/>
          <w:b/>
          <w:i/>
          <w:sz w:val="20"/>
        </w:rPr>
        <w:t>C. Threshold-Model Coupling</w:t>
      </w:r>
    </w:p>
    <w:p>
      <w:pPr>
        <w:spacing w:after="0"/>
        <w:ind w:firstLine="288"/>
        <w:jc w:val="both"/>
      </w:pPr>
      <w:r>
        <w:rPr>
          <w:rFonts w:ascii="Times New Roman" w:hAnsi="Times New Roman"/>
          <w:sz w:val="20"/>
        </w:rPr>
        <w:t>The anomaly detection threshold described in Section III-D is calibrated to a specific trained autoencoder and is stored independently of the model artifact it corresponds to, with no mechanism in the system enforcing consistency between the two. Across three retraining cycles conducted during this work, the threshold required manual recalibration on each occasion, as the underlying reconstruction error distribution shifted with each retrained model. Failure to recalibrate the threshold following a retrain would cause ordinary activity to register a near-maximal anomaly score, triggering the system's highest alert level under routine operation. The recurrence of this issue across three independent retraining cycles is treated as evidence that this coupling represents a structural risk warranting an automated consistency check rather than a procedural reminder.</w:t>
      </w:r>
    </w:p>
    <w:p>
      <w:pPr>
        <w:spacing w:before="120" w:after="60"/>
      </w:pPr>
      <w:r>
        <w:rPr>
          <w:rFonts w:ascii="Times New Roman" w:hAnsi="Times New Roman"/>
          <w:b/>
          <w:i/>
          <w:sz w:val="20"/>
        </w:rPr>
        <w:t>D. Computational Feasibility Under Realistic Load</w:t>
      </w:r>
    </w:p>
    <w:p>
      <w:pPr>
        <w:spacing w:after="0"/>
        <w:ind w:firstLine="288"/>
        <w:jc w:val="both"/>
      </w:pPr>
      <w:r>
        <w:rPr>
          <w:rFonts w:ascii="Times New Roman" w:hAnsi="Times New Roman"/>
          <w:sz w:val="20"/>
        </w:rPr>
        <w:t>An optimization intended to reduce the overhead introduced by the correction described in Section IV-B reduced the frequency at which tracked processes are resampled, without measuring the computational cost of the underlying operation. Benchmarking under a realistic process count, comprising 266 concurrently running processes on the evaluation machine, showed that a complete resampling pass required approximately fifty-two seconds, a duration thirteen to twenty-six times greater than the interval within which it was expected to execute. Profiling attributed this cost to a single system call used to enumerate a process's open file handles, measured at approximately eight times the cost of the alternative call used for the remaining resampled features. The operation was removed from the continuous polling path and replaced with an equivalent signal derived from filesystem events already collected by the system, reducing the measured cost to 5.67 seconds. This finding indicates that a reduction in call frequency is not, by itself, sufficient evidence that a performance-sensitive operation meets its timing budget.</w:t>
      </w:r>
    </w:p>
    <w:p>
      <w:pPr>
        <w:spacing w:before="120" w:after="60"/>
      </w:pPr>
      <w:r>
        <w:rPr>
          <w:rFonts w:ascii="Times New Roman" w:hAnsi="Times New Roman"/>
          <w:b/>
          <w:i/>
          <w:sz w:val="20"/>
        </w:rPr>
        <w:t>E. Data Pipeline Robustness</w:t>
      </w:r>
    </w:p>
    <w:p>
      <w:pPr>
        <w:spacing w:after="0"/>
        <w:ind w:firstLine="288"/>
        <w:jc w:val="both"/>
      </w:pPr>
      <w:r>
        <w:rPr>
          <w:rFonts w:ascii="Times New Roman" w:hAnsi="Times New Roman"/>
          <w:sz w:val="20"/>
        </w:rPr>
        <w:t>The offline pipeline responsible for converting collected telemetry into training data was found to load the complete event log into memory prior to processing, which raised an out-of-memory error when applied to a realistically sized log of approximately 1.3 gigabytes. The pipeline was rewritten to process the log as a single streaming pass. Separately, an encoding artifact introduced during data extraction — a byte-order mark inserted by a text-processing utility — caused one hundred percent of rows in an extracted file to fail timestamp parsing without producing an explicit error, and was resolved by extracting the affected data using an encoding-aware file read.</w:t>
      </w:r>
    </w:p>
    <w:p>
      <w:pPr>
        <w:spacing w:before="120" w:after="60"/>
      </w:pPr>
      <w:r>
        <w:rPr>
          <w:rFonts w:ascii="Times New Roman" w:hAnsi="Times New Roman"/>
          <w:b/>
          <w:i/>
          <w:sz w:val="20"/>
        </w:rPr>
        <w:t>F. Response Mechanism Integration</w:t>
      </w:r>
    </w:p>
    <w:p>
      <w:pPr>
        <w:spacing w:after="0"/>
        <w:ind w:firstLine="288"/>
        <w:jc w:val="both"/>
      </w:pPr>
      <w:r>
        <w:rPr>
          <w:rFonts w:ascii="Times New Roman" w:hAnsi="Times New Roman"/>
          <w:sz w:val="20"/>
        </w:rPr>
        <w:t>The automated response module described in Section III-E was found to be fully implemented but not connected to the alert pipeline at any point in the codebase, such that no automated response could occur regardless of configuration. This was corrected by invoking the response module from the alert system upon a critical classification, while retaining the module's default-disabled configuration.</w:t>
      </w:r>
    </w:p>
    <w:p>
      <w:pPr>
        <w:spacing w:after="60"/>
        <w:jc w:val="center"/>
      </w:pPr>
      <w:r>
        <w:rPr>
          <w:rFonts w:ascii="Times New Roman" w:hAnsi="Times New Roman"/>
          <w:sz w:val="18"/>
        </w:rPr>
        <w:t>TABLE I</w:t>
        <w:br/>
      </w:r>
      <w:r>
        <w:rPr>
          <w:rFonts w:ascii="Times New Roman" w:hAnsi="Times New Roman"/>
          <w:sz w:val="18"/>
        </w:rPr>
        <w:t>SUMMARY OF DEPLOYMENT VALIDATION FINDINGS</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sz w:val="16"/>
              </w:rPr>
              <w:t>Area</w:t>
            </w:r>
          </w:p>
        </w:tc>
        <w:tc>
          <w:tcPr>
            <w:tcW w:type="dxa" w:w="3360"/>
          </w:tcPr>
          <w:p>
            <w:pPr>
              <w:jc w:val="center"/>
            </w:pPr>
            <w:r>
              <w:rPr>
                <w:rFonts w:ascii="Times New Roman" w:hAnsi="Times New Roman"/>
                <w:b/>
                <w:sz w:val="16"/>
              </w:rPr>
              <w:t>Finding</w:t>
            </w:r>
          </w:p>
        </w:tc>
        <w:tc>
          <w:tcPr>
            <w:tcW w:type="dxa" w:w="3360"/>
          </w:tcPr>
          <w:p>
            <w:pPr>
              <w:jc w:val="center"/>
            </w:pPr>
            <w:r>
              <w:rPr>
                <w:rFonts w:ascii="Times New Roman" w:hAnsi="Times New Roman"/>
                <w:b/>
                <w:sz w:val="16"/>
              </w:rPr>
              <w:t>Resolution</w:t>
            </w:r>
          </w:p>
        </w:tc>
      </w:tr>
      <w:tr>
        <w:tc>
          <w:tcPr>
            <w:tcW w:type="dxa" w:w="3360"/>
          </w:tcPr>
          <w:p>
            <w:pPr>
              <w:jc w:val="center"/>
            </w:pPr>
            <w:r>
              <w:rPr>
                <w:rFonts w:ascii="Times New Roman" w:hAnsi="Times New Roman"/>
                <w:sz w:val="16"/>
              </w:rPr>
              <w:t>Feature availability</w:t>
            </w:r>
          </w:p>
        </w:tc>
        <w:tc>
          <w:tcPr>
            <w:tcW w:type="dxa" w:w="3360"/>
          </w:tcPr>
          <w:p>
            <w:pPr>
              <w:jc w:val="center"/>
            </w:pPr>
            <w:r>
              <w:rPr>
                <w:rFonts w:ascii="Times New Roman" w:hAnsi="Times New Roman"/>
                <w:sz w:val="16"/>
              </w:rPr>
              <w:t>3 of 12 features never populated in live operation (41% of model importance)</w:t>
            </w:r>
          </w:p>
        </w:tc>
        <w:tc>
          <w:tcPr>
            <w:tcW w:type="dxa" w:w="3360"/>
          </w:tcPr>
          <w:p>
            <w:pPr>
              <w:jc w:val="center"/>
            </w:pPr>
            <w:r>
              <w:rPr>
                <w:rFonts w:ascii="Times New Roman" w:hAnsi="Times New Roman"/>
                <w:sz w:val="16"/>
              </w:rPr>
              <w:t>Live proxy measurements implemented and validated</w:t>
            </w:r>
          </w:p>
        </w:tc>
      </w:tr>
      <w:tr>
        <w:tc>
          <w:tcPr>
            <w:tcW w:type="dxa" w:w="3360"/>
          </w:tcPr>
          <w:p>
            <w:pPr>
              <w:jc w:val="center"/>
            </w:pPr>
            <w:r>
              <w:rPr>
                <w:rFonts w:ascii="Times New Roman" w:hAnsi="Times New Roman"/>
                <w:sz w:val="16"/>
              </w:rPr>
              <w:t>Temporal sampling</w:t>
            </w:r>
          </w:p>
        </w:tc>
        <w:tc>
          <w:tcPr>
            <w:tcW w:type="dxa" w:w="3360"/>
          </w:tcPr>
          <w:p>
            <w:pPr>
              <w:jc w:val="center"/>
            </w:pPr>
            <w:r>
              <w:rPr>
                <w:rFonts w:ascii="Times New Roman" w:hAnsi="Times New Roman"/>
                <w:sz w:val="16"/>
              </w:rPr>
              <w:t>Feature values sampled once, at process creation only</w:t>
            </w:r>
          </w:p>
        </w:tc>
        <w:tc>
          <w:tcPr>
            <w:tcW w:type="dxa" w:w="3360"/>
          </w:tcPr>
          <w:p>
            <w:pPr>
              <w:jc w:val="center"/>
            </w:pPr>
            <w:r>
              <w:rPr>
                <w:rFonts w:ascii="Times New Roman" w:hAnsi="Times New Roman"/>
                <w:sz w:val="16"/>
              </w:rPr>
              <w:t>Periodic resampling with cumulative accumulation</w:t>
            </w:r>
          </w:p>
        </w:tc>
      </w:tr>
      <w:tr>
        <w:tc>
          <w:tcPr>
            <w:tcW w:type="dxa" w:w="3360"/>
          </w:tcPr>
          <w:p>
            <w:pPr>
              <w:jc w:val="center"/>
            </w:pPr>
            <w:r>
              <w:rPr>
                <w:rFonts w:ascii="Times New Roman" w:hAnsi="Times New Roman"/>
                <w:sz w:val="16"/>
              </w:rPr>
              <w:t>Threshold coupling</w:t>
            </w:r>
          </w:p>
        </w:tc>
        <w:tc>
          <w:tcPr>
            <w:tcW w:type="dxa" w:w="3360"/>
          </w:tcPr>
          <w:p>
            <w:pPr>
              <w:jc w:val="center"/>
            </w:pPr>
            <w:r>
              <w:rPr>
                <w:rFonts w:ascii="Times New Roman" w:hAnsi="Times New Roman"/>
                <w:sz w:val="16"/>
              </w:rPr>
              <w:t>Anomaly threshold not recalibrated after retraining</w:t>
            </w:r>
          </w:p>
        </w:tc>
        <w:tc>
          <w:tcPr>
            <w:tcW w:type="dxa" w:w="3360"/>
          </w:tcPr>
          <w:p>
            <w:pPr>
              <w:jc w:val="center"/>
            </w:pPr>
            <w:r>
              <w:rPr>
                <w:rFonts w:ascii="Times New Roman" w:hAnsi="Times New Roman"/>
                <w:sz w:val="16"/>
              </w:rPr>
              <w:t>Recalibration applied after each retrain (recurred 3x)</w:t>
            </w:r>
          </w:p>
        </w:tc>
      </w:tr>
      <w:tr>
        <w:tc>
          <w:tcPr>
            <w:tcW w:type="dxa" w:w="3360"/>
          </w:tcPr>
          <w:p>
            <w:pPr>
              <w:jc w:val="center"/>
            </w:pPr>
            <w:r>
              <w:rPr>
                <w:rFonts w:ascii="Times New Roman" w:hAnsi="Times New Roman"/>
                <w:sz w:val="16"/>
              </w:rPr>
              <w:t>Computational cost</w:t>
            </w:r>
          </w:p>
        </w:tc>
        <w:tc>
          <w:tcPr>
            <w:tcW w:type="dxa" w:w="3360"/>
          </w:tcPr>
          <w:p>
            <w:pPr>
              <w:jc w:val="center"/>
            </w:pPr>
            <w:r>
              <w:rPr>
                <w:rFonts w:ascii="Times New Roman" w:hAnsi="Times New Roman"/>
                <w:sz w:val="16"/>
              </w:rPr>
              <w:t>Optimization remained 13-26x over its timing budget</w:t>
            </w:r>
          </w:p>
        </w:tc>
        <w:tc>
          <w:tcPr>
            <w:tcW w:type="dxa" w:w="3360"/>
          </w:tcPr>
          <w:p>
            <w:pPr>
              <w:jc w:val="center"/>
            </w:pPr>
            <w:r>
              <w:rPr>
                <w:rFonts w:ascii="Times New Roman" w:hAnsi="Times New Roman"/>
                <w:sz w:val="16"/>
              </w:rPr>
              <w:t>Expensive call removed; cost reduced from 52.3s to 5.67s</w:t>
            </w:r>
          </w:p>
        </w:tc>
      </w:tr>
      <w:tr>
        <w:tc>
          <w:tcPr>
            <w:tcW w:type="dxa" w:w="3360"/>
          </w:tcPr>
          <w:p>
            <w:pPr>
              <w:jc w:val="center"/>
            </w:pPr>
            <w:r>
              <w:rPr>
                <w:rFonts w:ascii="Times New Roman" w:hAnsi="Times New Roman"/>
                <w:sz w:val="16"/>
              </w:rPr>
              <w:t>Pipeline robustness</w:t>
            </w:r>
          </w:p>
        </w:tc>
        <w:tc>
          <w:tcPr>
            <w:tcW w:type="dxa" w:w="3360"/>
          </w:tcPr>
          <w:p>
            <w:pPr>
              <w:jc w:val="center"/>
            </w:pPr>
            <w:r>
              <w:rPr>
                <w:rFonts w:ascii="Times New Roman" w:hAnsi="Times New Roman"/>
                <w:sz w:val="16"/>
              </w:rPr>
              <w:t>Offline pipeline failed on realistic data volume</w:t>
            </w:r>
          </w:p>
        </w:tc>
        <w:tc>
          <w:tcPr>
            <w:tcW w:type="dxa" w:w="3360"/>
          </w:tcPr>
          <w:p>
            <w:pPr>
              <w:jc w:val="center"/>
            </w:pPr>
            <w:r>
              <w:rPr>
                <w:rFonts w:ascii="Times New Roman" w:hAnsi="Times New Roman"/>
                <w:sz w:val="16"/>
              </w:rPr>
              <w:t>Rewritten as a single streaming pass</w:t>
            </w:r>
          </w:p>
        </w:tc>
      </w:tr>
      <w:tr>
        <w:tc>
          <w:tcPr>
            <w:tcW w:type="dxa" w:w="3360"/>
          </w:tcPr>
          <w:p>
            <w:pPr>
              <w:jc w:val="center"/>
            </w:pPr>
            <w:r>
              <w:rPr>
                <w:rFonts w:ascii="Times New Roman" w:hAnsi="Times New Roman"/>
                <w:sz w:val="16"/>
              </w:rPr>
              <w:t>Response integration</w:t>
            </w:r>
          </w:p>
        </w:tc>
        <w:tc>
          <w:tcPr>
            <w:tcW w:type="dxa" w:w="3360"/>
          </w:tcPr>
          <w:p>
            <w:pPr>
              <w:jc w:val="center"/>
            </w:pPr>
            <w:r>
              <w:rPr>
                <w:rFonts w:ascii="Times New Roman" w:hAnsi="Times New Roman"/>
                <w:sz w:val="16"/>
              </w:rPr>
              <w:t>Response module implemented but never invoked</w:t>
            </w:r>
          </w:p>
        </w:tc>
        <w:tc>
          <w:tcPr>
            <w:tcW w:type="dxa" w:w="3360"/>
          </w:tcPr>
          <w:p>
            <w:pPr>
              <w:jc w:val="center"/>
            </w:pPr>
            <w:r>
              <w:rPr>
                <w:rFonts w:ascii="Times New Roman" w:hAnsi="Times New Roman"/>
                <w:sz w:val="16"/>
              </w:rPr>
              <w:t>Connected to the alert pipeline; disabled by default</w:t>
            </w:r>
          </w:p>
        </w:tc>
      </w:tr>
    </w:tbl>
    <w:p/>
    <w:p>
      <w:pPr>
        <w:spacing w:before="200" w:after="120"/>
        <w:jc w:val="center"/>
      </w:pPr>
      <w:r>
        <w:rPr>
          <w:rFonts w:ascii="Times New Roman" w:hAnsi="Times New Roman"/>
          <w:b/>
          <w:sz w:val="20"/>
        </w:rPr>
        <w:t>V. EXPERIMENTAL RESULTS</w:t>
      </w:r>
    </w:p>
    <w:p>
      <w:pPr>
        <w:spacing w:before="120" w:after="60"/>
      </w:pPr>
      <w:r>
        <w:rPr>
          <w:rFonts w:ascii="Times New Roman" w:hAnsi="Times New Roman"/>
          <w:b/>
          <w:i/>
          <w:sz w:val="20"/>
        </w:rPr>
        <w:t>A. Classification Performance</w:t>
      </w:r>
    </w:p>
    <w:p>
      <w:pPr>
        <w:spacing w:after="0"/>
        <w:ind w:firstLine="288"/>
        <w:jc w:val="both"/>
      </w:pPr>
      <w:r>
        <w:rPr>
          <w:rFonts w:ascii="Times New Roman" w:hAnsi="Times New Roman"/>
          <w:sz w:val="20"/>
        </w:rPr>
        <w:t>Table II reports classification performance using ten-fold stratified cross-validation on the final 2,999-row dataset (1,999 goodware, 800 encryptor ransomware, 200 locker ransomware).</w:t>
      </w:r>
    </w:p>
    <w:p>
      <w:pPr>
        <w:spacing w:after="60"/>
        <w:jc w:val="center"/>
      </w:pPr>
      <w:r>
        <w:rPr>
          <w:rFonts w:ascii="Times New Roman" w:hAnsi="Times New Roman"/>
          <w:sz w:val="18"/>
        </w:rPr>
        <w:t>TABLE II</w:t>
        <w:br/>
      </w:r>
      <w:r>
        <w:rPr>
          <w:rFonts w:ascii="Times New Roman" w:hAnsi="Times New Roman"/>
          <w:sz w:val="18"/>
        </w:rPr>
        <w:t>TEN-FOLD CROSS-VALIDATION SUMMARY</w:t>
      </w:r>
    </w:p>
    <w:tbl>
      <w:tblPr>
        <w:tblStyle w:val="TableGrid"/>
        <w:tblW w:type="auto" w:w="0"/>
        <w:jc w:val="center"/>
        <w:tblLook w:firstColumn="1" w:firstRow="1" w:lastColumn="0" w:lastRow="0" w:noHBand="0" w:noVBand="1" w:val="04A0"/>
      </w:tblPr>
      <w:tblGrid>
        <w:gridCol w:w="5040"/>
        <w:gridCol w:w="5040"/>
      </w:tblGrid>
      <w:tr>
        <w:tc>
          <w:tcPr>
            <w:tcW w:type="dxa" w:w="5040"/>
          </w:tcPr>
          <w:p>
            <w:pPr>
              <w:jc w:val="center"/>
            </w:pPr>
            <w:r>
              <w:rPr>
                <w:rFonts w:ascii="Times New Roman" w:hAnsi="Times New Roman"/>
                <w:b/>
                <w:sz w:val="16"/>
              </w:rPr>
              <w:t>Metric</w:t>
            </w:r>
          </w:p>
        </w:tc>
        <w:tc>
          <w:tcPr>
            <w:tcW w:type="dxa" w:w="5040"/>
          </w:tcPr>
          <w:p>
            <w:pPr>
              <w:jc w:val="center"/>
            </w:pPr>
            <w:r>
              <w:rPr>
                <w:rFonts w:ascii="Times New Roman" w:hAnsi="Times New Roman"/>
                <w:b/>
                <w:sz w:val="16"/>
              </w:rPr>
              <w:t>Value</w:t>
            </w:r>
          </w:p>
        </w:tc>
      </w:tr>
      <w:tr>
        <w:tc>
          <w:tcPr>
            <w:tcW w:type="dxa" w:w="5040"/>
          </w:tcPr>
          <w:p>
            <w:pPr>
              <w:jc w:val="center"/>
            </w:pPr>
            <w:r>
              <w:rPr>
                <w:rFonts w:ascii="Times New Roman" w:hAnsi="Times New Roman"/>
                <w:sz w:val="16"/>
              </w:rPr>
              <w:t>Mean accuracy</w:t>
            </w:r>
          </w:p>
        </w:tc>
        <w:tc>
          <w:tcPr>
            <w:tcW w:type="dxa" w:w="5040"/>
          </w:tcPr>
          <w:p>
            <w:pPr>
              <w:jc w:val="center"/>
            </w:pPr>
            <w:r>
              <w:rPr>
                <w:rFonts w:ascii="Times New Roman" w:hAnsi="Times New Roman"/>
                <w:sz w:val="16"/>
              </w:rPr>
              <w:t>98.10%</w:t>
            </w:r>
          </w:p>
        </w:tc>
      </w:tr>
      <w:tr>
        <w:tc>
          <w:tcPr>
            <w:tcW w:type="dxa" w:w="5040"/>
          </w:tcPr>
          <w:p>
            <w:pPr>
              <w:jc w:val="center"/>
            </w:pPr>
            <w:r>
              <w:rPr>
                <w:rFonts w:ascii="Times New Roman" w:hAnsi="Times New Roman"/>
                <w:sz w:val="16"/>
              </w:rPr>
              <w:t>Standard deviation</w:t>
            </w:r>
          </w:p>
        </w:tc>
        <w:tc>
          <w:tcPr>
            <w:tcW w:type="dxa" w:w="5040"/>
          </w:tcPr>
          <w:p>
            <w:pPr>
              <w:jc w:val="center"/>
            </w:pPr>
            <w:r>
              <w:rPr>
                <w:rFonts w:ascii="Times New Roman" w:hAnsi="Times New Roman"/>
                <w:sz w:val="16"/>
              </w:rPr>
              <w:t>0.62%</w:t>
            </w:r>
          </w:p>
        </w:tc>
      </w:tr>
      <w:tr>
        <w:tc>
          <w:tcPr>
            <w:tcW w:type="dxa" w:w="5040"/>
          </w:tcPr>
          <w:p>
            <w:pPr>
              <w:jc w:val="center"/>
            </w:pPr>
            <w:r>
              <w:rPr>
                <w:rFonts w:ascii="Times New Roman" w:hAnsi="Times New Roman"/>
                <w:sz w:val="16"/>
              </w:rPr>
              <w:t>95% confidence interval</w:t>
            </w:r>
          </w:p>
        </w:tc>
        <w:tc>
          <w:tcPr>
            <w:tcW w:type="dxa" w:w="5040"/>
          </w:tcPr>
          <w:p>
            <w:pPr>
              <w:jc w:val="center"/>
            </w:pPr>
            <w:r>
              <w:rPr>
                <w:rFonts w:ascii="Times New Roman" w:hAnsi="Times New Roman"/>
                <w:sz w:val="16"/>
              </w:rPr>
              <w:t>97.72% - 98.48%</w:t>
            </w:r>
          </w:p>
        </w:tc>
      </w:tr>
    </w:tbl>
    <w:p/>
    <w:p>
      <w:pPr>
        <w:spacing w:after="60"/>
        <w:jc w:val="center"/>
      </w:pPr>
      <w:r>
        <w:rPr>
          <w:rFonts w:ascii="Times New Roman" w:hAnsi="Times New Roman"/>
          <w:sz w:val="18"/>
        </w:rPr>
        <w:t>TABLE III</w:t>
        <w:br/>
      </w:r>
      <w:r>
        <w:rPr>
          <w:rFonts w:ascii="Times New Roman" w:hAnsi="Times New Roman"/>
          <w:sz w:val="18"/>
        </w:rPr>
        <w:t>PER-CLASS CLASSIFICATION PERFORMANCE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pPr>
              <w:jc w:val="center"/>
            </w:pPr>
            <w:r>
              <w:rPr>
                <w:rFonts w:ascii="Times New Roman" w:hAnsi="Times New Roman"/>
                <w:b/>
                <w:sz w:val="16"/>
              </w:rPr>
              <w:t>Class</w:t>
            </w:r>
          </w:p>
        </w:tc>
        <w:tc>
          <w:tcPr>
            <w:tcW w:type="dxa" w:w="2520"/>
          </w:tcPr>
          <w:p>
            <w:pPr>
              <w:jc w:val="center"/>
            </w:pPr>
            <w:r>
              <w:rPr>
                <w:rFonts w:ascii="Times New Roman" w:hAnsi="Times New Roman"/>
                <w:b/>
                <w:sz w:val="16"/>
              </w:rPr>
              <w:t>Precision</w:t>
            </w:r>
          </w:p>
        </w:tc>
        <w:tc>
          <w:tcPr>
            <w:tcW w:type="dxa" w:w="2520"/>
          </w:tcPr>
          <w:p>
            <w:pPr>
              <w:jc w:val="center"/>
            </w:pPr>
            <w:r>
              <w:rPr>
                <w:rFonts w:ascii="Times New Roman" w:hAnsi="Times New Roman"/>
                <w:b/>
                <w:sz w:val="16"/>
              </w:rPr>
              <w:t>Recall</w:t>
            </w:r>
          </w:p>
        </w:tc>
        <w:tc>
          <w:tcPr>
            <w:tcW w:type="dxa" w:w="2520"/>
          </w:tcPr>
          <w:p>
            <w:pPr>
              <w:jc w:val="center"/>
            </w:pPr>
            <w:r>
              <w:rPr>
                <w:rFonts w:ascii="Times New Roman" w:hAnsi="Times New Roman"/>
                <w:b/>
                <w:sz w:val="16"/>
              </w:rPr>
              <w:t>F1-score</w:t>
            </w:r>
          </w:p>
        </w:tc>
      </w:tr>
      <w:tr>
        <w:tc>
          <w:tcPr>
            <w:tcW w:type="dxa" w:w="2520"/>
          </w:tcPr>
          <w:p>
            <w:pPr>
              <w:jc w:val="center"/>
            </w:pPr>
            <w:r>
              <w:rPr>
                <w:rFonts w:ascii="Times New Roman" w:hAnsi="Times New Roman"/>
                <w:sz w:val="16"/>
              </w:rPr>
              <w:t>Encryptor (E)</w:t>
            </w:r>
          </w:p>
        </w:tc>
        <w:tc>
          <w:tcPr>
            <w:tcW w:type="dxa" w:w="2520"/>
          </w:tcPr>
          <w:p>
            <w:pPr>
              <w:jc w:val="center"/>
            </w:pPr>
            <w:r>
              <w:rPr>
                <w:rFonts w:ascii="Times New Roman" w:hAnsi="Times New Roman"/>
                <w:sz w:val="16"/>
              </w:rPr>
              <w:t>100.00%</w:t>
            </w:r>
          </w:p>
        </w:tc>
        <w:tc>
          <w:tcPr>
            <w:tcW w:type="dxa" w:w="2520"/>
          </w:tcPr>
          <w:p>
            <w:pPr>
              <w:jc w:val="center"/>
            </w:pPr>
            <w:r>
              <w:rPr>
                <w:rFonts w:ascii="Times New Roman" w:hAnsi="Times New Roman"/>
                <w:sz w:val="16"/>
              </w:rPr>
              <w:t>93.00%</w:t>
            </w:r>
          </w:p>
        </w:tc>
        <w:tc>
          <w:tcPr>
            <w:tcW w:type="dxa" w:w="2520"/>
          </w:tcPr>
          <w:p>
            <w:pPr>
              <w:jc w:val="center"/>
            </w:pPr>
            <w:r>
              <w:rPr>
                <w:rFonts w:ascii="Times New Roman" w:hAnsi="Times New Roman"/>
                <w:sz w:val="16"/>
              </w:rPr>
              <w:t>96.36%</w:t>
            </w:r>
          </w:p>
        </w:tc>
      </w:tr>
      <w:tr>
        <w:tc>
          <w:tcPr>
            <w:tcW w:type="dxa" w:w="2520"/>
          </w:tcPr>
          <w:p>
            <w:pPr>
              <w:jc w:val="center"/>
            </w:pPr>
            <w:r>
              <w:rPr>
                <w:rFonts w:ascii="Times New Roman" w:hAnsi="Times New Roman"/>
                <w:sz w:val="16"/>
              </w:rPr>
              <w:t>Goodware (G)</w:t>
            </w:r>
          </w:p>
        </w:tc>
        <w:tc>
          <w:tcPr>
            <w:tcW w:type="dxa" w:w="2520"/>
          </w:tcPr>
          <w:p>
            <w:pPr>
              <w:jc w:val="center"/>
            </w:pPr>
            <w:r>
              <w:rPr>
                <w:rFonts w:ascii="Times New Roman" w:hAnsi="Times New Roman"/>
                <w:sz w:val="16"/>
              </w:rPr>
              <w:t>97.23%</w:t>
            </w:r>
          </w:p>
        </w:tc>
        <w:tc>
          <w:tcPr>
            <w:tcW w:type="dxa" w:w="2520"/>
          </w:tcPr>
          <w:p>
            <w:pPr>
              <w:jc w:val="center"/>
            </w:pPr>
            <w:r>
              <w:rPr>
                <w:rFonts w:ascii="Times New Roman" w:hAnsi="Times New Roman"/>
                <w:sz w:val="16"/>
              </w:rPr>
              <w:t>100.00%</w:t>
            </w:r>
          </w:p>
        </w:tc>
        <w:tc>
          <w:tcPr>
            <w:tcW w:type="dxa" w:w="2520"/>
          </w:tcPr>
          <w:p>
            <w:pPr>
              <w:jc w:val="center"/>
            </w:pPr>
            <w:r>
              <w:rPr>
                <w:rFonts w:ascii="Times New Roman" w:hAnsi="Times New Roman"/>
                <w:sz w:val="16"/>
              </w:rPr>
              <w:t>98.60%</w:t>
            </w:r>
          </w:p>
        </w:tc>
      </w:tr>
      <w:tr>
        <w:tc>
          <w:tcPr>
            <w:tcW w:type="dxa" w:w="2520"/>
          </w:tcPr>
          <w:p>
            <w:pPr>
              <w:jc w:val="center"/>
            </w:pPr>
            <w:r>
              <w:rPr>
                <w:rFonts w:ascii="Times New Roman" w:hAnsi="Times New Roman"/>
                <w:sz w:val="16"/>
              </w:rPr>
              <w:t>Locker (L)</w:t>
            </w:r>
          </w:p>
        </w:tc>
        <w:tc>
          <w:tcPr>
            <w:tcW w:type="dxa" w:w="2520"/>
          </w:tcPr>
          <w:p>
            <w:pPr>
              <w:jc w:val="center"/>
            </w:pPr>
            <w:r>
              <w:rPr>
                <w:rFonts w:ascii="Times New Roman" w:hAnsi="Times New Roman"/>
                <w:sz w:val="16"/>
              </w:rPr>
              <w:t>100.00%</w:t>
            </w:r>
          </w:p>
        </w:tc>
        <w:tc>
          <w:tcPr>
            <w:tcW w:type="dxa" w:w="2520"/>
          </w:tcPr>
          <w:p>
            <w:pPr>
              <w:jc w:val="center"/>
            </w:pPr>
            <w:r>
              <w:rPr>
                <w:rFonts w:ascii="Times New Roman" w:hAnsi="Times New Roman"/>
                <w:sz w:val="16"/>
              </w:rPr>
              <w:t>99.50%</w:t>
            </w:r>
          </w:p>
        </w:tc>
        <w:tc>
          <w:tcPr>
            <w:tcW w:type="dxa" w:w="2520"/>
          </w:tcPr>
          <w:p>
            <w:pPr>
              <w:jc w:val="center"/>
            </w:pPr>
            <w:r>
              <w:rPr>
                <w:rFonts w:ascii="Times New Roman" w:hAnsi="Times New Roman"/>
                <w:sz w:val="16"/>
              </w:rPr>
              <w:t>99.74%</w:t>
            </w:r>
          </w:p>
        </w:tc>
      </w:tr>
    </w:tbl>
    <w:p/>
    <w:p>
      <w:pPr>
        <w:spacing w:after="0"/>
        <w:ind w:firstLine="288"/>
        <w:jc w:val="both"/>
      </w:pPr>
      <w:r>
        <w:rPr>
          <w:rFonts w:ascii="Times New Roman" w:hAnsi="Times New Roman"/>
          <w:sz w:val="20"/>
        </w:rPr>
        <w:t>The classifier attains perfect precision on both ransomware classes; across the entire cross-validated evaluation, no goodware sample was misclassified as ransomware. The single consistent limitation is recall on the encryptor class (93.00%), corresponding to 56 of 800 samples misclassified as goodware, discussed further in Section V-C. The most important features by XGBoost feature importance were directory_enumerated (27.4%), file_created (13.8%), and apistats (12.8%) — notably, the two highest-ranked features correspond to those affected by the finding reported in Section IV-A, consistent with the correction of their collection having been the appropriate priority.</w:t>
      </w:r>
    </w:p>
    <w:p>
      <w:r>
        <w:rPr>
          <w:rFonts w:ascii="Times New Roman" w:hAnsi="Times New Roman"/>
          <w:i/>
          <w:color w:val="B00000"/>
          <w:sz w:val="18"/>
        </w:rPr>
        <w:t>[TODO: Insert Fig. showing confusion matrix heatmap and feature importance chart here - see diagrams.txt items 3-4.]</w:t>
      </w:r>
    </w:p>
    <w:p>
      <w:pPr>
        <w:spacing w:before="120" w:after="60"/>
      </w:pPr>
      <w:r>
        <w:rPr>
          <w:rFonts w:ascii="Times New Roman" w:hAnsi="Times New Roman"/>
          <w:b/>
          <w:i/>
          <w:sz w:val="20"/>
        </w:rPr>
        <w:t>B. Anomaly Detection Performance</w:t>
      </w:r>
    </w:p>
    <w:p>
      <w:pPr>
        <w:spacing w:after="60"/>
        <w:jc w:val="center"/>
      </w:pPr>
      <w:r>
        <w:rPr>
          <w:rFonts w:ascii="Times New Roman" w:hAnsi="Times New Roman"/>
          <w:sz w:val="18"/>
        </w:rPr>
        <w:t>TABLE IV</w:t>
        <w:br/>
      </w:r>
      <w:r>
        <w:rPr>
          <w:rFonts w:ascii="Times New Roman" w:hAnsi="Times New Roman"/>
          <w:sz w:val="18"/>
        </w:rPr>
        <w:t>AUTOENCODER RESULTS ACROSS RETRAINING CYCLES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pPr>
              <w:jc w:val="center"/>
            </w:pPr>
            <w:r>
              <w:rPr>
                <w:rFonts w:ascii="Times New Roman" w:hAnsi="Times New Roman"/>
                <w:b/>
                <w:sz w:val="16"/>
              </w:rPr>
              <w:t>Version</w:t>
            </w:r>
          </w:p>
        </w:tc>
        <w:tc>
          <w:tcPr>
            <w:tcW w:type="dxa" w:w="2520"/>
          </w:tcPr>
          <w:p>
            <w:pPr>
              <w:jc w:val="center"/>
            </w:pPr>
            <w:r>
              <w:rPr>
                <w:rFonts w:ascii="Times New Roman" w:hAnsi="Times New Roman"/>
                <w:b/>
                <w:sz w:val="16"/>
              </w:rPr>
              <w:t>Goodware Error</w:t>
            </w:r>
          </w:p>
        </w:tc>
        <w:tc>
          <w:tcPr>
            <w:tcW w:type="dxa" w:w="2520"/>
          </w:tcPr>
          <w:p>
            <w:pPr>
              <w:jc w:val="center"/>
            </w:pPr>
            <w:r>
              <w:rPr>
                <w:rFonts w:ascii="Times New Roman" w:hAnsi="Times New Roman"/>
                <w:b/>
                <w:sz w:val="16"/>
              </w:rPr>
              <w:t>F1-score</w:t>
            </w:r>
          </w:p>
        </w:tc>
        <w:tc>
          <w:tcPr>
            <w:tcW w:type="dxa" w:w="2520"/>
          </w:tcPr>
          <w:p>
            <w:pPr>
              <w:jc w:val="center"/>
            </w:pPr>
            <w:r>
              <w:rPr>
                <w:rFonts w:ascii="Times New Roman" w:hAnsi="Times New Roman"/>
                <w:b/>
                <w:sz w:val="16"/>
              </w:rPr>
              <w:t>Threshold</w:t>
            </w:r>
          </w:p>
        </w:tc>
      </w:tr>
      <w:tr>
        <w:tc>
          <w:tcPr>
            <w:tcW w:type="dxa" w:w="2520"/>
          </w:tcPr>
          <w:p>
            <w:pPr>
              <w:jc w:val="center"/>
            </w:pPr>
            <w:r>
              <w:rPr>
                <w:rFonts w:ascii="Times New Roman" w:hAnsi="Times New Roman"/>
                <w:sz w:val="16"/>
              </w:rPr>
              <w:t>Baseline</w:t>
            </w:r>
          </w:p>
        </w:tc>
        <w:tc>
          <w:tcPr>
            <w:tcW w:type="dxa" w:w="2520"/>
          </w:tcPr>
          <w:p>
            <w:pPr>
              <w:jc w:val="center"/>
            </w:pPr>
            <w:r>
              <w:rPr>
                <w:rFonts w:ascii="Times New Roman" w:hAnsi="Times New Roman"/>
                <w:sz w:val="16"/>
              </w:rPr>
              <w:t>0.137</w:t>
            </w:r>
          </w:p>
        </w:tc>
        <w:tc>
          <w:tcPr>
            <w:tcW w:type="dxa" w:w="2520"/>
          </w:tcPr>
          <w:p>
            <w:pPr>
              <w:jc w:val="center"/>
            </w:pPr>
            <w:r>
              <w:rPr>
                <w:rFonts w:ascii="Times New Roman" w:hAnsi="Times New Roman"/>
                <w:sz w:val="16"/>
              </w:rPr>
              <w:t>0.70</w:t>
            </w:r>
          </w:p>
        </w:tc>
        <w:tc>
          <w:tcPr>
            <w:tcW w:type="dxa" w:w="2520"/>
          </w:tcPr>
          <w:p>
            <w:pPr>
              <w:jc w:val="center"/>
            </w:pPr>
            <w:r>
              <w:rPr>
                <w:rFonts w:ascii="Times New Roman" w:hAnsi="Times New Roman"/>
                <w:sz w:val="16"/>
              </w:rPr>
              <w:t>0.18</w:t>
            </w:r>
          </w:p>
        </w:tc>
      </w:tr>
      <w:tr>
        <w:tc>
          <w:tcPr>
            <w:tcW w:type="dxa" w:w="2520"/>
          </w:tcPr>
          <w:p>
            <w:pPr>
              <w:jc w:val="center"/>
            </w:pPr>
            <w:r>
              <w:rPr>
                <w:rFonts w:ascii="Times New Roman" w:hAnsi="Times New Roman"/>
                <w:sz w:val="16"/>
              </w:rPr>
              <w:t>Retrain 1</w:t>
            </w:r>
          </w:p>
        </w:tc>
        <w:tc>
          <w:tcPr>
            <w:tcW w:type="dxa" w:w="2520"/>
          </w:tcPr>
          <w:p>
            <w:pPr>
              <w:jc w:val="center"/>
            </w:pPr>
            <w:r>
              <w:rPr>
                <w:rFonts w:ascii="Times New Roman" w:hAnsi="Times New Roman"/>
                <w:sz w:val="16"/>
              </w:rPr>
              <w:t>0.336</w:t>
            </w:r>
          </w:p>
        </w:tc>
        <w:tc>
          <w:tcPr>
            <w:tcW w:type="dxa" w:w="2520"/>
          </w:tcPr>
          <w:p>
            <w:pPr>
              <w:jc w:val="center"/>
            </w:pPr>
            <w:r>
              <w:rPr>
                <w:rFonts w:ascii="Times New Roman" w:hAnsi="Times New Roman"/>
                <w:sz w:val="16"/>
              </w:rPr>
              <w:t>0.62</w:t>
            </w:r>
          </w:p>
        </w:tc>
        <w:tc>
          <w:tcPr>
            <w:tcW w:type="dxa" w:w="2520"/>
          </w:tcPr>
          <w:p>
            <w:pPr>
              <w:jc w:val="center"/>
            </w:pPr>
            <w:r>
              <w:rPr>
                <w:rFonts w:ascii="Times New Roman" w:hAnsi="Times New Roman"/>
                <w:sz w:val="16"/>
              </w:rPr>
              <w:t>0.6955</w:t>
            </w:r>
          </w:p>
        </w:tc>
      </w:tr>
      <w:tr>
        <w:tc>
          <w:tcPr>
            <w:tcW w:type="dxa" w:w="2520"/>
          </w:tcPr>
          <w:p>
            <w:pPr>
              <w:jc w:val="center"/>
            </w:pPr>
            <w:r>
              <w:rPr>
                <w:rFonts w:ascii="Times New Roman" w:hAnsi="Times New Roman"/>
                <w:sz w:val="16"/>
              </w:rPr>
              <w:t>Retrain 2</w:t>
            </w:r>
          </w:p>
        </w:tc>
        <w:tc>
          <w:tcPr>
            <w:tcW w:type="dxa" w:w="2520"/>
          </w:tcPr>
          <w:p>
            <w:pPr>
              <w:jc w:val="center"/>
            </w:pPr>
            <w:r>
              <w:rPr>
                <w:rFonts w:ascii="Times New Roman" w:hAnsi="Times New Roman"/>
                <w:sz w:val="16"/>
              </w:rPr>
              <w:t>0.4645</w:t>
            </w:r>
          </w:p>
        </w:tc>
        <w:tc>
          <w:tcPr>
            <w:tcW w:type="dxa" w:w="2520"/>
          </w:tcPr>
          <w:p>
            <w:pPr>
              <w:jc w:val="center"/>
            </w:pPr>
            <w:r>
              <w:rPr>
                <w:rFonts w:ascii="Times New Roman" w:hAnsi="Times New Roman"/>
                <w:sz w:val="16"/>
              </w:rPr>
              <w:t>0.7036</w:t>
            </w:r>
          </w:p>
        </w:tc>
        <w:tc>
          <w:tcPr>
            <w:tcW w:type="dxa" w:w="2520"/>
          </w:tcPr>
          <w:p>
            <w:pPr>
              <w:jc w:val="center"/>
            </w:pPr>
            <w:r>
              <w:rPr>
                <w:rFonts w:ascii="Times New Roman" w:hAnsi="Times New Roman"/>
                <w:sz w:val="16"/>
              </w:rPr>
              <w:t>0.4306</w:t>
            </w:r>
          </w:p>
        </w:tc>
      </w:tr>
      <w:tr>
        <w:tc>
          <w:tcPr>
            <w:tcW w:type="dxa" w:w="2520"/>
          </w:tcPr>
          <w:p>
            <w:pPr>
              <w:jc w:val="center"/>
            </w:pPr>
            <w:r>
              <w:rPr>
                <w:rFonts w:ascii="Times New Roman" w:hAnsi="Times New Roman"/>
                <w:sz w:val="16"/>
              </w:rPr>
              <w:t>Final</w:t>
            </w:r>
          </w:p>
        </w:tc>
        <w:tc>
          <w:tcPr>
            <w:tcW w:type="dxa" w:w="2520"/>
          </w:tcPr>
          <w:p>
            <w:pPr>
              <w:jc w:val="center"/>
            </w:pPr>
            <w:r>
              <w:rPr>
                <w:rFonts w:ascii="Times New Roman" w:hAnsi="Times New Roman"/>
                <w:sz w:val="16"/>
              </w:rPr>
              <w:t>0.508</w:t>
            </w:r>
          </w:p>
        </w:tc>
        <w:tc>
          <w:tcPr>
            <w:tcW w:type="dxa" w:w="2520"/>
          </w:tcPr>
          <w:p>
            <w:pPr>
              <w:jc w:val="center"/>
            </w:pPr>
            <w:r>
              <w:rPr>
                <w:rFonts w:ascii="Times New Roman" w:hAnsi="Times New Roman"/>
                <w:sz w:val="16"/>
              </w:rPr>
              <w:t>0.6069</w:t>
            </w:r>
          </w:p>
        </w:tc>
        <w:tc>
          <w:tcPr>
            <w:tcW w:type="dxa" w:w="2520"/>
          </w:tcPr>
          <w:p>
            <w:pPr>
              <w:jc w:val="center"/>
            </w:pPr>
            <w:r>
              <w:rPr>
                <w:rFonts w:ascii="Times New Roman" w:hAnsi="Times New Roman"/>
                <w:sz w:val="16"/>
              </w:rPr>
              <w:t>0.541678</w:t>
            </w:r>
          </w:p>
        </w:tc>
      </w:tr>
    </w:tbl>
    <w:p/>
    <w:p>
      <w:pPr>
        <w:spacing w:after="0"/>
        <w:ind w:firstLine="288"/>
        <w:jc w:val="both"/>
      </w:pPr>
      <w:r>
        <w:rPr>
          <w:rFonts w:ascii="Times New Roman" w:hAnsi="Times New Roman"/>
          <w:sz w:val="20"/>
        </w:rPr>
        <w:t>The detection F1-score fluctuated across successive retraining cycles despite a monotonic increase in the quantity of real training data. A hypothesis attributing this fluctuation to a small number of high-activity goodware windows widening the model's learned representation of normal behavior was tested directly by excluding the busiest five percent of goodware windows from autoencoder training. This intervention reduced F1-score from 0.6069 to 0.5811 rather than improving it, and was reverted. This outcome is reported as a negative result; the cause of the observed fluctuation remains unresolved and is noted as an open question in Section VI.</w:t>
      </w:r>
    </w:p>
    <w:p>
      <w:pPr>
        <w:spacing w:before="120" w:after="60"/>
      </w:pPr>
      <w:r>
        <w:rPr>
          <w:rFonts w:ascii="Times New Roman" w:hAnsi="Times New Roman"/>
          <w:b/>
          <w:i/>
          <w:sz w:val="20"/>
        </w:rPr>
        <w:t>C. Analysis of the Encryptor-Class Recall Limitation</w:t>
      </w:r>
    </w:p>
    <w:p>
      <w:pPr>
        <w:spacing w:after="60"/>
        <w:jc w:val="center"/>
      </w:pPr>
      <w:r>
        <w:rPr>
          <w:rFonts w:ascii="Times New Roman" w:hAnsi="Times New Roman"/>
          <w:sz w:val="18"/>
        </w:rPr>
        <w:t>TABLE V</w:t>
        <w:br/>
      </w:r>
      <w:r>
        <w:rPr>
          <w:rFonts w:ascii="Times New Roman" w:hAnsi="Times New Roman"/>
          <w:sz w:val="18"/>
        </w:rPr>
        <w:t>INTERVENTIONS ATTEMPTED FOR THE RECALL LIMITATION</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sz w:val="16"/>
              </w:rPr>
              <w:t>Intervention</w:t>
            </w:r>
          </w:p>
        </w:tc>
        <w:tc>
          <w:tcPr>
            <w:tcW w:type="dxa" w:w="3360"/>
          </w:tcPr>
          <w:p>
            <w:pPr>
              <w:jc w:val="center"/>
            </w:pPr>
            <w:r>
              <w:rPr>
                <w:rFonts w:ascii="Times New Roman" w:hAnsi="Times New Roman"/>
                <w:b/>
                <w:sz w:val="16"/>
              </w:rPr>
              <w:t>Effect on Recall</w:t>
            </w:r>
          </w:p>
        </w:tc>
        <w:tc>
          <w:tcPr>
            <w:tcW w:type="dxa" w:w="3360"/>
          </w:tcPr>
          <w:p>
            <w:pPr>
              <w:jc w:val="center"/>
            </w:pPr>
            <w:r>
              <w:rPr>
                <w:rFonts w:ascii="Times New Roman" w:hAnsi="Times New Roman"/>
                <w:b/>
                <w:sz w:val="16"/>
              </w:rPr>
              <w:t>Outcome</w:t>
            </w:r>
          </w:p>
        </w:tc>
      </w:tr>
      <w:tr>
        <w:tc>
          <w:tcPr>
            <w:tcW w:type="dxa" w:w="3360"/>
          </w:tcPr>
          <w:p>
            <w:pPr>
              <w:jc w:val="center"/>
            </w:pPr>
            <w:r>
              <w:rPr>
                <w:rFonts w:ascii="Times New Roman" w:hAnsi="Times New Roman"/>
                <w:sz w:val="16"/>
              </w:rPr>
              <w:t>Class-weighted training</w:t>
            </w:r>
          </w:p>
        </w:tc>
        <w:tc>
          <w:tcPr>
            <w:tcW w:type="dxa" w:w="3360"/>
          </w:tcPr>
          <w:p>
            <w:pPr>
              <w:jc w:val="center"/>
            </w:pPr>
            <w:r>
              <w:rPr>
                <w:rFonts w:ascii="Times New Roman" w:hAnsi="Times New Roman"/>
                <w:sz w:val="16"/>
              </w:rPr>
              <w:t>+0.12 percentage points</w:t>
            </w:r>
          </w:p>
        </w:tc>
        <w:tc>
          <w:tcPr>
            <w:tcW w:type="dxa" w:w="3360"/>
          </w:tcPr>
          <w:p>
            <w:pPr>
              <w:jc w:val="center"/>
            </w:pPr>
            <w:r>
              <w:rPr>
                <w:rFonts w:ascii="Times New Roman" w:hAnsi="Times New Roman"/>
                <w:sz w:val="16"/>
              </w:rPr>
              <w:t>Within cross-fold variation</w:t>
            </w:r>
          </w:p>
        </w:tc>
      </w:tr>
      <w:tr>
        <w:tc>
          <w:tcPr>
            <w:tcW w:type="dxa" w:w="3360"/>
          </w:tcPr>
          <w:p>
            <w:pPr>
              <w:jc w:val="center"/>
            </w:pPr>
            <w:r>
              <w:rPr>
                <w:rFonts w:ascii="Times New Roman" w:hAnsi="Times New Roman"/>
                <w:sz w:val="16"/>
              </w:rPr>
              <w:t>Threshold reduction (0.85 to 0.30)</w:t>
            </w:r>
          </w:p>
        </w:tc>
        <w:tc>
          <w:tcPr>
            <w:tcW w:type="dxa" w:w="3360"/>
          </w:tcPr>
          <w:p>
            <w:pPr>
              <w:jc w:val="center"/>
            </w:pPr>
            <w:r>
              <w:rPr>
                <w:rFonts w:ascii="Times New Roman" w:hAnsi="Times New Roman"/>
                <w:sz w:val="16"/>
              </w:rPr>
              <w:t>+0.5 percentage points</w:t>
            </w:r>
          </w:p>
        </w:tc>
        <w:tc>
          <w:tcPr>
            <w:tcW w:type="dxa" w:w="3360"/>
          </w:tcPr>
          <w:p>
            <w:pPr>
              <w:jc w:val="center"/>
            </w:pPr>
            <w:r>
              <w:rPr>
                <w:rFonts w:ascii="Times New Roman" w:hAnsi="Times New Roman"/>
                <w:sz w:val="16"/>
              </w:rPr>
              <w:t>No meaningful change</w:t>
            </w:r>
          </w:p>
        </w:tc>
      </w:tr>
    </w:tbl>
    <w:p/>
    <w:p>
      <w:pPr>
        <w:spacing w:after="0"/>
        <w:ind w:firstLine="288"/>
        <w:jc w:val="both"/>
      </w:pPr>
      <w:r>
        <w:rPr>
          <w:rFonts w:ascii="Times New Roman" w:hAnsi="Times New Roman"/>
          <w:sz w:val="20"/>
        </w:rPr>
        <w:t>Neither intervention produced a meaningful change in encryptor-class recall. The threshold-reduction result is the more informative of the two: if the misclassified samples were borderline cases near the decision threshold, reducing the threshold substantially would be expected to recover a proportion of them. As this did not occur even at a threshold as permissive as 0.30, the misclassified samples appear to be predicted as goodware with high confidence rather than marginal uncertainty, indicating a limitation originating in the feature representation rather than in decision threshold calibration.</w:t>
      </w:r>
    </w:p>
    <w:p>
      <w:pPr>
        <w:spacing w:before="120" w:after="60"/>
      </w:pPr>
      <w:r>
        <w:rPr>
          <w:rFonts w:ascii="Times New Roman" w:hAnsi="Times New Roman"/>
          <w:b/>
          <w:i/>
          <w:sz w:val="20"/>
        </w:rPr>
        <w:t>D. Live Deployment Validation</w:t>
      </w:r>
    </w:p>
    <w:p>
      <w:pPr>
        <w:spacing w:after="0"/>
        <w:ind w:firstLine="288"/>
        <w:jc w:val="both"/>
      </w:pPr>
      <w:r>
        <w:rPr>
          <w:rFonts w:ascii="Times New Roman" w:hAnsi="Times New Roman"/>
          <w:sz w:val="20"/>
        </w:rPr>
        <w:t>Two non-interactive live monitoring sessions, of twenty and thirty minutes' duration respectively, were conducted using the corrected monitoring implementation. Direct inspection of the collected telemetry confirmed genuine, non-zero, and varied values for all four features affected by the findings in Section IV-A, including dll_loaded values ranging from approximately 24 to 227 and tree_command_line values including 69, 1056, and 1973, confirming that the corrected implementation produces meaningful signal under live operating conditions.</w:t>
      </w:r>
    </w:p>
    <w:p>
      <w:pPr>
        <w:spacing w:before="120" w:after="60"/>
      </w:pPr>
      <w:r>
        <w:rPr>
          <w:rFonts w:ascii="Times New Roman" w:hAnsi="Times New Roman"/>
          <w:b/>
          <w:i/>
          <w:sz w:val="20"/>
        </w:rPr>
        <w:t>E. Observations From Live Demonstration</w:t>
      </w:r>
    </w:p>
    <w:p>
      <w:pPr>
        <w:spacing w:after="0"/>
        <w:ind w:firstLine="288"/>
        <w:jc w:val="both"/>
      </w:pPr>
      <w:r>
        <w:rPr>
          <w:rFonts w:ascii="Times New Roman" w:hAnsi="Times New Roman"/>
          <w:sz w:val="20"/>
        </w:rPr>
        <w:t>During preparation of a live system demonstration using a self-contained simulated attack against a dedicated, disposable directory, the autoencoder consistently triggered a critical alert (anomaly score of 1.0) across three independent trials, while the XGBoost classifier output a goodware label in all three. Investigation attributed this discrepancy to the process monitor operating system-wide rather than being scoped to the monitored directory: the monitor observed its own process, whose machine learning library dependencies caused the dll_loaded feature to exceed eleven thousand within the aggregation window, a value more than one hundred times larger than any value present in the training data. The classifier had not been exposed to an input at this magnitude for any class, rendering its output on this input effectively undefined rather than a considered judgment. The autoencoder was not similarly affected in these trials, a result consistent with the differing sensitivity of reconstruction-error-based and tree-based decision mechanisms to a single feature far outside its training range, although this explanation was not independently verified. This observation, obtained incidentally during demonstration preparation rather than through a designed experiment, provides a concrete illustration of the complementary value of the dual-model architecture described in Section III: an independent detection path continued to function correctly when the primary classifier did not, for reasons unrelated to the simulated attack itself. This finding is not corrected in the present work and is discussed further in Section VII.</w:t>
      </w:r>
    </w:p>
    <w:p>
      <w:pPr>
        <w:spacing w:before="120" w:after="60"/>
      </w:pPr>
      <w:r>
        <w:rPr>
          <w:rFonts w:ascii="Times New Roman" w:hAnsi="Times New Roman"/>
          <w:b/>
          <w:i/>
          <w:sz w:val="20"/>
        </w:rPr>
        <w:t>F. Computational Performance</w:t>
      </w:r>
    </w:p>
    <w:p>
      <w:pPr>
        <w:spacing w:after="60"/>
        <w:jc w:val="center"/>
      </w:pPr>
      <w:r>
        <w:rPr>
          <w:rFonts w:ascii="Times New Roman" w:hAnsi="Times New Roman"/>
          <w:sz w:val="18"/>
        </w:rPr>
        <w:t>TABLE VI</w:t>
        <w:br/>
      </w:r>
      <w:r>
        <w:rPr>
          <w:rFonts w:ascii="Times New Roman" w:hAnsi="Times New Roman"/>
          <w:sz w:val="18"/>
        </w:rPr>
        <w:t>RESAMPLING COST BEFORE AND AFTER CORRECTION (SECTION IV-D)</w:t>
      </w:r>
    </w:p>
    <w:tbl>
      <w:tblPr>
        <w:tblStyle w:val="TableGrid"/>
        <w:tblW w:type="auto" w:w="0"/>
        <w:jc w:val="center"/>
        <w:tblLook w:firstColumn="1" w:firstRow="1" w:lastColumn="0" w:lastRow="0" w:noHBand="0" w:noVBand="1" w:val="04A0"/>
      </w:tblPr>
      <w:tblGrid>
        <w:gridCol w:w="3360"/>
        <w:gridCol w:w="3360"/>
        <w:gridCol w:w="3360"/>
      </w:tblGrid>
      <w:tr>
        <w:tc>
          <w:tcPr>
            <w:tcW w:type="dxa" w:w="3360"/>
          </w:tcPr>
          <w:p>
            <w:pPr>
              <w:jc w:val="center"/>
            </w:pPr>
            <w:r>
              <w:rPr>
                <w:rFonts w:ascii="Times New Roman" w:hAnsi="Times New Roman"/>
                <w:b/>
                <w:sz w:val="16"/>
              </w:rPr>
              <w:t>Measurement</w:t>
            </w:r>
          </w:p>
        </w:tc>
        <w:tc>
          <w:tcPr>
            <w:tcW w:type="dxa" w:w="3360"/>
          </w:tcPr>
          <w:p>
            <w:pPr>
              <w:jc w:val="center"/>
            </w:pPr>
            <w:r>
              <w:rPr>
                <w:rFonts w:ascii="Times New Roman" w:hAnsi="Times New Roman"/>
                <w:b/>
                <w:sz w:val="16"/>
              </w:rPr>
              <w:t>Before</w:t>
            </w:r>
          </w:p>
        </w:tc>
        <w:tc>
          <w:tcPr>
            <w:tcW w:type="dxa" w:w="3360"/>
          </w:tcPr>
          <w:p>
            <w:pPr>
              <w:jc w:val="center"/>
            </w:pPr>
            <w:r>
              <w:rPr>
                <w:rFonts w:ascii="Times New Roman" w:hAnsi="Times New Roman"/>
                <w:b/>
                <w:sz w:val="16"/>
              </w:rPr>
              <w:t>After</w:t>
            </w:r>
          </w:p>
        </w:tc>
      </w:tr>
      <w:tr>
        <w:tc>
          <w:tcPr>
            <w:tcW w:type="dxa" w:w="3360"/>
          </w:tcPr>
          <w:p>
            <w:pPr>
              <w:jc w:val="center"/>
            </w:pPr>
            <w:r>
              <w:rPr>
                <w:rFonts w:ascii="Times New Roman" w:hAnsi="Times New Roman"/>
                <w:sz w:val="16"/>
              </w:rPr>
              <w:t>Full resampling pass (266 processes)</w:t>
            </w:r>
          </w:p>
        </w:tc>
        <w:tc>
          <w:tcPr>
            <w:tcW w:type="dxa" w:w="3360"/>
          </w:tcPr>
          <w:p>
            <w:pPr>
              <w:jc w:val="center"/>
            </w:pPr>
            <w:r>
              <w:rPr>
                <w:rFonts w:ascii="Times New Roman" w:hAnsi="Times New Roman"/>
                <w:sz w:val="16"/>
              </w:rPr>
              <w:t>52.3 s</w:t>
            </w:r>
          </w:p>
        </w:tc>
        <w:tc>
          <w:tcPr>
            <w:tcW w:type="dxa" w:w="3360"/>
          </w:tcPr>
          <w:p>
            <w:pPr>
              <w:jc w:val="center"/>
            </w:pPr>
            <w:r>
              <w:rPr>
                <w:rFonts w:ascii="Times New Roman" w:hAnsi="Times New Roman"/>
                <w:sz w:val="16"/>
              </w:rPr>
              <w:t>5.67 s</w:t>
            </w:r>
          </w:p>
        </w:tc>
      </w:tr>
      <w:tr>
        <w:tc>
          <w:tcPr>
            <w:tcW w:type="dxa" w:w="3360"/>
          </w:tcPr>
          <w:p>
            <w:pPr>
              <w:jc w:val="center"/>
            </w:pPr>
            <w:r>
              <w:rPr>
                <w:rFonts w:ascii="Times New Roman" w:hAnsi="Times New Roman"/>
                <w:sz w:val="16"/>
              </w:rPr>
              <w:t>Within timing budget</w:t>
            </w:r>
          </w:p>
        </w:tc>
        <w:tc>
          <w:tcPr>
            <w:tcW w:type="dxa" w:w="3360"/>
          </w:tcPr>
          <w:p>
            <w:pPr>
              <w:jc w:val="center"/>
            </w:pPr>
            <w:r>
              <w:rPr>
                <w:rFonts w:ascii="Times New Roman" w:hAnsi="Times New Roman"/>
                <w:sz w:val="16"/>
              </w:rPr>
              <w:t>No (13-26x over)</w:t>
            </w:r>
          </w:p>
        </w:tc>
        <w:tc>
          <w:tcPr>
            <w:tcW w:type="dxa" w:w="3360"/>
          </w:tcPr>
          <w:p>
            <w:pPr>
              <w:jc w:val="center"/>
            </w:pPr>
            <w:r>
              <w:rPr>
                <w:rFonts w:ascii="Times New Roman" w:hAnsi="Times New Roman"/>
                <w:sz w:val="16"/>
              </w:rPr>
              <w:t>Yes</w:t>
            </w:r>
          </w:p>
        </w:tc>
      </w:tr>
    </w:tbl>
    <w:p/>
    <w:p>
      <w:pPr>
        <w:spacing w:before="200" w:after="120"/>
        <w:jc w:val="center"/>
      </w:pPr>
      <w:r>
        <w:rPr>
          <w:rFonts w:ascii="Times New Roman" w:hAnsi="Times New Roman"/>
          <w:b/>
          <w:sz w:val="20"/>
        </w:rPr>
        <w:t>VI. DISCUSSION AND LIMITATIONS</w:t>
      </w:r>
    </w:p>
    <w:p>
      <w:pPr>
        <w:spacing w:after="0"/>
        <w:ind w:firstLine="288"/>
        <w:jc w:val="both"/>
      </w:pPr>
      <w:r>
        <w:rPr>
          <w:rFonts w:ascii="Times New Roman" w:hAnsi="Times New Roman"/>
          <w:sz w:val="20"/>
        </w:rPr>
        <w:t>The host-level proxy measurements described in Section III-A are directionally consistent with the behavior they approximate but are not numerically equivalent to the sandbox-derived, API-hooked values present in the training data for the ransomware classes, which were retained unchanged from the source dataset.</w:t>
      </w:r>
    </w:p>
    <w:p>
      <w:pPr>
        <w:spacing w:after="0"/>
        <w:ind w:firstLine="288"/>
        <w:jc w:val="both"/>
      </w:pPr>
      <w:r>
        <w:rPr>
          <w:rFonts w:ascii="Times New Roman" w:hAnsi="Times New Roman"/>
          <w:sz w:val="20"/>
        </w:rPr>
        <w:t>The 93.00% recall on the encryptor class, established in Section V-C to be unresponsive to class weighting or threshold adjustment, remains an unresolved limitation of the current feature representation.</w:t>
      </w:r>
    </w:p>
    <w:p>
      <w:pPr>
        <w:spacing w:after="0"/>
        <w:ind w:firstLine="288"/>
        <w:jc w:val="both"/>
      </w:pPr>
      <w:r>
        <w:rPr>
          <w:rFonts w:ascii="Times New Roman" w:hAnsi="Times New Roman"/>
          <w:sz w:val="20"/>
        </w:rPr>
        <w:t>The autoencoder F1-score fluctuation reported in Section V-B remains unexplained; a tested hypothesis did not account for the observed behavior, and this is reported as an open question rather than an asserted cause.</w:t>
      </w:r>
    </w:p>
    <w:p>
      <w:pPr>
        <w:spacing w:after="0"/>
        <w:ind w:firstLine="288"/>
        <w:jc w:val="both"/>
      </w:pPr>
      <w:r>
        <w:rPr>
          <w:rFonts w:ascii="Times New Roman" w:hAnsi="Times New Roman"/>
          <w:sz w:val="20"/>
        </w:rPr>
        <w:t>The dataset, at 2,999 rows with substantial class imbalance, is modest in scale, and the reported confidence interval should not be interpreted as evidence of generalization to a larger or more diverse population.</w:t>
      </w:r>
    </w:p>
    <w:p>
      <w:pPr>
        <w:spacing w:after="0"/>
        <w:ind w:firstLine="288"/>
        <w:jc w:val="both"/>
      </w:pPr>
      <w:r>
        <w:rPr>
          <w:rFonts w:ascii="Times New Roman" w:hAnsi="Times New Roman"/>
          <w:sz w:val="20"/>
        </w:rPr>
        <w:t>Both live validation sessions in Section V-D were conducted on a single development machine, which confirms that the corrected implementation produces genuine signal but does not establish the representativeness of that signal across differing hardware, user behavior, or installed software.</w:t>
      </w:r>
    </w:p>
    <w:p>
      <w:pPr>
        <w:spacing w:after="0"/>
        <w:ind w:firstLine="288"/>
        <w:jc w:val="both"/>
      </w:pPr>
      <w:r>
        <w:rPr>
          <w:rFonts w:ascii="Times New Roman" w:hAnsi="Times New Roman"/>
          <w:sz w:val="20"/>
        </w:rPr>
        <w:t>As noted in Section III-E, the automated response mechanism is not central to the contribution of this paper. Filesystem restriction and network isolation actions remain unevaluated and should be validated in an isolated environment prior to any operational use.</w:t>
      </w:r>
    </w:p>
    <w:p>
      <w:r>
        <w:rPr>
          <w:rFonts w:ascii="Times New Roman" w:hAnsi="Times New Roman"/>
          <w:i/>
          <w:color w:val="B00000"/>
          <w:sz w:val="18"/>
        </w:rPr>
        <w:t>[TODO: Add author's own critical comparison to [1]'s reported 74-100% accuracy range across four classifier types before submission.]</w:t>
      </w:r>
    </w:p>
    <w:p>
      <w:pPr>
        <w:spacing w:before="200" w:after="120"/>
        <w:jc w:val="center"/>
      </w:pPr>
      <w:r>
        <w:rPr>
          <w:rFonts w:ascii="Times New Roman" w:hAnsi="Times New Roman"/>
          <w:b/>
          <w:sz w:val="20"/>
        </w:rPr>
        <w:t>VII. CONCLUSION AND FUTURE WORK</w:t>
      </w:r>
    </w:p>
    <w:p>
      <w:r>
        <w:rPr>
          <w:rFonts w:ascii="Times New Roman" w:hAnsi="Times New Roman"/>
          <w:i/>
          <w:color w:val="B00000"/>
          <w:sz w:val="18"/>
        </w:rPr>
        <w:t>[TODO: Finalize conclusion wording once framing/discussion are locked in.]</w:t>
      </w:r>
    </w:p>
    <w:p>
      <w:pPr>
        <w:spacing w:after="0"/>
        <w:ind w:firstLine="288"/>
        <w:jc w:val="both"/>
      </w:pPr>
      <w:r>
        <w:rPr>
          <w:rFonts w:ascii="Times New Roman" w:hAnsi="Times New Roman"/>
          <w:sz w:val="20"/>
        </w:rPr>
        <w:t>This paper presented WatchRansom, a real-time behavioral ransomware detection system combining a supervised classifier with an unsupervised anomaly detector, achieving a mean ten-fold cross-validated accuracy of 98.10% with perfect precision on both ransomware classes. Beyond this result, a structured validation of the boundary between offline training and live deployment identified and corrected defects across feature availability, temporal sampling, threshold calibration, computational feasibility, data pipeline robustness, and response integration, together with two negative results clarifying the origin of the system's remaining recall limitation. [Expand: restate the central claim that deployment-pipeline validation warrants evaluation rigor comparable to model accuracy, in final form.]</w:t>
      </w:r>
    </w:p>
    <w:p>
      <w:pPr>
        <w:spacing w:after="0"/>
        <w:ind w:firstLine="288"/>
        <w:jc w:val="both"/>
      </w:pPr>
      <w:r>
        <w:rPr>
          <w:rFonts w:ascii="Times New Roman" w:hAnsi="Times New Roman"/>
          <w:sz w:val="20"/>
        </w:rPr>
        <w:t>Future work includes the following directions.</w:t>
      </w:r>
    </w:p>
    <w:p>
      <w:pPr>
        <w:pStyle w:val="ListBullet"/>
        <w:ind w:left="360"/>
      </w:pPr>
      <w:r>
        <w:rPr>
          <w:rFonts w:ascii="Times New Roman" w:hAnsi="Times New Roman"/>
          <w:sz w:val="20"/>
        </w:rPr>
        <w:t>Replacement of the host-level proxy features with true kernel-level API instrumentation, for example through an Event Tracing for Windows consumer.</w:t>
      </w:r>
    </w:p>
    <w:p>
      <w:pPr>
        <w:pStyle w:val="ListBullet"/>
        <w:ind w:left="360"/>
      </w:pPr>
      <w:r>
        <w:rPr>
          <w:rFonts w:ascii="Times New Roman" w:hAnsi="Times New Roman"/>
          <w:sz w:val="20"/>
        </w:rPr>
        <w:t>Regeneration of the ransomware-class training data using the same live-proxy measurement method applied to the goodware corpus, for exact consistency between training and deployment feature semantics.</w:t>
      </w:r>
    </w:p>
    <w:p>
      <w:pPr>
        <w:pStyle w:val="ListBullet"/>
        <w:ind w:left="360"/>
      </w:pPr>
      <w:r>
        <w:rPr>
          <w:rFonts w:ascii="Times New Roman" w:hAnsi="Times New Roman"/>
          <w:sz w:val="20"/>
        </w:rPr>
        <w:t>Further investigation of the unexplained autoencoder F1-score fluctuation reported in Section V-B.</w:t>
      </w:r>
    </w:p>
    <w:p>
      <w:pPr>
        <w:pStyle w:val="ListBullet"/>
        <w:ind w:left="360"/>
      </w:pPr>
      <w:r>
        <w:rPr>
          <w:rFonts w:ascii="Times New Roman" w:hAnsi="Times New Roman"/>
          <w:sz w:val="20"/>
        </w:rPr>
        <w:t>Collection of a larger and more diverse goodware corpus across multiple machines and usage profiles.</w:t>
      </w:r>
    </w:p>
    <w:p>
      <w:pPr>
        <w:pStyle w:val="ListBullet"/>
        <w:ind w:left="360"/>
      </w:pPr>
      <w:r>
        <w:rPr>
          <w:rFonts w:ascii="Times New Roman" w:hAnsi="Times New Roman"/>
          <w:sz w:val="20"/>
        </w:rPr>
        <w:t>Investigation of feature- or data-level interventions for the encryptor-class recall limitation, given that reweighting and threshold adjustment were shown to be ineffective.</w:t>
      </w:r>
    </w:p>
    <w:p>
      <w:pPr>
        <w:pStyle w:val="ListBullet"/>
        <w:ind w:left="360"/>
      </w:pPr>
      <w:r>
        <w:rPr>
          <w:rFonts w:ascii="Times New Roman" w:hAnsi="Times New Roman"/>
          <w:sz w:val="20"/>
        </w:rPr>
        <w:t>Correction of the process-monitor scoping issue reported in Section V-E, for example by excluding the monitoring process's own identity from resampling.</w:t>
      </w:r>
    </w:p>
    <w:p>
      <w:pPr>
        <w:pStyle w:val="ListBullet"/>
        <w:ind w:left="360"/>
      </w:pPr>
      <w:r>
        <w:rPr>
          <w:rFonts w:ascii="Times New Roman" w:hAnsi="Times New Roman"/>
          <w:sz w:val="20"/>
        </w:rPr>
        <w:t>Evaluation of the filesystem restriction and network isolation response actions in an isolated virtual environment.</w:t>
      </w:r>
    </w:p>
    <w:p>
      <w:pPr>
        <w:spacing w:before="200" w:after="120"/>
        <w:jc w:val="center"/>
      </w:pPr>
      <w:r>
        <w:rPr>
          <w:rFonts w:ascii="Times New Roman" w:hAnsi="Times New Roman"/>
          <w:b/>
          <w:sz w:val="20"/>
        </w:rPr>
        <w:t>REFERENCES</w:t>
      </w:r>
    </w:p>
    <w:p>
      <w:pPr>
        <w:ind w:left="288" w:hanging="288"/>
      </w:pPr>
      <w:r>
        <w:rPr>
          <w:rFonts w:ascii="Times New Roman" w:hAnsi="Times New Roman"/>
          <w:sz w:val="18"/>
        </w:rPr>
        <w:t>[1] J. A. Herrera-Silva and M. Hernandez-Alvarez, "Dynamic Feature Dataset for Ransomware Detection Using Machine Learning Algorithms," Sensors, vol. 23, no. 3, p. 1053, 2023, doi: 10.3390/s23031053.</w:t>
      </w:r>
    </w:p>
    <w:p>
      <w:r>
        <w:rPr>
          <w:rFonts w:ascii="Times New Roman" w:hAnsi="Times New Roman"/>
          <w:i/>
          <w:color w:val="B00000"/>
          <w:sz w:val="18"/>
        </w:rPr>
        <w:t>[TODO: Add remaining IEEE-numbered references for related work and introduction citations before submission.]</w:t>
      </w:r>
    </w:p>
    <w:sectPr w:rsidR="00FC693F" w:rsidRPr="0006063C" w:rsidSect="00034616">
      <w:type w:val="continuous"/>
      <w:pgSz w:w="12240" w:h="15840"/>
      <w:pgMar w:top="1080" w:right="1080" w:bottom="1440" w:left="108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