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1D4ED8"/>
          <w:sz w:val="48"/>
          <w:szCs w:val="48"/>
        </w:rPr>
        <w:t xml:space="preserve">REQUISITOS DE INFORMACIÓN DE LA ORGANIZACIÓN</w:t>
      </w:r>
    </w:p>
    <w:p>
      <w:pPr>
        <w:spacing w:after="800"/>
        <w:jc w:val="center"/>
      </w:pPr>
      <w:r>
        <w:rPr>
          <w:b/>
          <w:bCs/>
          <w:color w:val="1D4ED8"/>
          <w:sz w:val="36"/>
          <w:szCs w:val="36"/>
        </w:rPr>
        <w:t xml:space="preserve">(OIR)</w:t>
      </w:r>
    </w:p>
    <w:p>
      <w:pPr>
        <w:spacing w:after="1200"/>
        <w:jc w:val="center"/>
      </w:pPr>
      <w:r>
        <w:rPr>
          <w:i/>
          <w:iCs/>
          <w:color w:val="6B7280"/>
          <w:sz w:val="24"/>
          <w:szCs w:val="24"/>
        </w:rPr>
        <w:t xml:space="preserve">Según norma ISO 19650-1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Jose Reyes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Proyecto Piloto BIM 2024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26 de marzo de 2026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Jose Reyes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1. Objeto y campo de aplicación</w:t>
      </w:r>
    </w:p>
    <w:p>
      <w:pPr>
        <w:spacing w:after="80" w:before="80"/>
      </w:pPr>
      <w:r>
        <w:rPr>
          <w:sz w:val="22"/>
          <w:szCs w:val="22"/>
        </w:rPr>
        <w:t xml:space="preserve">El presente documento establece los Requisitos de Información de la Organización (OIR) de Jose Reyes, conforme a lo estipulado en la norma ISO 19650-1:2018, §5.2. Su propósito es definir la información que la organización necesita para la gestión de sus activos a lo largo del ciclo de vida.</w:t>
      </w:r>
    </w:p>
    <w:p>
      <w:pPr>
        <w:spacing w:after="80" w:before="80"/>
      </w:pPr>
      <w:r>
        <w:rPr>
          <w:sz w:val="22"/>
          <w:szCs w:val="22"/>
        </w:rPr>
        <w:t xml:space="preserve">El OIR proporciona la base para la elaboración del AIR (Asset Information Requirements) y el EIR (Exchange Information Requirements), y es vinculante para todos los adjudicatarios que participen en proyectos de la organización.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Sector de actividad</w:t>
      </w:r>
    </w:p>
    <w:p>
      <w:pPr>
        <w:spacing w:after="80" w:before="80"/>
      </w:pPr>
      <w:r>
        <w:rPr>
          <w:sz w:val="22"/>
          <w:szCs w:val="22"/>
        </w:rPr>
        <w:t xml:space="preserve">Infraestructura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Ámbito geográfico</w:t>
      </w:r>
    </w:p>
    <w:p>
      <w:pPr>
        <w:spacing w:after="80" w:before="80"/>
      </w:pPr>
      <w:r>
        <w:rPr>
          <w:sz w:val="22"/>
          <w:szCs w:val="22"/>
        </w:rPr>
        <w:t xml:space="preserve">Ecuador - Quito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Estándares BIM reconocidos por la organización</w:t>
      </w:r>
    </w:p>
    <w:p>
      <w:pPr>
        <w:spacing w:after="80" w:before="80"/>
      </w:pPr>
      <w:r>
        <w:rPr>
          <w:sz w:val="22"/>
          <w:szCs w:val="22"/>
        </w:rPr>
        <w:t xml:space="preserve">1. ISO 19650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2. Identificación de la organización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Nombre oficial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Jose Reyes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Tipo de organización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Cliente privado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Sector principal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Infraestructura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País y región de operación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Ecuador - Quito</w:t>
            </w:r>
          </w:p>
        </w:tc>
      </w:tr>
      <w:tr>
        <w:tc>
          <w:tcPr>
            <w:tcW w:type="pct" w:w="35%"/>
            <w:shd w:fill="EFF6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Responsable de gestión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Jose Reyes</w:t>
            </w:r>
          </w:p>
        </w:tc>
      </w:tr>
    </w:tbl>
    <w:p>
      <w:pPr>
        <w:spacing w:after="200"/>
      </w:pP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Estándares BIM reconocidos</w:t>
      </w:r>
    </w:p>
    <w:p>
      <w:pPr>
        <w:spacing w:after="80" w:before="80"/>
      </w:pPr>
      <w:r>
        <w:rPr>
          <w:sz w:val="22"/>
          <w:szCs w:val="22"/>
        </w:rPr>
        <w:t xml:space="preserve">1. ISO 19650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3. Objetivos estratégicos</w:t>
      </w:r>
    </w:p>
    <w:p>
      <w:pPr>
        <w:pStyle w:val="Heading2"/>
        <w:spacing w:after="160" w:before="300"/>
        <w:rPr>
          <w:color w:val="1D4ED8"/>
        </w:rPr>
      </w:pPr>
      <w:r>
        <w:t xml:space="preserve">3.1 Usos BIM requeridos</w:t>
      </w:r>
    </w:p>
    <w:p>
      <w:pPr>
        <w:spacing w:after="80" w:before="80"/>
      </w:pPr>
      <w:r>
        <w:rPr>
          <w:sz w:val="22"/>
          <w:szCs w:val="22"/>
        </w:rPr>
        <w:t xml:space="preserve">1. Gestión de activos</w:t>
      </w:r>
    </w:p>
    <w:p>
      <w:pPr>
        <w:spacing w:after="80" w:before="80"/>
      </w:pPr>
      <w:r>
        <w:rPr>
          <w:sz w:val="22"/>
          <w:szCs w:val="22"/>
        </w:rPr>
        <w:t xml:space="preserve">2. Planificación de cartera</w:t>
      </w:r>
    </w:p>
    <w:p>
      <w:pPr>
        <w:spacing w:after="80" w:before="80"/>
      </w:pPr>
      <w:r>
        <w:rPr>
          <w:sz w:val="22"/>
          <w:szCs w:val="22"/>
        </w:rPr>
        <w:t xml:space="preserve">3. Desarrollo de políticas</w:t>
      </w:r>
    </w:p>
    <w:p>
      <w:pPr>
        <w:spacing w:after="80" w:before="80"/>
      </w:pPr>
      <w:r>
        <w:rPr>
          <w:sz w:val="22"/>
          <w:szCs w:val="22"/>
        </w:rPr>
        <w:t xml:space="preserve">4. Seguridad y vigilancia</w:t>
      </w:r>
    </w:p>
    <w:p>
      <w:pPr>
        <w:pStyle w:val="Heading2"/>
        <w:spacing w:after="160" w:before="300"/>
        <w:rPr>
          <w:color w:val="1D4ED8"/>
        </w:rPr>
      </w:pPr>
      <w:r>
        <w:t xml:space="preserve">3.2 Objetivo estratégico principal</w:t>
      </w:r>
    </w:p>
    <w:p>
      <w:pPr>
        <w:spacing w:after="80" w:before="80"/>
      </w:pPr>
      <w:r>
        <w:rPr>
          <w:sz w:val="22"/>
          <w:szCs w:val="22"/>
        </w:rPr>
        <w:t xml:space="preserve">Desarrollar proyecto con la mayor rentabilidad posible ofreciendo calidad a los clientes. Entregando el proyecto en el plazo y tiempo definido</w:t>
      </w:r>
    </w:p>
    <w:p>
      <w:pPr>
        <w:pStyle w:val="Heading2"/>
        <w:spacing w:after="160" w:before="300"/>
        <w:rPr>
          <w:color w:val="1D4ED8"/>
        </w:rPr>
      </w:pPr>
      <w:r>
        <w:t xml:space="preserve">3.3 Plan de gestión de activos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¿Dispone de plan de gestión de activos vigente?</w:t>
      </w:r>
    </w:p>
    <w:p>
      <w:pPr>
        <w:spacing w:after="80" w:before="80"/>
      </w:pPr>
      <w:r>
        <w:rPr>
          <w:sz w:val="22"/>
          <w:szCs w:val="22"/>
        </w:rPr>
        <w:t xml:space="preserve">No</w:t>
      </w:r>
    </w:p>
    <w:p>
      <w:pPr>
        <w:pStyle w:val="Heading2"/>
        <w:spacing w:after="160" w:before="300"/>
        <w:rPr>
          <w:color w:val="1D4ED8"/>
        </w:rPr>
      </w:pPr>
      <w:r>
        <w:t xml:space="preserve">3.4 Obligaciones regulatorias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¿Existen obligaciones regulatorias?</w:t>
      </w:r>
    </w:p>
    <w:p>
      <w:pPr>
        <w:spacing w:after="80" w:before="80"/>
      </w:pPr>
      <w:r>
        <w:rPr>
          <w:sz w:val="22"/>
          <w:szCs w:val="22"/>
        </w:rPr>
        <w:t xml:space="preserve">Sí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Descripción de obligaciones</w:t>
      </w:r>
    </w:p>
    <w:p>
      <w:pPr>
        <w:spacing w:after="80" w:before="80"/>
      </w:pPr>
      <w:r>
        <w:rPr>
          <w:sz w:val="22"/>
          <w:szCs w:val="22"/>
        </w:rPr>
        <w:t xml:space="preserve">Municipales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4. Requisitos de información del activo</w:t>
      </w:r>
    </w:p>
    <w:p>
      <w:pPr>
        <w:pStyle w:val="Heading2"/>
        <w:spacing w:after="160" w:before="300"/>
        <w:rPr>
          <w:color w:val="1D4ED8"/>
        </w:rPr>
      </w:pPr>
      <w:r>
        <w:t xml:space="preserve">4.1 Registro de activos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Información requerida para el registro de activos</w:t>
      </w:r>
    </w:p>
    <w:p>
      <w:pPr>
        <w:spacing w:after="80" w:before="80"/>
      </w:pPr>
      <w:r>
        <w:rPr>
          <w:sz w:val="22"/>
          <w:szCs w:val="22"/>
        </w:rPr>
        <w:t xml:space="preserve">1. Auditorías e informes</w:t>
      </w:r>
    </w:p>
    <w:p>
      <w:pPr>
        <w:pStyle w:val="Heading2"/>
        <w:spacing w:after="160" w:before="300"/>
        <w:rPr>
          <w:color w:val="1D4ED8"/>
        </w:rPr>
      </w:pPr>
      <w:r>
        <w:t xml:space="preserve">4.2 Operación y mantenimiento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Información requerida para operación y mantenimiento</w:t>
      </w:r>
    </w:p>
    <w:p>
      <w:pPr>
        <w:spacing w:after="80" w:before="80"/>
      </w:pPr>
      <w:r>
        <w:rPr>
          <w:sz w:val="22"/>
          <w:szCs w:val="22"/>
        </w:rPr>
        <w:t xml:space="preserve">1. Plan mantenimiento preventivo</w:t>
      </w:r>
    </w:p>
    <w:p>
      <w:pPr>
        <w:spacing w:after="80" w:before="80"/>
      </w:pPr>
      <w:r>
        <w:rPr>
          <w:sz w:val="22"/>
          <w:szCs w:val="22"/>
        </w:rPr>
        <w:t xml:space="preserve">2. Fechas de instalación</w:t>
      </w:r>
    </w:p>
    <w:p>
      <w:pPr>
        <w:spacing w:after="80" w:before="80"/>
      </w:pPr>
      <w:r>
        <w:rPr>
          <w:sz w:val="22"/>
          <w:szCs w:val="22"/>
        </w:rPr>
        <w:t xml:space="preserve">3. Vida útil componentes</w:t>
      </w:r>
    </w:p>
    <w:p>
      <w:pPr>
        <w:pStyle w:val="Heading2"/>
        <w:spacing w:after="160" w:before="300"/>
        <w:rPr>
          <w:color w:val="1D4ED8"/>
        </w:rPr>
      </w:pPr>
      <w:r>
        <w:t xml:space="preserve">4.3 Gestión de riesgos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¿Requiere información para gestión de riesgos?</w:t>
      </w:r>
    </w:p>
    <w:p>
      <w:pPr>
        <w:spacing w:after="80" w:before="80"/>
      </w:pPr>
      <w:r>
        <w:rPr>
          <w:sz w:val="22"/>
          <w:szCs w:val="22"/>
        </w:rPr>
        <w:t xml:space="preserve">Sí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Tipos de riesgo a gestionar</w:t>
      </w:r>
    </w:p>
    <w:p>
      <w:pPr>
        <w:spacing w:after="80" w:before="80"/>
      </w:pPr>
      <w:r>
        <w:rPr>
          <w:sz w:val="22"/>
          <w:szCs w:val="22"/>
        </w:rPr>
        <w:t xml:space="preserve">1. Incendio</w:t>
      </w:r>
    </w:p>
    <w:p>
      <w:pPr>
        <w:spacing w:after="80" w:before="80"/>
      </w:pPr>
      <w:r>
        <w:rPr>
          <w:sz w:val="22"/>
          <w:szCs w:val="22"/>
        </w:rPr>
        <w:t xml:space="preserve">2. Desastres naturales</w:t>
      </w:r>
    </w:p>
    <w:p>
      <w:pPr>
        <w:spacing w:after="80" w:before="80"/>
      </w:pPr>
      <w:r>
        <w:rPr>
          <w:sz w:val="22"/>
          <w:szCs w:val="22"/>
        </w:rPr>
        <w:t xml:space="preserve">3. Seguridad estructural</w:t>
      </w:r>
    </w:p>
    <w:p>
      <w:pPr>
        <w:spacing w:after="80" w:before="80"/>
      </w:pPr>
      <w:r>
        <w:rPr>
          <w:sz w:val="22"/>
          <w:szCs w:val="22"/>
        </w:rPr>
        <w:t xml:space="preserve">4. Riesgos de seguridad</w:t>
      </w:r>
    </w:p>
    <w:p>
      <w:pPr>
        <w:pStyle w:val="Heading2"/>
        <w:spacing w:after="160" w:before="300"/>
        <w:rPr>
          <w:color w:val="1D4ED8"/>
        </w:rPr>
      </w:pPr>
      <w:r>
        <w:t xml:space="preserve">4.4 Impactos a gestionar</w:t>
      </w:r>
    </w:p>
    <w:p>
      <w:pPr>
        <w:spacing w:after="80" w:before="80"/>
      </w:pPr>
      <w:r>
        <w:rPr>
          <w:sz w:val="22"/>
          <w:szCs w:val="22"/>
        </w:rPr>
        <w:t xml:space="preserve">1. Costos operativos</w:t>
      </w:r>
    </w:p>
    <w:p>
      <w:pPr>
        <w:spacing w:after="80" w:before="80"/>
      </w:pPr>
      <w:r>
        <w:rPr>
          <w:sz w:val="22"/>
          <w:szCs w:val="22"/>
        </w:rPr>
        <w:t xml:space="preserve">2. Consumo energético</w:t>
      </w:r>
    </w:p>
    <w:p>
      <w:pPr>
        <w:spacing w:after="80" w:before="80"/>
      </w:pPr>
      <w:r>
        <w:rPr>
          <w:sz w:val="22"/>
          <w:szCs w:val="22"/>
        </w:rPr>
        <w:t xml:space="preserve">3. Consumo de agua</w:t>
      </w:r>
    </w:p>
    <w:p>
      <w:pPr>
        <w:spacing w:after="80" w:before="80"/>
      </w:pPr>
      <w:r>
        <w:rPr>
          <w:sz w:val="22"/>
          <w:szCs w:val="22"/>
        </w:rPr>
        <w:t xml:space="preserve">4. Residuos</w:t>
      </w:r>
    </w:p>
    <w:p>
      <w:pPr>
        <w:pStyle w:val="Heading2"/>
        <w:spacing w:after="160" w:before="300"/>
        <w:rPr>
          <w:color w:val="1D4ED8"/>
        </w:rPr>
      </w:pPr>
      <w:r>
        <w:t xml:space="preserve">4.5 Fin de vida útil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¿Requiere información para fin de vida útil?</w:t>
      </w:r>
    </w:p>
    <w:p>
      <w:pPr>
        <w:spacing w:after="80" w:before="80"/>
      </w:pPr>
      <w:r>
        <w:rPr>
          <w:sz w:val="22"/>
          <w:szCs w:val="22"/>
        </w:rPr>
        <w:t xml:space="preserve">Sí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Información requerida para demolición/desmantelamiento</w:t>
      </w:r>
    </w:p>
    <w:p>
      <w:pPr>
        <w:spacing w:after="80" w:before="80"/>
      </w:pPr>
      <w:r>
        <w:rPr>
          <w:sz w:val="22"/>
          <w:szCs w:val="22"/>
        </w:rPr>
        <w:t xml:space="preserve">1. Costos demolición</w:t>
      </w:r>
    </w:p>
    <w:p>
      <w:pPr>
        <w:spacing w:after="80" w:before="80"/>
      </w:pPr>
      <w:r>
        <w:rPr>
          <w:sz w:val="22"/>
          <w:szCs w:val="22"/>
        </w:rPr>
        <w:t xml:space="preserve">2. Plazos estimados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5. Estándares y formatos</w:t>
      </w:r>
    </w:p>
    <w:p>
      <w:pPr>
        <w:pStyle w:val="Heading2"/>
        <w:spacing w:after="160" w:before="300"/>
        <w:rPr>
          <w:color w:val="1D4ED8"/>
        </w:rPr>
      </w:pPr>
      <w:r>
        <w:t xml:space="preserve">5.1 Formatos de intercambio de información</w:t>
      </w:r>
    </w:p>
    <w:p>
      <w:pPr>
        <w:spacing w:after="80" w:before="80"/>
      </w:pPr>
      <w:r>
        <w:rPr>
          <w:sz w:val="22"/>
          <w:szCs w:val="22"/>
        </w:rPr>
        <w:t xml:space="preserve">1. IFC</w:t>
      </w:r>
    </w:p>
    <w:p>
      <w:pPr>
        <w:spacing w:after="80" w:before="80"/>
      </w:pPr>
      <w:r>
        <w:rPr>
          <w:sz w:val="22"/>
          <w:szCs w:val="22"/>
        </w:rPr>
        <w:t xml:space="preserve">2. RVT</w:t>
      </w:r>
    </w:p>
    <w:p>
      <w:pPr>
        <w:spacing w:after="80" w:before="80"/>
      </w:pPr>
      <w:r>
        <w:rPr>
          <w:sz w:val="22"/>
          <w:szCs w:val="22"/>
        </w:rPr>
        <w:t xml:space="preserve">3. PDF</w:t>
      </w:r>
    </w:p>
    <w:p>
      <w:pPr>
        <w:pStyle w:val="Heading2"/>
        <w:spacing w:after="160" w:before="300"/>
        <w:rPr>
          <w:color w:val="1D4ED8"/>
        </w:rPr>
      </w:pPr>
      <w:r>
        <w:t xml:space="preserve">5.2 Sistema de clasificación</w:t>
      </w:r>
    </w:p>
    <w:p>
      <w:pPr>
        <w:spacing w:after="80" w:before="80"/>
      </w:pPr>
      <w:r>
        <w:rPr>
          <w:sz w:val="22"/>
          <w:szCs w:val="22"/>
        </w:rPr>
        <w:t xml:space="preserve">Sistema propio</w:t>
      </w:r>
    </w:p>
    <w:p>
      <w:pPr>
        <w:pStyle w:val="Heading2"/>
        <w:spacing w:after="160" w:before="300"/>
        <w:rPr>
          <w:color w:val="1D4ED8"/>
        </w:rPr>
      </w:pPr>
      <w:r>
        <w:t xml:space="preserve">5.3 Entorno común de datos (CDE)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¿Usa o planea usar un entorno común de datos?</w:t>
      </w:r>
    </w:p>
    <w:p>
      <w:pPr>
        <w:spacing w:after="80" w:before="80"/>
      </w:pPr>
      <w:r>
        <w:rPr>
          <w:sz w:val="22"/>
          <w:szCs w:val="22"/>
        </w:rPr>
        <w:t xml:space="preserve">Sí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Plataforma CDE</w:t>
      </w:r>
    </w:p>
    <w:p>
      <w:pPr>
        <w:spacing w:after="80" w:before="80"/>
      </w:pPr>
      <w:r>
        <w:rPr>
          <w:sz w:val="22"/>
          <w:szCs w:val="22"/>
        </w:rPr>
        <w:t xml:space="preserve">ACC</w:t>
      </w:r>
    </w:p>
    <w:p>
      <w:pPr>
        <w:pStyle w:val="Heading2"/>
        <w:spacing w:after="160" w:before="300"/>
        <w:rPr>
          <w:color w:val="1D4ED8"/>
        </w:rPr>
      </w:pPr>
      <w:r>
        <w:t xml:space="preserve">5.4 Nivel de información (LOD/LOI)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¿Tiene definido LOD/LOI para sus activos?</w:t>
      </w:r>
    </w:p>
    <w:p>
      <w:pPr>
        <w:spacing w:after="80" w:before="80"/>
      </w:pPr>
      <w:r>
        <w:rPr>
          <w:sz w:val="22"/>
          <w:szCs w:val="22"/>
        </w:rPr>
        <w:t xml:space="preserve">Sí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Nivel de información geométrica mínimo</w:t>
      </w:r>
    </w:p>
    <w:p>
      <w:pPr>
        <w:spacing w:after="80" w:before="80"/>
      </w:pPr>
      <w:r>
        <w:rPr>
          <w:sz w:val="22"/>
          <w:szCs w:val="22"/>
        </w:rPr>
        <w:t xml:space="preserve">LOG 3 definido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6. Gobernanza de la información</w:t>
      </w:r>
    </w:p>
    <w:p>
      <w:pPr>
        <w:pStyle w:val="Heading2"/>
        <w:spacing w:after="160" w:before="300"/>
        <w:rPr>
          <w:color w:val="1D4ED8"/>
        </w:rPr>
      </w:pPr>
      <w:r>
        <w:t xml:space="preserve">6.1 Frecuencia de actualización del modelo</w:t>
      </w:r>
    </w:p>
    <w:p>
      <w:pPr>
        <w:spacing w:after="80" w:before="80"/>
      </w:pPr>
      <w:r>
        <w:rPr>
          <w:sz w:val="22"/>
          <w:szCs w:val="22"/>
        </w:rPr>
        <w:t xml:space="preserve">Mensual</w:t>
      </w:r>
    </w:p>
    <w:p>
      <w:pPr>
        <w:pStyle w:val="Heading2"/>
        <w:spacing w:after="160" w:before="300"/>
        <w:rPr>
          <w:color w:val="1D4ED8"/>
        </w:rPr>
      </w:pPr>
      <w:r>
        <w:t xml:space="preserve">6.2 Restricciones de seguridad de la información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¿Existen restricciones de seguridad?</w:t>
      </w:r>
    </w:p>
    <w:p>
      <w:pPr>
        <w:spacing w:after="80" w:before="80"/>
      </w:pPr>
      <w:r>
        <w:rPr>
          <w:sz w:val="22"/>
          <w:szCs w:val="22"/>
        </w:rPr>
        <w:t xml:space="preserve">Sí</w:t>
      </w:r>
    </w:p>
    <w:p>
      <w:pPr>
        <w:spacing w:after="40" w:before="160"/>
      </w:pPr>
      <w:r>
        <w:rPr>
          <w:b/>
          <w:bCs/>
          <w:color w:val="374151"/>
          <w:sz w:val="22"/>
          <w:szCs w:val="22"/>
        </w:rPr>
        <w:t xml:space="preserve">Tipos de restricciones</w:t>
      </w:r>
    </w:p>
    <w:p>
      <w:pPr>
        <w:spacing w:after="80" w:before="80"/>
      </w:pPr>
      <w:r>
        <w:rPr>
          <w:sz w:val="22"/>
          <w:szCs w:val="22"/>
        </w:rPr>
        <w:t xml:space="preserve">1. Información clasificada</w:t>
      </w:r>
    </w:p>
    <w:p>
      <w:pPr>
        <w:spacing w:after="80" w:before="80"/>
      </w:pPr>
      <w:r>
        <w:rPr>
          <w:sz w:val="22"/>
          <w:szCs w:val="22"/>
        </w:rPr>
        <w:t xml:space="preserve">2. Restricción distribución externa</w:t>
      </w:r>
    </w:p>
    <w:p>
      <w:pPr>
        <w:pStyle w:val="Heading2"/>
        <w:spacing w:after="160" w:before="300"/>
        <w:rPr>
          <w:color w:val="1D4ED8"/>
        </w:rPr>
      </w:pPr>
      <w:r>
        <w:t xml:space="preserve">6.3 Política de retención de información</w:t>
      </w:r>
    </w:p>
    <w:p>
      <w:pPr>
        <w:spacing w:after="80" w:before="80"/>
      </w:pPr>
      <w:r>
        <w:rPr>
          <w:sz w:val="22"/>
          <w:szCs w:val="22"/>
        </w:rPr>
        <w:t xml:space="preserve">Vida útil del activo</w:t>
      </w:r>
    </w:p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D4ED8"/>
        </w:rPr>
      </w:pPr>
      <w:r>
        <w:t xml:space="preserve">Control de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26 de marzo de 2026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Jose Reyes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Aprobado</w:t>
            </w:r>
          </w:p>
        </w:tc>
        <w:tc>
          <w:tcPr>
            <w:shd w:fill="F9FAFB" w:val="clear"/>
          </w:tcPr>
          <w:p>
            <w:r>
              <w:rPr>
                <w:sz w:val="20"/>
                <w:szCs w:val="20"/>
              </w:rPr>
              <w:t xml:space="preserve">Versión inicial generada desde BIM Doc Platform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Jose Reyes  |  OIR v1  |  26 de marzo de 2026  |  ISO 19650-1    Pág.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OIR — Jose Reyes</w:t>
    </w:r>
    <w:r>
      <w:rPr>
        <w:color w:val="9CA3AF"/>
        <w:sz w:val="18"/>
        <w:szCs w:val="18"/>
      </w:rPr>
      <w:t xml:space="preserve">  |  ISO 19650-1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OIR — Jose Reyes</dc:title>
  <dc:creator>Un-named</dc:creator>
  <dc:description>Requisitos de Información de la Organización (OIR) — ISO 19650-1</dc:description>
  <cp:lastModifiedBy>Un-named</cp:lastModifiedBy>
  <cp:revision>1</cp:revision>
  <dcterms:created xsi:type="dcterms:W3CDTF">2026-03-27T03:57:19.920Z</dcterms:created>
  <dcterms:modified xsi:type="dcterms:W3CDTF">2026-03-27T03:57:19.920Z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