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23"/>
        <w:jc w:val="center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Plan de Mantenimiento: Caja de Cambios de Velocidades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Proyecto: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Diseño y Validación de Caja de Cambios Mecánica.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Prototipo V1.0.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Responsable: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Equipo de Ingeniería </w:t>
      </w:r>
      <w:r w:rsidDel="00000000" w:rsidR="00000000" w:rsidRPr="00000000">
        <w:rPr>
          <w:rtl w:val="0"/>
        </w:rPr>
        <w:t xml:space="preserve">Mecatrónica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/Industrial 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Fecha: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Noviembre de 2025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Introducción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presente plan establece los procedimientos de mantenimiento preventivo y correctivo para asegurar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continuidad operativa, la fiabilidad y la extensión de la vida útil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mecanismo de caja de cambios diseñado. El mantenimiento regular es crucial para mitigar el desgaste por fricción y las fallas por fatiga.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2. Tipos de Mantenimiento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64"/>
        <w:gridCol w:w="4518"/>
        <w:gridCol w:w="2572"/>
        <w:tblGridChange w:id="0">
          <w:tblGrid>
            <w:gridCol w:w="1964"/>
            <w:gridCol w:w="4518"/>
            <w:gridCol w:w="257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Frecuencia Recomendada (Uso Moderado)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Preventivo (Programado)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Inspecciones periódicas y sustitución de fluidos y elementos fungibles (aceites, filtros, sellos). Su objetivo es prevenir fallas mayores.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Semestral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Predictivo (Basado en Condición)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Monitoreo de vibraciones, análisis de temperatura y análisis de partículas en el aceite. Se realiza con instrumentación para anticipar la necesidad de reparación.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Anual (Análisis de aceite) y continuo (Monitoreo de vibraciones).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Correctivo (No Programado)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Intervención posterior a una falla o avería. Debe ser minimizado mediante la aplicación rigurosa del mantenimiento preventivo.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Según la aparición de fallas.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3. Tareas de Mantenimiento Preventivo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Lubricación y Fluidos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77"/>
        <w:gridCol w:w="1349"/>
        <w:gridCol w:w="4928"/>
        <w:tblGridChange w:id="0">
          <w:tblGrid>
            <w:gridCol w:w="2777"/>
            <w:gridCol w:w="1349"/>
            <w:gridCol w:w="492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Frecuencia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Puntos de Inspección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Revisión del Nivel de Aceite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Mensual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Visor o varilla de nivel de la carcasa.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Sustitución de Aceite de Transmisión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Semestral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Drenaje completo del lubricante antiguo e inserción de aceite nuevo.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Inspección de Sellos y Empaques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Semestral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Sellos del eje de entrada/salida y empaques de la carcasa. Detectar y corregir fugas.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Componentes Mecánicos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5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1"/>
        <w:gridCol w:w="1349"/>
        <w:gridCol w:w="5024"/>
        <w:tblGridChange w:id="0">
          <w:tblGrid>
            <w:gridCol w:w="2681"/>
            <w:gridCol w:w="1349"/>
            <w:gridCol w:w="5024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Frecuencia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Puntos de Inspección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Inspección Visual de Engranajes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1xu6s7gxo03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Anual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Dientes de engranajes. Buscar signos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pitting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astillamiento o desgaste excesivo.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Verificación de Rodamientos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Holgura y ruido anormal en rodamientos. Si hay ruido o juego, planificar sustitución.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Inspección de la Carcasa (Chapa Metálica)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Trimestral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Fisuras, corrosión, o daños estructurales externos. Asegurar que los pernos de montaje estén en el torque correcto.</w:t>
            </w:r>
          </w:p>
        </w:tc>
      </w:tr>
    </w:tbl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4. Requisitos de Seguridad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Desconectar la fuente de potencia antes de cualquier intervención.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Utilizar equipo de protección personal (EPP) adecuado (guantes, gafas,).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Manejar los fluidos lubricantes usados de acuerdo con las normativas ambientales.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Documentar todas las intervenciones realizadas en el registro de mantenimiento.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3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896938</wp:posOffset>
              </wp:positionH>
              <wp:positionV relativeFrom="page">
                <wp:posOffset>446212</wp:posOffset>
              </wp:positionV>
              <wp:extent cx="2743835" cy="40576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978845" y="3581880"/>
                        <a:ext cx="2734310" cy="396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680" w:right="17.999999523162842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Universidad Catolica Boliviana “San Pablo” Ingeniería Mecatrónica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896938</wp:posOffset>
              </wp:positionH>
              <wp:positionV relativeFrom="page">
                <wp:posOffset>446212</wp:posOffset>
              </wp:positionV>
              <wp:extent cx="2743835" cy="405765"/>
              <wp:effectExtent b="0" l="0" r="0" t="0"/>
              <wp:wrapNone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43835" cy="405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5358209</wp:posOffset>
              </wp:positionH>
              <wp:positionV relativeFrom="page">
                <wp:posOffset>446212</wp:posOffset>
              </wp:positionV>
              <wp:extent cx="1287780" cy="40576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06873" y="3581880"/>
                        <a:ext cx="1278255" cy="396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505.99998474121094" w:right="17.999999523162842" w:firstLine="18.99999976158142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Diseño de Máquinas IMT - 212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5358209</wp:posOffset>
              </wp:positionH>
              <wp:positionV relativeFrom="page">
                <wp:posOffset>446212</wp:posOffset>
              </wp:positionV>
              <wp:extent cx="1287780" cy="405765"/>
              <wp:effectExtent b="0" l="0" r="0" t="0"/>
              <wp:wrapNone/>
              <wp:docPr id="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7780" cy="405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40" w:lineRule="auto"/>
      <w:ind w:left="23"/>
      <w:jc w:val="both"/>
    </w:pPr>
    <w:rPr>
      <w:b w:val="1"/>
      <w:bCs w:val="1"/>
    </w:rPr>
  </w:style>
  <w:style w:type="paragraph" w:styleId="Heading2">
    <w:name w:val="heading 2"/>
    <w:basedOn w:val="Normal"/>
    <w:next w:val="Normal"/>
    <w:pPr>
      <w:ind w:left="241" w:hanging="218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79" w:lineRule="auto"/>
      <w:ind w:left="1854"/>
    </w:pPr>
    <w:rPr>
      <w:b w:val="1"/>
      <w:bCs w:val="1"/>
      <w:sz w:val="26"/>
      <w:szCs w:val="26"/>
      <w:u w:val="single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 w:val="1"/>
  </w:style>
  <w:style w:type="paragraph" w:styleId="Prrafodelista">
    <w:name w:val="List Paragraph"/>
    <w:basedOn w:val="Normal"/>
    <w:uiPriority w:val="1"/>
    <w:qFormat w:val="1"/>
    <w:pPr>
      <w:ind w:left="742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NormalWeb">
    <w:name w:val="Normal (Web)"/>
    <w:basedOn w:val="Normal"/>
    <w:uiPriority w:val="99"/>
    <w:unhideWhenUsed w:val="1"/>
    <w:rsid w:val="004F7DD3"/>
    <w:pPr>
      <w:widowControl w:val="1"/>
      <w:autoSpaceDE w:val="1"/>
      <w:autoSpaceDN w:val="1"/>
      <w:spacing w:after="100" w:afterAutospacing="1" w:before="100" w:beforeAutospacing="1"/>
    </w:pPr>
    <w:rPr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 w:val="1"/>
    <w:rsid w:val="004F7DD3"/>
    <w:rPr>
      <w:b w:val="1"/>
      <w:bCs w:val="1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3C14D3"/>
    <w:rPr>
      <w:rFonts w:asciiTheme="majorHAnsi" w:cstheme="majorBidi" w:eastAsiaTheme="majorEastAsia" w:hAnsiTheme="majorHAnsi"/>
      <w:color w:val="243f60" w:themeColor="accent1" w:themeShade="00007F"/>
      <w:sz w:val="24"/>
      <w:szCs w:val="24"/>
      <w:lang w:val="es-ES"/>
    </w:rPr>
  </w:style>
  <w:style w:type="character" w:styleId="Ttulo2Car" w:customStyle="1">
    <w:name w:val="Título 2 Car"/>
    <w:basedOn w:val="Fuentedeprrafopredeter"/>
    <w:link w:val="Ttulo2"/>
    <w:uiPriority w:val="1"/>
    <w:rsid w:val="003C14D3"/>
    <w:rPr>
      <w:rFonts w:ascii="Times New Roman" w:cs="Times New Roman" w:eastAsia="Times New Roman" w:hAnsi="Times New Roman"/>
      <w:b w:val="1"/>
      <w:bCs w:val="1"/>
      <w:lang w:val="es-E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3C14D3"/>
    <w:rPr>
      <w:rFonts w:ascii="Times New Roman" w:cs="Times New Roman" w:eastAsia="Times New Roman" w:hAnsi="Times New Roman"/>
      <w:lang w:val="es-ES"/>
    </w:rPr>
  </w:style>
  <w:style w:type="character" w:styleId="nfasis">
    <w:name w:val="Emphasis"/>
    <w:basedOn w:val="Fuentedeprrafopredeter"/>
    <w:uiPriority w:val="20"/>
    <w:qFormat w:val="1"/>
    <w:rsid w:val="00C45287"/>
    <w:rPr>
      <w:i w:val="1"/>
      <w:iCs w:val="1"/>
    </w:rPr>
  </w:style>
  <w:style w:type="table" w:styleId="Tablaconcuadrcula">
    <w:name w:val="Table Grid"/>
    <w:basedOn w:val="Tablanormal"/>
    <w:uiPriority w:val="39"/>
    <w:rsid w:val="00C4528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sbLW5/ervvVWYDywM4zbpWCD5w==">CgMxLjAyDWguMXh1NnM3Z3hvMDM4AHIhMUlzTGJDb0Jkak5jUVRmNkRvUzRfUDVXUm5jUW9XM2h2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2025-11-16T15:15:00Z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2025-11-16T00:00:00Z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2025-11-16T00:00:00Z</vt:filetime>
  </property>
</Properties>
</file>