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834DF" w14:textId="77777777" w:rsidR="00924958" w:rsidRPr="00A83FB7" w:rsidRDefault="00924958" w:rsidP="00A83FB7">
      <w:pPr>
        <w:jc w:val="both"/>
        <w:rPr>
          <w:rFonts w:ascii="Arial" w:hAnsi="Arial" w:cs="Arial"/>
        </w:rPr>
      </w:pPr>
      <w:r w:rsidRPr="00924958">
        <w:rPr>
          <w:rFonts w:ascii="Arial" w:hAnsi="Arial" w:cs="Arial"/>
          <w:b/>
          <w:bCs/>
        </w:rPr>
        <w:t>Reporte de avance: Iteración 3 – Entorno y Repositorio</w:t>
      </w:r>
      <w:r w:rsidRPr="00924958">
        <w:rPr>
          <w:rFonts w:ascii="Arial" w:hAnsi="Arial" w:cs="Arial"/>
        </w:rPr>
        <w:t xml:space="preserve"> </w:t>
      </w:r>
    </w:p>
    <w:p w14:paraId="7140A591" w14:textId="77777777" w:rsidR="00924958" w:rsidRPr="00A83FB7" w:rsidRDefault="00924958" w:rsidP="00A83FB7">
      <w:pPr>
        <w:jc w:val="both"/>
        <w:rPr>
          <w:rFonts w:ascii="Arial" w:hAnsi="Arial" w:cs="Arial"/>
        </w:rPr>
      </w:pPr>
      <w:r w:rsidRPr="00924958">
        <w:rPr>
          <w:rFonts w:ascii="Arial" w:hAnsi="Arial" w:cs="Arial"/>
          <w:b/>
          <w:bCs/>
        </w:rPr>
        <w:t>Proyecto:</w:t>
      </w:r>
      <w:r w:rsidRPr="00924958">
        <w:rPr>
          <w:rFonts w:ascii="Arial" w:hAnsi="Arial" w:cs="Arial"/>
        </w:rPr>
        <w:t xml:space="preserve"> Sistema de Monitoreo de Riesgos de Ciberseguridad </w:t>
      </w:r>
    </w:p>
    <w:p w14:paraId="598595FB" w14:textId="53013AFC" w:rsidR="00924958" w:rsidRPr="00924958" w:rsidRDefault="00924958" w:rsidP="00A83FB7">
      <w:pPr>
        <w:jc w:val="both"/>
        <w:rPr>
          <w:rFonts w:ascii="Arial" w:hAnsi="Arial" w:cs="Arial"/>
        </w:rPr>
      </w:pPr>
      <w:r w:rsidRPr="00924958">
        <w:rPr>
          <w:rFonts w:ascii="Arial" w:hAnsi="Arial" w:cs="Arial"/>
          <w:b/>
          <w:bCs/>
        </w:rPr>
        <w:t>Estudiante:</w:t>
      </w:r>
      <w:r w:rsidRPr="00924958">
        <w:rPr>
          <w:rFonts w:ascii="Arial" w:hAnsi="Arial" w:cs="Arial"/>
        </w:rPr>
        <w:t xml:space="preserve"> Carlos Eduardo Reyez Rivera</w:t>
      </w:r>
    </w:p>
    <w:p w14:paraId="5EEF2900" w14:textId="223E35D8" w:rsidR="00924958" w:rsidRPr="00924958" w:rsidRDefault="00924958" w:rsidP="00A83FB7">
      <w:pPr>
        <w:jc w:val="both"/>
        <w:rPr>
          <w:rFonts w:ascii="Arial" w:hAnsi="Arial" w:cs="Arial"/>
        </w:rPr>
      </w:pPr>
      <w:r w:rsidRPr="00924958">
        <w:rPr>
          <w:rFonts w:ascii="Arial" w:hAnsi="Arial" w:cs="Arial"/>
        </w:rPr>
        <w:t>Durante esta tercera iteración, el objetivo principal fue la inicialización formal del entorno de desarrollo y la consolidación de la arquitectura del sistema. Atendiendo a las observaciones de control de calidad y buenas prácticas de ingeniería de software, se priorizó el modelado visual de los componentes antes de fijar las dependencias locales, garantizando así la escalabilidad del proyecto.</w:t>
      </w:r>
    </w:p>
    <w:p w14:paraId="2905B3D2" w14:textId="21C7FF08" w:rsidR="00826013" w:rsidRPr="00A83FB7" w:rsidRDefault="00924958" w:rsidP="00A83FB7">
      <w:pPr>
        <w:jc w:val="both"/>
        <w:rPr>
          <w:rFonts w:ascii="Arial" w:hAnsi="Arial" w:cs="Arial"/>
        </w:rPr>
      </w:pPr>
      <w:r w:rsidRPr="00924958">
        <w:rPr>
          <w:rFonts w:ascii="Arial" w:hAnsi="Arial" w:cs="Arial"/>
        </w:rPr>
        <w:t>Para cumplir con los objetivos de la EDT, se realizaron las siguientes acciones:</w:t>
      </w:r>
    </w:p>
    <w:p w14:paraId="1C4D1CF0" w14:textId="77777777" w:rsidR="00924958" w:rsidRPr="00924958" w:rsidRDefault="00924958" w:rsidP="00A83FB7">
      <w:pPr>
        <w:jc w:val="both"/>
        <w:rPr>
          <w:rFonts w:ascii="Arial" w:hAnsi="Arial" w:cs="Arial"/>
        </w:rPr>
      </w:pPr>
      <w:r w:rsidRPr="00924958">
        <w:rPr>
          <w:rFonts w:ascii="Arial" w:hAnsi="Arial" w:cs="Arial"/>
          <w:b/>
          <w:bCs/>
        </w:rPr>
        <w:t xml:space="preserve">Configurar repositorio: </w:t>
      </w:r>
      <w:r w:rsidRPr="00924958">
        <w:rPr>
          <w:rFonts w:ascii="Arial" w:hAnsi="Arial" w:cs="Arial"/>
        </w:rPr>
        <w:t>Estructura del repositorio y convenciones Para fundamentar el diseño modular del sistema, se estructuró un Diagrama de Componentes UML que segmenta claramente las responsabilidades. Este mapeo asegura que el intercambio de información mediante contratos JSON respete el principio de responsabilidad única.</w:t>
      </w:r>
    </w:p>
    <w:p w14:paraId="3DFBB3F4" w14:textId="77777777" w:rsidR="00924958" w:rsidRDefault="00924958" w:rsidP="00924958"/>
    <w:p w14:paraId="04B46E6F" w14:textId="49D2F7D1" w:rsidR="00924958" w:rsidRDefault="00924958" w:rsidP="00703042">
      <w:pPr>
        <w:jc w:val="center"/>
      </w:pPr>
      <w:r>
        <w:rPr>
          <w:noProof/>
        </w:rPr>
        <w:drawing>
          <wp:inline distT="0" distB="0" distL="0" distR="0" wp14:anchorId="3D79D72E" wp14:editId="6C14ECB5">
            <wp:extent cx="3077210" cy="358902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92045" cy="3606322"/>
                    </a:xfrm>
                    <a:prstGeom prst="rect">
                      <a:avLst/>
                    </a:prstGeom>
                  </pic:spPr>
                </pic:pic>
              </a:graphicData>
            </a:graphic>
          </wp:inline>
        </w:drawing>
      </w:r>
    </w:p>
    <w:p w14:paraId="5E8F3698" w14:textId="77777777" w:rsidR="00924958" w:rsidRDefault="00924958" w:rsidP="00924958"/>
    <w:p w14:paraId="304884A5" w14:textId="77777777" w:rsidR="00A83FB7" w:rsidRDefault="00A83FB7" w:rsidP="00924958"/>
    <w:p w14:paraId="42F8BEE2" w14:textId="7C337EAA" w:rsidR="00924958" w:rsidRPr="00924958" w:rsidRDefault="00924958" w:rsidP="00FA21DD">
      <w:pPr>
        <w:jc w:val="both"/>
        <w:rPr>
          <w:rFonts w:ascii="Arial" w:hAnsi="Arial" w:cs="Arial"/>
        </w:rPr>
      </w:pPr>
      <w:r w:rsidRPr="00924958">
        <w:rPr>
          <w:rFonts w:ascii="Arial" w:hAnsi="Arial" w:cs="Arial"/>
        </w:rPr>
        <w:lastRenderedPageBreak/>
        <w:t>Este modelo arquitectónico justifica y se refleja directamente en la convención de directorios implementada en el repositorio:</w:t>
      </w:r>
    </w:p>
    <w:p w14:paraId="5BBFB061" w14:textId="77777777" w:rsidR="00924958" w:rsidRPr="00924958" w:rsidRDefault="00924958" w:rsidP="00FA21DD">
      <w:pPr>
        <w:numPr>
          <w:ilvl w:val="0"/>
          <w:numId w:val="1"/>
        </w:numPr>
        <w:jc w:val="both"/>
        <w:rPr>
          <w:rFonts w:ascii="Arial" w:hAnsi="Arial" w:cs="Arial"/>
        </w:rPr>
      </w:pPr>
      <w:r w:rsidRPr="00924958">
        <w:rPr>
          <w:rFonts w:ascii="Arial" w:hAnsi="Arial" w:cs="Arial"/>
          <w:b/>
          <w:bCs/>
        </w:rPr>
        <w:t>/</w:t>
      </w:r>
      <w:proofErr w:type="spellStart"/>
      <w:r w:rsidRPr="00924958">
        <w:rPr>
          <w:rFonts w:ascii="Arial" w:hAnsi="Arial" w:cs="Arial"/>
          <w:b/>
          <w:bCs/>
        </w:rPr>
        <w:t>src</w:t>
      </w:r>
      <w:proofErr w:type="spellEnd"/>
      <w:r w:rsidRPr="00924958">
        <w:rPr>
          <w:rFonts w:ascii="Arial" w:hAnsi="Arial" w:cs="Arial"/>
        </w:rPr>
        <w:t>: Directorio principal de ejecución. Contiene el núcleo de captura (main.py) y, posteriormente, alojará la interfaz de exposición (</w:t>
      </w:r>
      <w:proofErr w:type="spellStart"/>
      <w:r w:rsidRPr="00924958">
        <w:rPr>
          <w:rFonts w:ascii="Arial" w:hAnsi="Arial" w:cs="Arial"/>
        </w:rPr>
        <w:t>Flask</w:t>
      </w:r>
      <w:proofErr w:type="spellEnd"/>
      <w:r w:rsidRPr="00924958">
        <w:rPr>
          <w:rFonts w:ascii="Arial" w:hAnsi="Arial" w:cs="Arial"/>
        </w:rPr>
        <w:t xml:space="preserve"> API).</w:t>
      </w:r>
    </w:p>
    <w:p w14:paraId="63DE4FA1" w14:textId="77777777" w:rsidR="00924958" w:rsidRPr="00924958" w:rsidRDefault="00924958" w:rsidP="00FA21DD">
      <w:pPr>
        <w:numPr>
          <w:ilvl w:val="0"/>
          <w:numId w:val="1"/>
        </w:numPr>
        <w:jc w:val="both"/>
        <w:rPr>
          <w:rFonts w:ascii="Arial" w:hAnsi="Arial" w:cs="Arial"/>
        </w:rPr>
      </w:pPr>
      <w:r w:rsidRPr="00924958">
        <w:rPr>
          <w:rFonts w:ascii="Arial" w:hAnsi="Arial" w:cs="Arial"/>
          <w:b/>
          <w:bCs/>
        </w:rPr>
        <w:t>/data</w:t>
      </w:r>
      <w:r w:rsidRPr="00924958">
        <w:rPr>
          <w:rFonts w:ascii="Arial" w:hAnsi="Arial" w:cs="Arial"/>
        </w:rPr>
        <w:t>: Entorno aislado para el almacenamiento de los registros de red estructurados tras su procesamiento.</w:t>
      </w:r>
    </w:p>
    <w:p w14:paraId="62A1BDE2" w14:textId="05DCB7F1" w:rsidR="00924958" w:rsidRPr="00A83FB7" w:rsidRDefault="00924958" w:rsidP="00FA21DD">
      <w:pPr>
        <w:numPr>
          <w:ilvl w:val="0"/>
          <w:numId w:val="1"/>
        </w:numPr>
        <w:jc w:val="both"/>
        <w:rPr>
          <w:rFonts w:ascii="Arial" w:hAnsi="Arial" w:cs="Arial"/>
        </w:rPr>
      </w:pPr>
      <w:r w:rsidRPr="00924958">
        <w:rPr>
          <w:rFonts w:ascii="Arial" w:hAnsi="Arial" w:cs="Arial"/>
          <w:b/>
          <w:bCs/>
        </w:rPr>
        <w:t>/</w:t>
      </w:r>
      <w:proofErr w:type="spellStart"/>
      <w:r w:rsidRPr="00924958">
        <w:rPr>
          <w:rFonts w:ascii="Arial" w:hAnsi="Arial" w:cs="Arial"/>
          <w:b/>
          <w:bCs/>
        </w:rPr>
        <w:t>docs</w:t>
      </w:r>
      <w:proofErr w:type="spellEnd"/>
      <w:r w:rsidRPr="00924958">
        <w:rPr>
          <w:rFonts w:ascii="Arial" w:hAnsi="Arial" w:cs="Arial"/>
        </w:rPr>
        <w:t xml:space="preserve">: Espacio exclusivo para reportes y evidencias. El control de versiones se configuró mediante un </w:t>
      </w:r>
      <w:r w:rsidR="00A03475" w:rsidRPr="00A83FB7">
        <w:rPr>
          <w:rFonts w:ascii="Arial" w:hAnsi="Arial" w:cs="Arial"/>
        </w:rPr>
        <w:t xml:space="preserve">archivo. </w:t>
      </w:r>
      <w:proofErr w:type="spellStart"/>
      <w:r w:rsidR="00A03475" w:rsidRPr="00A83FB7">
        <w:rPr>
          <w:rFonts w:ascii="Arial" w:hAnsi="Arial" w:cs="Arial"/>
        </w:rPr>
        <w:t>gitignore</w:t>
      </w:r>
      <w:proofErr w:type="spellEnd"/>
      <w:r w:rsidRPr="00924958">
        <w:rPr>
          <w:rFonts w:ascii="Arial" w:hAnsi="Arial" w:cs="Arial"/>
        </w:rPr>
        <w:t xml:space="preserve"> estricto para evitar la carga de archivos binarios y dependencias locales al repositorio remoto.</w:t>
      </w:r>
    </w:p>
    <w:p w14:paraId="7202D351" w14:textId="77777777" w:rsidR="00703042" w:rsidRDefault="00703042" w:rsidP="00703042"/>
    <w:p w14:paraId="164B9161" w14:textId="77777777" w:rsidR="00703042" w:rsidRPr="00A83FB7" w:rsidRDefault="00703042" w:rsidP="00703042">
      <w:pPr>
        <w:rPr>
          <w:rFonts w:ascii="Arial" w:hAnsi="Arial" w:cs="Arial"/>
          <w:b/>
          <w:bCs/>
        </w:rPr>
      </w:pPr>
      <w:r w:rsidRPr="00703042">
        <w:rPr>
          <w:rFonts w:ascii="Arial" w:hAnsi="Arial" w:cs="Arial"/>
          <w:b/>
          <w:bCs/>
        </w:rPr>
        <w:t xml:space="preserve">Configurar entorno local: Instalar y fijar versiones de entornos de ejecución y dependencias </w:t>
      </w:r>
    </w:p>
    <w:p w14:paraId="0BD56365" w14:textId="49492635" w:rsidR="00703042" w:rsidRPr="00703042" w:rsidRDefault="00703042" w:rsidP="00FA21DD">
      <w:pPr>
        <w:jc w:val="both"/>
        <w:rPr>
          <w:rFonts w:ascii="Arial" w:hAnsi="Arial" w:cs="Arial"/>
        </w:rPr>
      </w:pPr>
      <w:r w:rsidRPr="00703042">
        <w:rPr>
          <w:rFonts w:ascii="Arial" w:hAnsi="Arial" w:cs="Arial"/>
        </w:rPr>
        <w:t xml:space="preserve">En concordancia con los principios DevOps de consistencia y portabilidad del entorno, se procedió a la estabilización y congelamiento del </w:t>
      </w:r>
      <w:proofErr w:type="spellStart"/>
      <w:r w:rsidRPr="00703042">
        <w:rPr>
          <w:rFonts w:ascii="Arial" w:hAnsi="Arial" w:cs="Arial"/>
          <w:i/>
          <w:iCs/>
        </w:rPr>
        <w:t>toolchain</w:t>
      </w:r>
      <w:proofErr w:type="spellEnd"/>
      <w:r w:rsidRPr="00703042">
        <w:rPr>
          <w:rFonts w:ascii="Arial" w:hAnsi="Arial" w:cs="Arial"/>
        </w:rPr>
        <w:t xml:space="preserve"> local. No basta con instalar las dependencias básicas; para garantizar que el sistema se ejecute de manera idéntica en cualquier infraestructura de evaluación, es obligatorio fijar las versiones exactas de las librerías utilizadas.</w:t>
      </w:r>
    </w:p>
    <w:p w14:paraId="1452DA0F" w14:textId="77777777" w:rsidR="00703042" w:rsidRPr="00703042" w:rsidRDefault="00703042" w:rsidP="00FA21DD">
      <w:pPr>
        <w:jc w:val="both"/>
        <w:rPr>
          <w:rFonts w:ascii="Arial" w:hAnsi="Arial" w:cs="Arial"/>
        </w:rPr>
      </w:pPr>
      <w:r w:rsidRPr="00703042">
        <w:rPr>
          <w:rFonts w:ascii="Arial" w:hAnsi="Arial" w:cs="Arial"/>
        </w:rPr>
        <w:t>Se activó el entorno virtual aislado (.</w:t>
      </w:r>
      <w:proofErr w:type="spellStart"/>
      <w:r w:rsidRPr="00703042">
        <w:rPr>
          <w:rFonts w:ascii="Arial" w:hAnsi="Arial" w:cs="Arial"/>
        </w:rPr>
        <w:t>venv</w:t>
      </w:r>
      <w:proofErr w:type="spellEnd"/>
      <w:r w:rsidRPr="00703042">
        <w:rPr>
          <w:rFonts w:ascii="Arial" w:hAnsi="Arial" w:cs="Arial"/>
        </w:rPr>
        <w:t>) y se realizó el congelamiento de dependencias del proyecto (</w:t>
      </w:r>
      <w:proofErr w:type="spellStart"/>
      <w:r w:rsidRPr="00703042">
        <w:rPr>
          <w:rFonts w:ascii="Arial" w:hAnsi="Arial" w:cs="Arial"/>
        </w:rPr>
        <w:t>pip</w:t>
      </w:r>
      <w:proofErr w:type="spellEnd"/>
      <w:r w:rsidRPr="00703042">
        <w:rPr>
          <w:rFonts w:ascii="Arial" w:hAnsi="Arial" w:cs="Arial"/>
        </w:rPr>
        <w:t xml:space="preserve"> </w:t>
      </w:r>
      <w:proofErr w:type="spellStart"/>
      <w:r w:rsidRPr="00703042">
        <w:rPr>
          <w:rFonts w:ascii="Arial" w:hAnsi="Arial" w:cs="Arial"/>
        </w:rPr>
        <w:t>freeze</w:t>
      </w:r>
      <w:proofErr w:type="spellEnd"/>
      <w:r w:rsidRPr="00703042">
        <w:rPr>
          <w:rFonts w:ascii="Arial" w:hAnsi="Arial" w:cs="Arial"/>
        </w:rPr>
        <w:t>), poblando de manera estricta el archivo de requerimientos con los identificadores y versiones de lanzamiento de los paquetes principales:</w:t>
      </w:r>
    </w:p>
    <w:p w14:paraId="4984260C" w14:textId="77777777" w:rsidR="00703042" w:rsidRPr="00703042" w:rsidRDefault="00703042" w:rsidP="00FA21DD">
      <w:pPr>
        <w:numPr>
          <w:ilvl w:val="0"/>
          <w:numId w:val="2"/>
        </w:numPr>
        <w:jc w:val="both"/>
        <w:rPr>
          <w:rFonts w:ascii="Arial" w:hAnsi="Arial" w:cs="Arial"/>
        </w:rPr>
      </w:pPr>
      <w:proofErr w:type="spellStart"/>
      <w:r w:rsidRPr="00703042">
        <w:rPr>
          <w:rFonts w:ascii="Arial" w:hAnsi="Arial" w:cs="Arial"/>
          <w:b/>
          <w:bCs/>
        </w:rPr>
        <w:t>Flask</w:t>
      </w:r>
      <w:proofErr w:type="spellEnd"/>
      <w:r w:rsidRPr="00703042">
        <w:rPr>
          <w:rFonts w:ascii="Arial" w:hAnsi="Arial" w:cs="Arial"/>
        </w:rPr>
        <w:t xml:space="preserve">: </w:t>
      </w:r>
      <w:proofErr w:type="spellStart"/>
      <w:r w:rsidRPr="00703042">
        <w:rPr>
          <w:rFonts w:ascii="Arial" w:hAnsi="Arial" w:cs="Arial"/>
        </w:rPr>
        <w:t>Micro-framework</w:t>
      </w:r>
      <w:proofErr w:type="spellEnd"/>
      <w:r w:rsidRPr="00703042">
        <w:rPr>
          <w:rFonts w:ascii="Arial" w:hAnsi="Arial" w:cs="Arial"/>
        </w:rPr>
        <w:t xml:space="preserve"> seleccionado para la capa de servicios y exposición local de la API.</w:t>
      </w:r>
    </w:p>
    <w:p w14:paraId="6DB487D4" w14:textId="77777777" w:rsidR="00703042" w:rsidRPr="00703042" w:rsidRDefault="00703042" w:rsidP="00FA21DD">
      <w:pPr>
        <w:numPr>
          <w:ilvl w:val="0"/>
          <w:numId w:val="2"/>
        </w:numPr>
        <w:jc w:val="both"/>
        <w:rPr>
          <w:rFonts w:ascii="Arial" w:hAnsi="Arial" w:cs="Arial"/>
        </w:rPr>
      </w:pPr>
      <w:r w:rsidRPr="00703042">
        <w:rPr>
          <w:rFonts w:ascii="Arial" w:hAnsi="Arial" w:cs="Arial"/>
          <w:b/>
          <w:bCs/>
        </w:rPr>
        <w:t>Pandas</w:t>
      </w:r>
      <w:r w:rsidRPr="00703042">
        <w:rPr>
          <w:rFonts w:ascii="Arial" w:hAnsi="Arial" w:cs="Arial"/>
        </w:rPr>
        <w:t>: Librería especializada utilizada para el procesamiento de estructuras y tabulación de logs de red.</w:t>
      </w:r>
    </w:p>
    <w:p w14:paraId="41CBB851" w14:textId="77777777" w:rsidR="00703042" w:rsidRPr="00703042" w:rsidRDefault="00703042" w:rsidP="00FA21DD">
      <w:pPr>
        <w:numPr>
          <w:ilvl w:val="0"/>
          <w:numId w:val="2"/>
        </w:numPr>
        <w:jc w:val="both"/>
        <w:rPr>
          <w:rFonts w:ascii="Arial" w:hAnsi="Arial" w:cs="Arial"/>
        </w:rPr>
      </w:pPr>
      <w:r w:rsidRPr="00703042">
        <w:rPr>
          <w:rFonts w:ascii="Arial" w:hAnsi="Arial" w:cs="Arial"/>
          <w:b/>
          <w:bCs/>
        </w:rPr>
        <w:t>Flake8 y Black</w:t>
      </w:r>
      <w:r w:rsidRPr="00703042">
        <w:rPr>
          <w:rFonts w:ascii="Arial" w:hAnsi="Arial" w:cs="Arial"/>
        </w:rPr>
        <w:t>: Herramientas críticas integradas para el análisis estático de código y formateo automático bajo el estándar PEP 8.</w:t>
      </w:r>
    </w:p>
    <w:p w14:paraId="3388EA7B" w14:textId="71D7700E" w:rsidR="00703042" w:rsidRDefault="00482259" w:rsidP="00482259">
      <w:pPr>
        <w:jc w:val="both"/>
        <w:rPr>
          <w:rFonts w:ascii="Arial" w:hAnsi="Arial" w:cs="Arial"/>
        </w:rPr>
      </w:pPr>
      <w:r w:rsidRPr="00482259">
        <w:rPr>
          <w:rFonts w:ascii="Arial" w:hAnsi="Arial" w:cs="Arial"/>
        </w:rPr>
        <w:t xml:space="preserve">Adicionalmente, para cumplir con los requerimientos de la arquitectura propuesta, se integró Docker como herramienta de </w:t>
      </w:r>
      <w:proofErr w:type="spellStart"/>
      <w:r w:rsidRPr="00482259">
        <w:rPr>
          <w:rFonts w:ascii="Arial" w:hAnsi="Arial" w:cs="Arial"/>
        </w:rPr>
        <w:t>contenedorización</w:t>
      </w:r>
      <w:proofErr w:type="spellEnd"/>
      <w:r w:rsidRPr="00482259">
        <w:rPr>
          <w:rFonts w:ascii="Arial" w:hAnsi="Arial" w:cs="Arial"/>
        </w:rPr>
        <w:t>. Se generó el archivo de configuración base (</w:t>
      </w:r>
      <w:proofErr w:type="spellStart"/>
      <w:r w:rsidRPr="00482259">
        <w:rPr>
          <w:rFonts w:ascii="Arial" w:hAnsi="Arial" w:cs="Arial"/>
        </w:rPr>
        <w:t>Dockerfile</w:t>
      </w:r>
      <w:proofErr w:type="spellEnd"/>
      <w:r w:rsidRPr="00482259">
        <w:rPr>
          <w:rFonts w:ascii="Arial" w:hAnsi="Arial" w:cs="Arial"/>
        </w:rPr>
        <w:t>) en la raíz del proyecto para definir el entorno de ejecución estandarizado. Aunque durante la fase de desarrollo local se priorizó el uso del entorno virtual (.</w:t>
      </w:r>
      <w:proofErr w:type="spellStart"/>
      <w:r w:rsidRPr="00482259">
        <w:rPr>
          <w:rFonts w:ascii="Arial" w:hAnsi="Arial" w:cs="Arial"/>
        </w:rPr>
        <w:t>venv</w:t>
      </w:r>
      <w:proofErr w:type="spellEnd"/>
      <w:r w:rsidRPr="00482259">
        <w:rPr>
          <w:rFonts w:ascii="Arial" w:hAnsi="Arial" w:cs="Arial"/>
        </w:rPr>
        <w:t>) para mayor agilidad, la configuración de Docker quedó establecida desde esta etapa para garantizar que el despliegue final del sistema sea portátil, autocontenido y completamente independiente del sistema operativo anfitrión.</w:t>
      </w:r>
    </w:p>
    <w:p w14:paraId="12D55E24" w14:textId="609E0AE2" w:rsidR="00482259" w:rsidRDefault="00482259" w:rsidP="00482259">
      <w:pPr>
        <w:jc w:val="both"/>
        <w:rPr>
          <w:rFonts w:ascii="Arial" w:hAnsi="Arial" w:cs="Arial"/>
        </w:rPr>
      </w:pPr>
      <w:r w:rsidRPr="00482259">
        <w:rPr>
          <w:rFonts w:ascii="Arial" w:hAnsi="Arial" w:cs="Arial"/>
        </w:rPr>
        <w:lastRenderedPageBreak/>
        <w:drawing>
          <wp:inline distT="0" distB="0" distL="0" distR="0" wp14:anchorId="2A14713F" wp14:editId="07275737">
            <wp:extent cx="5612130" cy="286385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863850"/>
                    </a:xfrm>
                    <a:prstGeom prst="rect">
                      <a:avLst/>
                    </a:prstGeom>
                  </pic:spPr>
                </pic:pic>
              </a:graphicData>
            </a:graphic>
          </wp:inline>
        </w:drawing>
      </w:r>
    </w:p>
    <w:p w14:paraId="1D53D090" w14:textId="77777777" w:rsidR="00482259" w:rsidRPr="00482259" w:rsidRDefault="00482259" w:rsidP="00482259">
      <w:pPr>
        <w:jc w:val="both"/>
        <w:rPr>
          <w:rFonts w:ascii="Arial" w:hAnsi="Arial" w:cs="Arial"/>
        </w:rPr>
      </w:pPr>
    </w:p>
    <w:p w14:paraId="419E6AAD" w14:textId="77777777" w:rsidR="00482259" w:rsidRPr="00924958" w:rsidRDefault="00482259" w:rsidP="00703042"/>
    <w:p w14:paraId="2CD4D839" w14:textId="212CAAAA" w:rsidR="00924958" w:rsidRDefault="00A03475">
      <w:r w:rsidRPr="00A03475">
        <w:rPr>
          <w:noProof/>
        </w:rPr>
        <w:drawing>
          <wp:inline distT="0" distB="0" distL="0" distR="0" wp14:anchorId="499BEDCF" wp14:editId="1D79866A">
            <wp:extent cx="5612130" cy="299529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995295"/>
                    </a:xfrm>
                    <a:prstGeom prst="rect">
                      <a:avLst/>
                    </a:prstGeom>
                  </pic:spPr>
                </pic:pic>
              </a:graphicData>
            </a:graphic>
          </wp:inline>
        </w:drawing>
      </w:r>
    </w:p>
    <w:p w14:paraId="57942AA6" w14:textId="77777777" w:rsidR="00871246" w:rsidRDefault="00871246"/>
    <w:p w14:paraId="6AAE694C" w14:textId="77777777" w:rsidR="00FA21DD" w:rsidRPr="00A83FB7" w:rsidRDefault="00871246" w:rsidP="00871246">
      <w:pPr>
        <w:rPr>
          <w:rFonts w:ascii="Arial" w:hAnsi="Arial" w:cs="Arial"/>
        </w:rPr>
      </w:pPr>
      <w:r w:rsidRPr="00871246">
        <w:rPr>
          <w:rFonts w:ascii="Arial" w:hAnsi="Arial" w:cs="Arial"/>
          <w:b/>
          <w:bCs/>
        </w:rPr>
        <w:t>Inicializar proyecto y Validar el entorno con una prueba de humo</w:t>
      </w:r>
      <w:r w:rsidRPr="00871246">
        <w:rPr>
          <w:rFonts w:ascii="Arial" w:hAnsi="Arial" w:cs="Arial"/>
        </w:rPr>
        <w:t xml:space="preserve"> </w:t>
      </w:r>
    </w:p>
    <w:p w14:paraId="0E361B87" w14:textId="2C0F86AD" w:rsidR="00871246" w:rsidRPr="00871246" w:rsidRDefault="00871246" w:rsidP="00FA21DD">
      <w:pPr>
        <w:jc w:val="both"/>
        <w:rPr>
          <w:rFonts w:ascii="Arial" w:hAnsi="Arial" w:cs="Arial"/>
        </w:rPr>
      </w:pPr>
      <w:r w:rsidRPr="00871246">
        <w:rPr>
          <w:rFonts w:ascii="Arial" w:hAnsi="Arial" w:cs="Arial"/>
        </w:rPr>
        <w:t>Para consolidar la integración de los componentes base definidos en el diagrama de arquitectura UML, se realizaron dos acciones críticas de configuración en el espacio de trabajo local:</w:t>
      </w:r>
    </w:p>
    <w:p w14:paraId="4CCACBD5" w14:textId="77777777" w:rsidR="00871246" w:rsidRPr="00871246" w:rsidRDefault="00871246" w:rsidP="00FA21DD">
      <w:pPr>
        <w:numPr>
          <w:ilvl w:val="0"/>
          <w:numId w:val="3"/>
        </w:numPr>
        <w:jc w:val="both"/>
        <w:rPr>
          <w:rFonts w:ascii="Arial" w:hAnsi="Arial" w:cs="Arial"/>
        </w:rPr>
      </w:pPr>
      <w:r w:rsidRPr="00871246">
        <w:rPr>
          <w:rFonts w:ascii="Arial" w:hAnsi="Arial" w:cs="Arial"/>
          <w:b/>
          <w:bCs/>
        </w:rPr>
        <w:lastRenderedPageBreak/>
        <w:t>Inicialización del paquete (__init__.py)</w:t>
      </w:r>
      <w:r w:rsidRPr="00871246">
        <w:rPr>
          <w:rFonts w:ascii="Arial" w:hAnsi="Arial" w:cs="Arial"/>
        </w:rPr>
        <w:t>: Se generó un archivo de inicialización vacío dentro del directorio /</w:t>
      </w:r>
      <w:proofErr w:type="spellStart"/>
      <w:r w:rsidRPr="00871246">
        <w:rPr>
          <w:rFonts w:ascii="Arial" w:hAnsi="Arial" w:cs="Arial"/>
        </w:rPr>
        <w:t>src</w:t>
      </w:r>
      <w:proofErr w:type="spellEnd"/>
      <w:r w:rsidRPr="00871246">
        <w:rPr>
          <w:rFonts w:ascii="Arial" w:hAnsi="Arial" w:cs="Arial"/>
        </w:rPr>
        <w:t xml:space="preserve">. Esta acción bajo los estándares de Python convierte la carpeta en un módulo formal, previniendo errores de importación relativos y permitiendo la intercomunicación limpia entre los componentes del núcleo de captura y la futura interfaz de </w:t>
      </w:r>
      <w:proofErr w:type="spellStart"/>
      <w:r w:rsidRPr="00871246">
        <w:rPr>
          <w:rFonts w:ascii="Arial" w:hAnsi="Arial" w:cs="Arial"/>
        </w:rPr>
        <w:t>Flask</w:t>
      </w:r>
      <w:proofErr w:type="spellEnd"/>
      <w:r w:rsidRPr="00871246">
        <w:rPr>
          <w:rFonts w:ascii="Arial" w:hAnsi="Arial" w:cs="Arial"/>
        </w:rPr>
        <w:t>.</w:t>
      </w:r>
    </w:p>
    <w:p w14:paraId="1AFA7BCB" w14:textId="47C69758" w:rsidR="00871246" w:rsidRPr="00871246" w:rsidRDefault="00871246" w:rsidP="00FA21DD">
      <w:pPr>
        <w:numPr>
          <w:ilvl w:val="0"/>
          <w:numId w:val="3"/>
        </w:numPr>
        <w:jc w:val="both"/>
        <w:rPr>
          <w:rFonts w:ascii="Arial" w:hAnsi="Arial" w:cs="Arial"/>
        </w:rPr>
      </w:pPr>
      <w:r w:rsidRPr="00871246">
        <w:rPr>
          <w:rFonts w:ascii="Arial" w:hAnsi="Arial" w:cs="Arial"/>
          <w:b/>
          <w:bCs/>
        </w:rPr>
        <w:t>Prueba de Humo</w:t>
      </w:r>
      <w:r w:rsidRPr="00871246">
        <w:rPr>
          <w:rFonts w:ascii="Arial" w:hAnsi="Arial" w:cs="Arial"/>
        </w:rPr>
        <w:t xml:space="preserve">: Se ejecutó el componente principal main.py para validar que el ecosistema de ejecución local responda adecuadamente y sea capaz de interactuar con el Sistema Operativo Host utilizando las librerías nativas socket y </w:t>
      </w:r>
      <w:proofErr w:type="spellStart"/>
      <w:r w:rsidRPr="00871246">
        <w:rPr>
          <w:rFonts w:ascii="Arial" w:hAnsi="Arial" w:cs="Arial"/>
        </w:rPr>
        <w:t>platform</w:t>
      </w:r>
      <w:proofErr w:type="spellEnd"/>
      <w:r w:rsidRPr="00871246">
        <w:rPr>
          <w:rFonts w:ascii="Arial" w:hAnsi="Arial" w:cs="Arial"/>
        </w:rPr>
        <w:t>.</w:t>
      </w:r>
    </w:p>
    <w:p w14:paraId="0D74EC38" w14:textId="38398104" w:rsidR="00871246" w:rsidRDefault="00A03475">
      <w:r w:rsidRPr="00A03475">
        <w:rPr>
          <w:noProof/>
        </w:rPr>
        <w:drawing>
          <wp:inline distT="0" distB="0" distL="0" distR="0" wp14:anchorId="1117462E" wp14:editId="2DB9761E">
            <wp:extent cx="5612130" cy="299656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996565"/>
                    </a:xfrm>
                    <a:prstGeom prst="rect">
                      <a:avLst/>
                    </a:prstGeom>
                  </pic:spPr>
                </pic:pic>
              </a:graphicData>
            </a:graphic>
          </wp:inline>
        </w:drawing>
      </w:r>
    </w:p>
    <w:p w14:paraId="158B3C72" w14:textId="77777777" w:rsidR="00FA21DD" w:rsidRDefault="00FA21DD"/>
    <w:p w14:paraId="2E7F6438" w14:textId="77777777" w:rsidR="00FA21DD" w:rsidRDefault="00FA21DD" w:rsidP="00FA21DD">
      <w:pPr>
        <w:rPr>
          <w:b/>
          <w:bCs/>
        </w:rPr>
      </w:pPr>
      <w:r w:rsidRPr="00FA21DD">
        <w:rPr>
          <w:b/>
          <w:bCs/>
        </w:rPr>
        <w:t>Integrar componentes base: Integración de componentes</w:t>
      </w:r>
    </w:p>
    <w:p w14:paraId="142D3111" w14:textId="6A753BAE" w:rsidR="00FA21DD" w:rsidRPr="00FA21DD" w:rsidRDefault="00FA21DD" w:rsidP="00FA21DD">
      <w:pPr>
        <w:jc w:val="both"/>
        <w:rPr>
          <w:b/>
          <w:bCs/>
        </w:rPr>
      </w:pPr>
      <w:r w:rsidRPr="00FA21DD">
        <w:t xml:space="preserve"> La fase final de la iteración consistió en el ensamble y la verificación cruzada de que todo el ecosistema unificado funciona de punta a punta sin deuda técnica. La integración de los componentes base se validó mediante tres capas estrictas de control de calidad:</w:t>
      </w:r>
    </w:p>
    <w:p w14:paraId="24C0284D" w14:textId="77777777" w:rsidR="00FA21DD" w:rsidRPr="00FA21DD" w:rsidRDefault="00FA21DD" w:rsidP="00FA21DD">
      <w:pPr>
        <w:numPr>
          <w:ilvl w:val="0"/>
          <w:numId w:val="4"/>
        </w:numPr>
        <w:jc w:val="both"/>
      </w:pPr>
      <w:r w:rsidRPr="00FA21DD">
        <w:rPr>
          <w:b/>
          <w:bCs/>
        </w:rPr>
        <w:t>Control de Calidad Estático (</w:t>
      </w:r>
      <w:proofErr w:type="spellStart"/>
      <w:r w:rsidRPr="00FA21DD">
        <w:rPr>
          <w:b/>
          <w:bCs/>
        </w:rPr>
        <w:t>Linter</w:t>
      </w:r>
      <w:proofErr w:type="spellEnd"/>
      <w:r w:rsidRPr="00FA21DD">
        <w:rPr>
          <w:b/>
          <w:bCs/>
        </w:rPr>
        <w:t xml:space="preserve"> y Formateador):</w:t>
      </w:r>
      <w:r w:rsidRPr="00FA21DD">
        <w:t xml:space="preserve"> Se ejecutaron las herramientas Black y Flake8 sobre la raíz del proyecto. El formateador estandarizó la sintaxis de los scripts automáticamente, mientras que el </w:t>
      </w:r>
      <w:proofErr w:type="spellStart"/>
      <w:r w:rsidRPr="00FA21DD">
        <w:t>linter</w:t>
      </w:r>
      <w:proofErr w:type="spellEnd"/>
      <w:r w:rsidRPr="00FA21DD">
        <w:t xml:space="preserve"> otorgó "luz verde" al confirmar que el código base cumple rigurosamente con la guía de estilo de la industria (PEP 8), asegurando la mantenibilidad futura del software.</w:t>
      </w:r>
    </w:p>
    <w:p w14:paraId="7AD6E49E" w14:textId="77777777" w:rsidR="00FA21DD" w:rsidRPr="00FA21DD" w:rsidRDefault="00FA21DD" w:rsidP="00FA21DD">
      <w:pPr>
        <w:numPr>
          <w:ilvl w:val="0"/>
          <w:numId w:val="4"/>
        </w:numPr>
        <w:jc w:val="both"/>
      </w:pPr>
      <w:r w:rsidRPr="00FA21DD">
        <w:rPr>
          <w:b/>
          <w:bCs/>
        </w:rPr>
        <w:lastRenderedPageBreak/>
        <w:t>Aislamiento de Entornos:</w:t>
      </w:r>
      <w:r w:rsidRPr="00FA21DD">
        <w:t xml:space="preserve"> Se corroboró que el paquete /</w:t>
      </w:r>
      <w:proofErr w:type="spellStart"/>
      <w:r w:rsidRPr="00FA21DD">
        <w:t>src</w:t>
      </w:r>
      <w:proofErr w:type="spellEnd"/>
      <w:r w:rsidRPr="00FA21DD">
        <w:t xml:space="preserve"> (inicializado mediante su archivo __init__.py) interactúe de forma correcta y modular con el entorno aislado de datos /data, garantizando que la estructura física del repositorio empate con el plano lógico diseñado en el diagrama de arquitectura UML.</w:t>
      </w:r>
    </w:p>
    <w:p w14:paraId="210D68A7" w14:textId="66F36388" w:rsidR="00FA21DD" w:rsidRPr="00FA21DD" w:rsidRDefault="00FA21DD" w:rsidP="00FA21DD">
      <w:pPr>
        <w:numPr>
          <w:ilvl w:val="0"/>
          <w:numId w:val="4"/>
        </w:numPr>
        <w:jc w:val="both"/>
      </w:pPr>
      <w:r w:rsidRPr="00FA21DD">
        <w:rPr>
          <w:b/>
          <w:bCs/>
        </w:rPr>
        <w:t>Entrega y Despliegue en el Repositorio Central:</w:t>
      </w:r>
      <w:r w:rsidRPr="00FA21DD">
        <w:t xml:space="preserve"> El ciclo de integración concluyó de manera exitosa con el envío de las configuraciones y el </w:t>
      </w:r>
      <w:proofErr w:type="spellStart"/>
      <w:r w:rsidRPr="00FA21DD">
        <w:rPr>
          <w:i/>
          <w:iCs/>
        </w:rPr>
        <w:t>toolchain</w:t>
      </w:r>
      <w:proofErr w:type="spellEnd"/>
      <w:r w:rsidRPr="00FA21DD">
        <w:t xml:space="preserve"> estabilizado requirements.txt hacia el repositorio remoto en GitHub mediante los comandos de control de versiones </w:t>
      </w:r>
      <w:proofErr w:type="spellStart"/>
      <w:r w:rsidRPr="00FA21DD">
        <w:t>git</w:t>
      </w:r>
      <w:proofErr w:type="spellEnd"/>
      <w:r w:rsidRPr="00FA21DD">
        <w:t xml:space="preserve"> </w:t>
      </w:r>
      <w:proofErr w:type="spellStart"/>
      <w:r w:rsidRPr="00FA21DD">
        <w:t>push</w:t>
      </w:r>
      <w:proofErr w:type="spellEnd"/>
      <w:r w:rsidRPr="00FA21DD">
        <w:t>. La sincronización limpia y sin conflictos en la nube oficializa la entrega de los componentes base del sistema.</w:t>
      </w:r>
    </w:p>
    <w:p w14:paraId="5C76A7AB" w14:textId="77777777" w:rsidR="00FA21DD" w:rsidRDefault="00FA21DD"/>
    <w:tbl>
      <w:tblPr>
        <w:tblStyle w:val="Tablaconcuadrcula4-nfasis4"/>
        <w:tblW w:w="0" w:type="auto"/>
        <w:tblLook w:val="04A0" w:firstRow="1" w:lastRow="0" w:firstColumn="1" w:lastColumn="0" w:noHBand="0" w:noVBand="1"/>
      </w:tblPr>
      <w:tblGrid>
        <w:gridCol w:w="2158"/>
        <w:gridCol w:w="5330"/>
        <w:gridCol w:w="670"/>
        <w:gridCol w:w="670"/>
      </w:tblGrid>
      <w:tr w:rsidR="00427D63" w:rsidRPr="00427D63" w14:paraId="49337942" w14:textId="77777777" w:rsidTr="00427D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1EE89" w14:textId="77777777" w:rsidR="00427D63" w:rsidRPr="00427D63" w:rsidRDefault="00427D63" w:rsidP="00427D63">
            <w:pPr>
              <w:spacing w:after="160" w:line="278" w:lineRule="auto"/>
            </w:pPr>
            <w:r w:rsidRPr="00427D63">
              <w:t>Actividad Proyecto</w:t>
            </w:r>
          </w:p>
        </w:tc>
        <w:tc>
          <w:tcPr>
            <w:tcW w:w="0" w:type="auto"/>
            <w:hideMark/>
          </w:tcPr>
          <w:p w14:paraId="3948BCDC" w14:textId="77777777" w:rsidR="00427D63" w:rsidRPr="00427D63" w:rsidRDefault="00427D63" w:rsidP="00427D63">
            <w:pPr>
              <w:spacing w:after="160" w:line="278" w:lineRule="auto"/>
              <w:cnfStyle w:val="100000000000" w:firstRow="1" w:lastRow="0" w:firstColumn="0" w:lastColumn="0" w:oddVBand="0" w:evenVBand="0" w:oddHBand="0" w:evenHBand="0" w:firstRowFirstColumn="0" w:firstRowLastColumn="0" w:lastRowFirstColumn="0" w:lastRowLastColumn="0"/>
            </w:pPr>
            <w:r w:rsidRPr="00427D63">
              <w:t>Actividad EDT</w:t>
            </w:r>
          </w:p>
        </w:tc>
        <w:tc>
          <w:tcPr>
            <w:tcW w:w="0" w:type="auto"/>
            <w:hideMark/>
          </w:tcPr>
          <w:p w14:paraId="36821B84" w14:textId="77777777" w:rsidR="00427D63" w:rsidRPr="00427D63" w:rsidRDefault="00427D63" w:rsidP="00427D63">
            <w:pPr>
              <w:spacing w:after="160" w:line="278" w:lineRule="auto"/>
              <w:cnfStyle w:val="100000000000" w:firstRow="1" w:lastRow="0" w:firstColumn="0" w:lastColumn="0" w:oddVBand="0" w:evenVBand="0" w:oddHBand="0" w:evenHBand="0" w:firstRowFirstColumn="0" w:firstRowLastColumn="0" w:lastRowFirstColumn="0" w:lastRowLastColumn="0"/>
            </w:pPr>
            <w:r w:rsidRPr="00427D63">
              <w:t>TE</w:t>
            </w:r>
          </w:p>
        </w:tc>
        <w:tc>
          <w:tcPr>
            <w:tcW w:w="0" w:type="auto"/>
            <w:hideMark/>
          </w:tcPr>
          <w:p w14:paraId="38665764" w14:textId="77777777" w:rsidR="00427D63" w:rsidRPr="00427D63" w:rsidRDefault="00427D63" w:rsidP="00427D63">
            <w:pPr>
              <w:spacing w:after="160" w:line="278" w:lineRule="auto"/>
              <w:cnfStyle w:val="100000000000" w:firstRow="1" w:lastRow="0" w:firstColumn="0" w:lastColumn="0" w:oddVBand="0" w:evenVBand="0" w:oddHBand="0" w:evenHBand="0" w:firstRowFirstColumn="0" w:firstRowLastColumn="0" w:lastRowFirstColumn="0" w:lastRowLastColumn="0"/>
            </w:pPr>
            <w:r w:rsidRPr="00427D63">
              <w:t>TR</w:t>
            </w:r>
          </w:p>
        </w:tc>
      </w:tr>
      <w:tr w:rsidR="00427D63" w:rsidRPr="00427D63" w14:paraId="4A7587B5" w14:textId="77777777" w:rsidTr="00427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FC253" w14:textId="77777777" w:rsidR="00427D63" w:rsidRPr="00427D63" w:rsidRDefault="00427D63" w:rsidP="00427D63">
            <w:pPr>
              <w:spacing w:after="160" w:line="278" w:lineRule="auto"/>
            </w:pPr>
            <w:r w:rsidRPr="00427D63">
              <w:t>Planificar</w:t>
            </w:r>
          </w:p>
        </w:tc>
        <w:tc>
          <w:tcPr>
            <w:tcW w:w="0" w:type="auto"/>
            <w:hideMark/>
          </w:tcPr>
          <w:p w14:paraId="158ED2D5" w14:textId="77777777" w:rsidR="00427D63" w:rsidRPr="00427D63" w:rsidRDefault="00427D63" w:rsidP="00427D63">
            <w:pPr>
              <w:spacing w:after="160" w:line="278" w:lineRule="auto"/>
              <w:cnfStyle w:val="000000100000" w:firstRow="0" w:lastRow="0" w:firstColumn="0" w:lastColumn="0" w:oddVBand="0" w:evenVBand="0" w:oddHBand="1" w:evenHBand="0" w:firstRowFirstColumn="0" w:firstRowLastColumn="0" w:lastRowFirstColumn="0" w:lastRowLastColumn="0"/>
            </w:pPr>
            <w:r w:rsidRPr="00427D63">
              <w:t>Estructura del repositorio y convenciones</w:t>
            </w:r>
          </w:p>
        </w:tc>
        <w:tc>
          <w:tcPr>
            <w:tcW w:w="0" w:type="auto"/>
            <w:hideMark/>
          </w:tcPr>
          <w:p w14:paraId="233ADF57" w14:textId="77777777" w:rsidR="00427D63" w:rsidRPr="00427D63" w:rsidRDefault="00427D63" w:rsidP="00427D63">
            <w:pPr>
              <w:spacing w:after="160" w:line="278" w:lineRule="auto"/>
              <w:cnfStyle w:val="000000100000" w:firstRow="0" w:lastRow="0" w:firstColumn="0" w:lastColumn="0" w:oddVBand="0" w:evenVBand="0" w:oddHBand="1" w:evenHBand="0" w:firstRowFirstColumn="0" w:firstRowLastColumn="0" w:lastRowFirstColumn="0" w:lastRowLastColumn="0"/>
            </w:pPr>
            <w:r w:rsidRPr="00427D63">
              <w:t>1.0</w:t>
            </w:r>
          </w:p>
        </w:tc>
        <w:tc>
          <w:tcPr>
            <w:tcW w:w="0" w:type="auto"/>
            <w:hideMark/>
          </w:tcPr>
          <w:p w14:paraId="2496DBA8" w14:textId="77777777" w:rsidR="00427D63" w:rsidRPr="00427D63" w:rsidRDefault="00427D63" w:rsidP="00427D63">
            <w:pPr>
              <w:spacing w:after="160" w:line="278" w:lineRule="auto"/>
              <w:cnfStyle w:val="000000100000" w:firstRow="0" w:lastRow="0" w:firstColumn="0" w:lastColumn="0" w:oddVBand="0" w:evenVBand="0" w:oddHBand="1" w:evenHBand="0" w:firstRowFirstColumn="0" w:firstRowLastColumn="0" w:lastRowFirstColumn="0" w:lastRowLastColumn="0"/>
            </w:pPr>
            <w:r w:rsidRPr="00427D63">
              <w:t>1.25</w:t>
            </w:r>
          </w:p>
        </w:tc>
      </w:tr>
      <w:tr w:rsidR="00427D63" w:rsidRPr="00427D63" w14:paraId="2F5A1323" w14:textId="77777777" w:rsidTr="00427D63">
        <w:tc>
          <w:tcPr>
            <w:cnfStyle w:val="001000000000" w:firstRow="0" w:lastRow="0" w:firstColumn="1" w:lastColumn="0" w:oddVBand="0" w:evenVBand="0" w:oddHBand="0" w:evenHBand="0" w:firstRowFirstColumn="0" w:firstRowLastColumn="0" w:lastRowFirstColumn="0" w:lastRowLastColumn="0"/>
            <w:tcW w:w="0" w:type="auto"/>
            <w:hideMark/>
          </w:tcPr>
          <w:p w14:paraId="19E41621" w14:textId="77777777" w:rsidR="00427D63" w:rsidRPr="00427D63" w:rsidRDefault="00427D63" w:rsidP="00427D63">
            <w:pPr>
              <w:spacing w:after="160" w:line="278" w:lineRule="auto"/>
            </w:pPr>
            <w:r w:rsidRPr="00427D63">
              <w:t>Desarrollar</w:t>
            </w:r>
          </w:p>
        </w:tc>
        <w:tc>
          <w:tcPr>
            <w:tcW w:w="0" w:type="auto"/>
            <w:hideMark/>
          </w:tcPr>
          <w:p w14:paraId="5E31AEA0" w14:textId="77777777" w:rsidR="00427D63" w:rsidRPr="00427D63" w:rsidRDefault="00427D63" w:rsidP="00427D63">
            <w:pPr>
              <w:spacing w:after="160" w:line="278" w:lineRule="auto"/>
              <w:cnfStyle w:val="000000000000" w:firstRow="0" w:lastRow="0" w:firstColumn="0" w:lastColumn="0" w:oddVBand="0" w:evenVBand="0" w:oddHBand="0" w:evenHBand="0" w:firstRowFirstColumn="0" w:firstRowLastColumn="0" w:lastRowFirstColumn="0" w:lastRowLastColumn="0"/>
            </w:pPr>
            <w:r w:rsidRPr="00427D63">
              <w:t xml:space="preserve">Instalar y fijar versiones de entornos de ejecución y </w:t>
            </w:r>
            <w:proofErr w:type="spellStart"/>
            <w:r w:rsidRPr="00427D63">
              <w:t>toolchains</w:t>
            </w:r>
            <w:proofErr w:type="spellEnd"/>
          </w:p>
        </w:tc>
        <w:tc>
          <w:tcPr>
            <w:tcW w:w="0" w:type="auto"/>
            <w:hideMark/>
          </w:tcPr>
          <w:p w14:paraId="33052AA2" w14:textId="77777777" w:rsidR="00427D63" w:rsidRPr="00427D63" w:rsidRDefault="00427D63" w:rsidP="00427D63">
            <w:pPr>
              <w:spacing w:after="160" w:line="278" w:lineRule="auto"/>
              <w:cnfStyle w:val="000000000000" w:firstRow="0" w:lastRow="0" w:firstColumn="0" w:lastColumn="0" w:oddVBand="0" w:evenVBand="0" w:oddHBand="0" w:evenHBand="0" w:firstRowFirstColumn="0" w:firstRowLastColumn="0" w:lastRowFirstColumn="0" w:lastRowLastColumn="0"/>
            </w:pPr>
            <w:r w:rsidRPr="00427D63">
              <w:t>1.0</w:t>
            </w:r>
          </w:p>
        </w:tc>
        <w:tc>
          <w:tcPr>
            <w:tcW w:w="0" w:type="auto"/>
            <w:hideMark/>
          </w:tcPr>
          <w:p w14:paraId="68416204" w14:textId="77777777" w:rsidR="00427D63" w:rsidRPr="00427D63" w:rsidRDefault="00427D63" w:rsidP="00427D63">
            <w:pPr>
              <w:spacing w:after="160" w:line="278" w:lineRule="auto"/>
              <w:cnfStyle w:val="000000000000" w:firstRow="0" w:lastRow="0" w:firstColumn="0" w:lastColumn="0" w:oddVBand="0" w:evenVBand="0" w:oddHBand="0" w:evenHBand="0" w:firstRowFirstColumn="0" w:firstRowLastColumn="0" w:lastRowFirstColumn="0" w:lastRowLastColumn="0"/>
            </w:pPr>
            <w:r w:rsidRPr="00427D63">
              <w:t>1.16</w:t>
            </w:r>
          </w:p>
        </w:tc>
      </w:tr>
      <w:tr w:rsidR="00427D63" w:rsidRPr="00427D63" w14:paraId="78A579E1" w14:textId="77777777" w:rsidTr="00427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CFDD5" w14:textId="77777777" w:rsidR="00427D63" w:rsidRPr="00427D63" w:rsidRDefault="00427D63" w:rsidP="00427D63">
            <w:pPr>
              <w:spacing w:after="160" w:line="278" w:lineRule="auto"/>
            </w:pPr>
            <w:r w:rsidRPr="00427D63">
              <w:t>Desarrollar</w:t>
            </w:r>
          </w:p>
        </w:tc>
        <w:tc>
          <w:tcPr>
            <w:tcW w:w="0" w:type="auto"/>
            <w:hideMark/>
          </w:tcPr>
          <w:p w14:paraId="7AC29F3B" w14:textId="77777777" w:rsidR="00427D63" w:rsidRPr="00427D63" w:rsidRDefault="00427D63" w:rsidP="00427D63">
            <w:pPr>
              <w:spacing w:after="160" w:line="278" w:lineRule="auto"/>
              <w:cnfStyle w:val="000000100000" w:firstRow="0" w:lastRow="0" w:firstColumn="0" w:lastColumn="0" w:oddVBand="0" w:evenVBand="0" w:oddHBand="1" w:evenHBand="0" w:firstRowFirstColumn="0" w:firstRowLastColumn="0" w:lastRowFirstColumn="0" w:lastRowLastColumn="0"/>
            </w:pPr>
            <w:r w:rsidRPr="00427D63">
              <w:t xml:space="preserve">Instalar y fijar versiones de entornos de ejecución y </w:t>
            </w:r>
            <w:proofErr w:type="spellStart"/>
            <w:r w:rsidRPr="00427D63">
              <w:t>toolchains</w:t>
            </w:r>
            <w:proofErr w:type="spellEnd"/>
          </w:p>
        </w:tc>
        <w:tc>
          <w:tcPr>
            <w:tcW w:w="0" w:type="auto"/>
            <w:hideMark/>
          </w:tcPr>
          <w:p w14:paraId="176385E2" w14:textId="77777777" w:rsidR="00427D63" w:rsidRPr="00427D63" w:rsidRDefault="00427D63" w:rsidP="00427D63">
            <w:pPr>
              <w:spacing w:after="160" w:line="278" w:lineRule="auto"/>
              <w:cnfStyle w:val="000000100000" w:firstRow="0" w:lastRow="0" w:firstColumn="0" w:lastColumn="0" w:oddVBand="0" w:evenVBand="0" w:oddHBand="1" w:evenHBand="0" w:firstRowFirstColumn="0" w:firstRowLastColumn="0" w:lastRowFirstColumn="0" w:lastRowLastColumn="0"/>
            </w:pPr>
            <w:r w:rsidRPr="00427D63">
              <w:t>0.75</w:t>
            </w:r>
          </w:p>
        </w:tc>
        <w:tc>
          <w:tcPr>
            <w:tcW w:w="0" w:type="auto"/>
            <w:hideMark/>
          </w:tcPr>
          <w:p w14:paraId="6013F4DC" w14:textId="77777777" w:rsidR="00427D63" w:rsidRPr="00427D63" w:rsidRDefault="00427D63" w:rsidP="00427D63">
            <w:pPr>
              <w:spacing w:after="160" w:line="278" w:lineRule="auto"/>
              <w:cnfStyle w:val="000000100000" w:firstRow="0" w:lastRow="0" w:firstColumn="0" w:lastColumn="0" w:oddVBand="0" w:evenVBand="0" w:oddHBand="1" w:evenHBand="0" w:firstRowFirstColumn="0" w:firstRowLastColumn="0" w:lastRowFirstColumn="0" w:lastRowLastColumn="0"/>
            </w:pPr>
            <w:r w:rsidRPr="00427D63">
              <w:t>1.0</w:t>
            </w:r>
          </w:p>
        </w:tc>
      </w:tr>
      <w:tr w:rsidR="00427D63" w:rsidRPr="00427D63" w14:paraId="1E1A487B" w14:textId="77777777" w:rsidTr="00427D63">
        <w:tc>
          <w:tcPr>
            <w:cnfStyle w:val="001000000000" w:firstRow="0" w:lastRow="0" w:firstColumn="1" w:lastColumn="0" w:oddVBand="0" w:evenVBand="0" w:oddHBand="0" w:evenHBand="0" w:firstRowFirstColumn="0" w:firstRowLastColumn="0" w:lastRowFirstColumn="0" w:lastRowLastColumn="0"/>
            <w:tcW w:w="0" w:type="auto"/>
            <w:hideMark/>
          </w:tcPr>
          <w:p w14:paraId="7F41A465" w14:textId="77777777" w:rsidR="00427D63" w:rsidRPr="00427D63" w:rsidRDefault="00427D63" w:rsidP="00427D63">
            <w:pPr>
              <w:spacing w:after="160" w:line="278" w:lineRule="auto"/>
            </w:pPr>
            <w:r w:rsidRPr="00427D63">
              <w:t>Desarrollar</w:t>
            </w:r>
          </w:p>
        </w:tc>
        <w:tc>
          <w:tcPr>
            <w:tcW w:w="0" w:type="auto"/>
            <w:hideMark/>
          </w:tcPr>
          <w:p w14:paraId="144CBA0B" w14:textId="77777777" w:rsidR="00427D63" w:rsidRPr="00427D63" w:rsidRDefault="00427D63" w:rsidP="00427D63">
            <w:pPr>
              <w:spacing w:after="160" w:line="278" w:lineRule="auto"/>
              <w:cnfStyle w:val="000000000000" w:firstRow="0" w:lastRow="0" w:firstColumn="0" w:lastColumn="0" w:oddVBand="0" w:evenVBand="0" w:oddHBand="0" w:evenHBand="0" w:firstRowFirstColumn="0" w:firstRowLastColumn="0" w:lastRowFirstColumn="0" w:lastRowLastColumn="0"/>
            </w:pPr>
            <w:r w:rsidRPr="00427D63">
              <w:t>Inicializar el espacio de trabajo y gestionar dependencias</w:t>
            </w:r>
          </w:p>
        </w:tc>
        <w:tc>
          <w:tcPr>
            <w:tcW w:w="0" w:type="auto"/>
            <w:hideMark/>
          </w:tcPr>
          <w:p w14:paraId="5E89FB81" w14:textId="77777777" w:rsidR="00427D63" w:rsidRPr="00427D63" w:rsidRDefault="00427D63" w:rsidP="00427D63">
            <w:pPr>
              <w:spacing w:after="160" w:line="278" w:lineRule="auto"/>
              <w:cnfStyle w:val="000000000000" w:firstRow="0" w:lastRow="0" w:firstColumn="0" w:lastColumn="0" w:oddVBand="0" w:evenVBand="0" w:oddHBand="0" w:evenHBand="0" w:firstRowFirstColumn="0" w:firstRowLastColumn="0" w:lastRowFirstColumn="0" w:lastRowLastColumn="0"/>
            </w:pPr>
            <w:r w:rsidRPr="00427D63">
              <w:t>2.0</w:t>
            </w:r>
          </w:p>
        </w:tc>
        <w:tc>
          <w:tcPr>
            <w:tcW w:w="0" w:type="auto"/>
            <w:hideMark/>
          </w:tcPr>
          <w:p w14:paraId="6E8276F3" w14:textId="77777777" w:rsidR="00427D63" w:rsidRPr="00427D63" w:rsidRDefault="00427D63" w:rsidP="00427D63">
            <w:pPr>
              <w:spacing w:after="160" w:line="278" w:lineRule="auto"/>
              <w:cnfStyle w:val="000000000000" w:firstRow="0" w:lastRow="0" w:firstColumn="0" w:lastColumn="0" w:oddVBand="0" w:evenVBand="0" w:oddHBand="0" w:evenHBand="0" w:firstRowFirstColumn="0" w:firstRowLastColumn="0" w:lastRowFirstColumn="0" w:lastRowLastColumn="0"/>
            </w:pPr>
            <w:r w:rsidRPr="00427D63">
              <w:t>2.5</w:t>
            </w:r>
          </w:p>
        </w:tc>
      </w:tr>
      <w:tr w:rsidR="00427D63" w:rsidRPr="00427D63" w14:paraId="6AB30E06" w14:textId="77777777" w:rsidTr="00427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B686D" w14:textId="77777777" w:rsidR="00427D63" w:rsidRPr="00427D63" w:rsidRDefault="00427D63" w:rsidP="00427D63">
            <w:pPr>
              <w:spacing w:after="160" w:line="278" w:lineRule="auto"/>
            </w:pPr>
            <w:r w:rsidRPr="00427D63">
              <w:t>Desarrollar</w:t>
            </w:r>
          </w:p>
        </w:tc>
        <w:tc>
          <w:tcPr>
            <w:tcW w:w="0" w:type="auto"/>
            <w:hideMark/>
          </w:tcPr>
          <w:p w14:paraId="5AC22451" w14:textId="77777777" w:rsidR="00427D63" w:rsidRPr="00427D63" w:rsidRDefault="00427D63" w:rsidP="00427D63">
            <w:pPr>
              <w:spacing w:after="160" w:line="278" w:lineRule="auto"/>
              <w:cnfStyle w:val="000000100000" w:firstRow="0" w:lastRow="0" w:firstColumn="0" w:lastColumn="0" w:oddVBand="0" w:evenVBand="0" w:oddHBand="1" w:evenHBand="0" w:firstRowFirstColumn="0" w:firstRowLastColumn="0" w:lastRowFirstColumn="0" w:lastRowLastColumn="0"/>
            </w:pPr>
            <w:r w:rsidRPr="00427D63">
              <w:t>Validar el entorno con una prueba de humo</w:t>
            </w:r>
          </w:p>
        </w:tc>
        <w:tc>
          <w:tcPr>
            <w:tcW w:w="0" w:type="auto"/>
            <w:hideMark/>
          </w:tcPr>
          <w:p w14:paraId="64F8280B" w14:textId="77777777" w:rsidR="00427D63" w:rsidRPr="00427D63" w:rsidRDefault="00427D63" w:rsidP="00427D63">
            <w:pPr>
              <w:spacing w:after="160" w:line="278" w:lineRule="auto"/>
              <w:cnfStyle w:val="000000100000" w:firstRow="0" w:lastRow="0" w:firstColumn="0" w:lastColumn="0" w:oddVBand="0" w:evenVBand="0" w:oddHBand="1" w:evenHBand="0" w:firstRowFirstColumn="0" w:firstRowLastColumn="0" w:lastRowFirstColumn="0" w:lastRowLastColumn="0"/>
            </w:pPr>
            <w:r w:rsidRPr="00427D63">
              <w:t>1.0</w:t>
            </w:r>
          </w:p>
        </w:tc>
        <w:tc>
          <w:tcPr>
            <w:tcW w:w="0" w:type="auto"/>
            <w:hideMark/>
          </w:tcPr>
          <w:p w14:paraId="1F250810" w14:textId="77777777" w:rsidR="00427D63" w:rsidRPr="00427D63" w:rsidRDefault="00427D63" w:rsidP="00427D63">
            <w:pPr>
              <w:spacing w:after="160" w:line="278" w:lineRule="auto"/>
              <w:cnfStyle w:val="000000100000" w:firstRow="0" w:lastRow="0" w:firstColumn="0" w:lastColumn="0" w:oddVBand="0" w:evenVBand="0" w:oddHBand="1" w:evenHBand="0" w:firstRowFirstColumn="0" w:firstRowLastColumn="0" w:lastRowFirstColumn="0" w:lastRowLastColumn="0"/>
            </w:pPr>
            <w:r w:rsidRPr="00427D63">
              <w:t>1.16</w:t>
            </w:r>
          </w:p>
        </w:tc>
      </w:tr>
      <w:tr w:rsidR="00427D63" w:rsidRPr="00427D63" w14:paraId="468156A6" w14:textId="77777777" w:rsidTr="00427D63">
        <w:tc>
          <w:tcPr>
            <w:cnfStyle w:val="001000000000" w:firstRow="0" w:lastRow="0" w:firstColumn="1" w:lastColumn="0" w:oddVBand="0" w:evenVBand="0" w:oddHBand="0" w:evenHBand="0" w:firstRowFirstColumn="0" w:firstRowLastColumn="0" w:lastRowFirstColumn="0" w:lastRowLastColumn="0"/>
            <w:tcW w:w="0" w:type="auto"/>
            <w:hideMark/>
          </w:tcPr>
          <w:p w14:paraId="722DEF91" w14:textId="77777777" w:rsidR="00427D63" w:rsidRPr="00427D63" w:rsidRDefault="00427D63" w:rsidP="00427D63">
            <w:pPr>
              <w:spacing w:after="160" w:line="278" w:lineRule="auto"/>
            </w:pPr>
            <w:r w:rsidRPr="00427D63">
              <w:t>Retroalimentar</w:t>
            </w:r>
          </w:p>
        </w:tc>
        <w:tc>
          <w:tcPr>
            <w:tcW w:w="0" w:type="auto"/>
            <w:hideMark/>
          </w:tcPr>
          <w:p w14:paraId="674C8363" w14:textId="77777777" w:rsidR="00427D63" w:rsidRPr="00427D63" w:rsidRDefault="00427D63" w:rsidP="00427D63">
            <w:pPr>
              <w:spacing w:after="160" w:line="278" w:lineRule="auto"/>
              <w:cnfStyle w:val="000000000000" w:firstRow="0" w:lastRow="0" w:firstColumn="0" w:lastColumn="0" w:oddVBand="0" w:evenVBand="0" w:oddHBand="0" w:evenHBand="0" w:firstRowFirstColumn="0" w:firstRowLastColumn="0" w:lastRowFirstColumn="0" w:lastRowLastColumn="0"/>
            </w:pPr>
            <w:r w:rsidRPr="00427D63">
              <w:t>Integración de componentes</w:t>
            </w:r>
          </w:p>
        </w:tc>
        <w:tc>
          <w:tcPr>
            <w:tcW w:w="0" w:type="auto"/>
            <w:hideMark/>
          </w:tcPr>
          <w:p w14:paraId="7D595496" w14:textId="77777777" w:rsidR="00427D63" w:rsidRPr="00427D63" w:rsidRDefault="00427D63" w:rsidP="00427D63">
            <w:pPr>
              <w:spacing w:after="160" w:line="278" w:lineRule="auto"/>
              <w:cnfStyle w:val="000000000000" w:firstRow="0" w:lastRow="0" w:firstColumn="0" w:lastColumn="0" w:oddVBand="0" w:evenVBand="0" w:oddHBand="0" w:evenHBand="0" w:firstRowFirstColumn="0" w:firstRowLastColumn="0" w:lastRowFirstColumn="0" w:lastRowLastColumn="0"/>
            </w:pPr>
            <w:r w:rsidRPr="00427D63">
              <w:t>1.25</w:t>
            </w:r>
          </w:p>
        </w:tc>
        <w:tc>
          <w:tcPr>
            <w:tcW w:w="0" w:type="auto"/>
            <w:hideMark/>
          </w:tcPr>
          <w:p w14:paraId="670F06B6" w14:textId="77777777" w:rsidR="00427D63" w:rsidRPr="00427D63" w:rsidRDefault="00427D63" w:rsidP="00427D63">
            <w:pPr>
              <w:spacing w:after="160" w:line="278" w:lineRule="auto"/>
              <w:cnfStyle w:val="000000000000" w:firstRow="0" w:lastRow="0" w:firstColumn="0" w:lastColumn="0" w:oddVBand="0" w:evenVBand="0" w:oddHBand="0" w:evenHBand="0" w:firstRowFirstColumn="0" w:firstRowLastColumn="0" w:lastRowFirstColumn="0" w:lastRowLastColumn="0"/>
            </w:pPr>
            <w:r w:rsidRPr="00427D63">
              <w:t>2.16</w:t>
            </w:r>
          </w:p>
        </w:tc>
      </w:tr>
      <w:tr w:rsidR="00427D63" w:rsidRPr="00427D63" w14:paraId="0673C7DD" w14:textId="77777777" w:rsidTr="00427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5F2AC" w14:textId="77777777" w:rsidR="00427D63" w:rsidRPr="00427D63" w:rsidRDefault="00427D63" w:rsidP="00427D63">
            <w:pPr>
              <w:spacing w:after="160" w:line="278" w:lineRule="auto"/>
            </w:pPr>
            <w:proofErr w:type="gramStart"/>
            <w:r w:rsidRPr="00427D63">
              <w:t>Total</w:t>
            </w:r>
            <w:proofErr w:type="gramEnd"/>
            <w:r w:rsidRPr="00427D63">
              <w:t xml:space="preserve"> Semanal</w:t>
            </w:r>
          </w:p>
        </w:tc>
        <w:tc>
          <w:tcPr>
            <w:tcW w:w="0" w:type="auto"/>
            <w:hideMark/>
          </w:tcPr>
          <w:p w14:paraId="129B9E8F" w14:textId="77777777" w:rsidR="00427D63" w:rsidRPr="00427D63" w:rsidRDefault="00427D63" w:rsidP="00427D63">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71E80FA" w14:textId="77777777" w:rsidR="00427D63" w:rsidRPr="00427D63" w:rsidRDefault="00427D63" w:rsidP="00427D63">
            <w:pPr>
              <w:spacing w:after="160" w:line="278" w:lineRule="auto"/>
              <w:cnfStyle w:val="000000100000" w:firstRow="0" w:lastRow="0" w:firstColumn="0" w:lastColumn="0" w:oddVBand="0" w:evenVBand="0" w:oddHBand="1" w:evenHBand="0" w:firstRowFirstColumn="0" w:firstRowLastColumn="0" w:lastRowFirstColumn="0" w:lastRowLastColumn="0"/>
            </w:pPr>
            <w:r w:rsidRPr="00427D63">
              <w:t>7.0</w:t>
            </w:r>
          </w:p>
        </w:tc>
        <w:tc>
          <w:tcPr>
            <w:tcW w:w="0" w:type="auto"/>
            <w:hideMark/>
          </w:tcPr>
          <w:p w14:paraId="6846FD64" w14:textId="77777777" w:rsidR="00427D63" w:rsidRPr="00427D63" w:rsidRDefault="00427D63" w:rsidP="00427D63">
            <w:pPr>
              <w:spacing w:after="160" w:line="278" w:lineRule="auto"/>
              <w:cnfStyle w:val="000000100000" w:firstRow="0" w:lastRow="0" w:firstColumn="0" w:lastColumn="0" w:oddVBand="0" w:evenVBand="0" w:oddHBand="1" w:evenHBand="0" w:firstRowFirstColumn="0" w:firstRowLastColumn="0" w:lastRowFirstColumn="0" w:lastRowLastColumn="0"/>
            </w:pPr>
            <w:r w:rsidRPr="00427D63">
              <w:t>9.23</w:t>
            </w:r>
          </w:p>
        </w:tc>
      </w:tr>
    </w:tbl>
    <w:p w14:paraId="61C4C836" w14:textId="77777777" w:rsidR="00FA21DD" w:rsidRDefault="00FA21DD"/>
    <w:sectPr w:rsidR="00FA21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2F50"/>
    <w:multiLevelType w:val="multilevel"/>
    <w:tmpl w:val="7DBA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719D3"/>
    <w:multiLevelType w:val="multilevel"/>
    <w:tmpl w:val="E238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628C7"/>
    <w:multiLevelType w:val="multilevel"/>
    <w:tmpl w:val="22A6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970A5"/>
    <w:multiLevelType w:val="multilevel"/>
    <w:tmpl w:val="7720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381391">
    <w:abstractNumId w:val="0"/>
  </w:num>
  <w:num w:numId="2" w16cid:durableId="1173645202">
    <w:abstractNumId w:val="2"/>
  </w:num>
  <w:num w:numId="3" w16cid:durableId="1932657365">
    <w:abstractNumId w:val="1"/>
  </w:num>
  <w:num w:numId="4" w16cid:durableId="1315791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958"/>
    <w:rsid w:val="000776C5"/>
    <w:rsid w:val="000A2076"/>
    <w:rsid w:val="001240E7"/>
    <w:rsid w:val="00310184"/>
    <w:rsid w:val="0033384A"/>
    <w:rsid w:val="00427D63"/>
    <w:rsid w:val="00482259"/>
    <w:rsid w:val="00703042"/>
    <w:rsid w:val="00826013"/>
    <w:rsid w:val="00871246"/>
    <w:rsid w:val="00924958"/>
    <w:rsid w:val="00A03475"/>
    <w:rsid w:val="00A83FB7"/>
    <w:rsid w:val="00D17B91"/>
    <w:rsid w:val="00DA6BDF"/>
    <w:rsid w:val="00FA21DD"/>
    <w:rsid w:val="00FF68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E32DA"/>
  <w15:chartTrackingRefBased/>
  <w15:docId w15:val="{9DB221BB-E46D-4FC7-9CBE-ABAD54ED6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4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4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49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49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49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49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49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49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49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49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49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49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49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49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49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49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49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4958"/>
    <w:rPr>
      <w:rFonts w:eastAsiaTheme="majorEastAsia" w:cstheme="majorBidi"/>
      <w:color w:val="272727" w:themeColor="text1" w:themeTint="D8"/>
    </w:rPr>
  </w:style>
  <w:style w:type="paragraph" w:styleId="Ttulo">
    <w:name w:val="Title"/>
    <w:basedOn w:val="Normal"/>
    <w:next w:val="Normal"/>
    <w:link w:val="TtuloCar"/>
    <w:uiPriority w:val="10"/>
    <w:qFormat/>
    <w:rsid w:val="00924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49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49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49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4958"/>
    <w:pPr>
      <w:spacing w:before="160"/>
      <w:jc w:val="center"/>
    </w:pPr>
    <w:rPr>
      <w:i/>
      <w:iCs/>
      <w:color w:val="404040" w:themeColor="text1" w:themeTint="BF"/>
    </w:rPr>
  </w:style>
  <w:style w:type="character" w:customStyle="1" w:styleId="CitaCar">
    <w:name w:val="Cita Car"/>
    <w:basedOn w:val="Fuentedeprrafopredeter"/>
    <w:link w:val="Cita"/>
    <w:uiPriority w:val="29"/>
    <w:rsid w:val="00924958"/>
    <w:rPr>
      <w:i/>
      <w:iCs/>
      <w:color w:val="404040" w:themeColor="text1" w:themeTint="BF"/>
    </w:rPr>
  </w:style>
  <w:style w:type="paragraph" w:styleId="Prrafodelista">
    <w:name w:val="List Paragraph"/>
    <w:basedOn w:val="Normal"/>
    <w:uiPriority w:val="34"/>
    <w:qFormat/>
    <w:rsid w:val="00924958"/>
    <w:pPr>
      <w:ind w:left="720"/>
      <w:contextualSpacing/>
    </w:pPr>
  </w:style>
  <w:style w:type="character" w:styleId="nfasisintenso">
    <w:name w:val="Intense Emphasis"/>
    <w:basedOn w:val="Fuentedeprrafopredeter"/>
    <w:uiPriority w:val="21"/>
    <w:qFormat/>
    <w:rsid w:val="00924958"/>
    <w:rPr>
      <w:i/>
      <w:iCs/>
      <w:color w:val="0F4761" w:themeColor="accent1" w:themeShade="BF"/>
    </w:rPr>
  </w:style>
  <w:style w:type="paragraph" w:styleId="Citadestacada">
    <w:name w:val="Intense Quote"/>
    <w:basedOn w:val="Normal"/>
    <w:next w:val="Normal"/>
    <w:link w:val="CitadestacadaCar"/>
    <w:uiPriority w:val="30"/>
    <w:qFormat/>
    <w:rsid w:val="00924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4958"/>
    <w:rPr>
      <w:i/>
      <w:iCs/>
      <w:color w:val="0F4761" w:themeColor="accent1" w:themeShade="BF"/>
    </w:rPr>
  </w:style>
  <w:style w:type="character" w:styleId="Referenciaintensa">
    <w:name w:val="Intense Reference"/>
    <w:basedOn w:val="Fuentedeprrafopredeter"/>
    <w:uiPriority w:val="32"/>
    <w:qFormat/>
    <w:rsid w:val="00924958"/>
    <w:rPr>
      <w:b/>
      <w:bCs/>
      <w:smallCaps/>
      <w:color w:val="0F4761" w:themeColor="accent1" w:themeShade="BF"/>
      <w:spacing w:val="5"/>
    </w:rPr>
  </w:style>
  <w:style w:type="table" w:styleId="Tablaconcuadrcula4-nfasis4">
    <w:name w:val="Grid Table 4 Accent 4"/>
    <w:basedOn w:val="Tablanormal"/>
    <w:uiPriority w:val="49"/>
    <w:rsid w:val="00FA21D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31862">
      <w:bodyDiv w:val="1"/>
      <w:marLeft w:val="0"/>
      <w:marRight w:val="0"/>
      <w:marTop w:val="0"/>
      <w:marBottom w:val="0"/>
      <w:divBdr>
        <w:top w:val="none" w:sz="0" w:space="0" w:color="auto"/>
        <w:left w:val="none" w:sz="0" w:space="0" w:color="auto"/>
        <w:bottom w:val="none" w:sz="0" w:space="0" w:color="auto"/>
        <w:right w:val="none" w:sz="0" w:space="0" w:color="auto"/>
      </w:divBdr>
    </w:div>
    <w:div w:id="548221520">
      <w:bodyDiv w:val="1"/>
      <w:marLeft w:val="0"/>
      <w:marRight w:val="0"/>
      <w:marTop w:val="0"/>
      <w:marBottom w:val="0"/>
      <w:divBdr>
        <w:top w:val="none" w:sz="0" w:space="0" w:color="auto"/>
        <w:left w:val="none" w:sz="0" w:space="0" w:color="auto"/>
        <w:bottom w:val="none" w:sz="0" w:space="0" w:color="auto"/>
        <w:right w:val="none" w:sz="0" w:space="0" w:color="auto"/>
      </w:divBdr>
    </w:div>
    <w:div w:id="604195458">
      <w:bodyDiv w:val="1"/>
      <w:marLeft w:val="0"/>
      <w:marRight w:val="0"/>
      <w:marTop w:val="0"/>
      <w:marBottom w:val="0"/>
      <w:divBdr>
        <w:top w:val="none" w:sz="0" w:space="0" w:color="auto"/>
        <w:left w:val="none" w:sz="0" w:space="0" w:color="auto"/>
        <w:bottom w:val="none" w:sz="0" w:space="0" w:color="auto"/>
        <w:right w:val="none" w:sz="0" w:space="0" w:color="auto"/>
      </w:divBdr>
    </w:div>
    <w:div w:id="671907717">
      <w:bodyDiv w:val="1"/>
      <w:marLeft w:val="0"/>
      <w:marRight w:val="0"/>
      <w:marTop w:val="0"/>
      <w:marBottom w:val="0"/>
      <w:divBdr>
        <w:top w:val="none" w:sz="0" w:space="0" w:color="auto"/>
        <w:left w:val="none" w:sz="0" w:space="0" w:color="auto"/>
        <w:bottom w:val="none" w:sz="0" w:space="0" w:color="auto"/>
        <w:right w:val="none" w:sz="0" w:space="0" w:color="auto"/>
      </w:divBdr>
    </w:div>
    <w:div w:id="826281885">
      <w:bodyDiv w:val="1"/>
      <w:marLeft w:val="0"/>
      <w:marRight w:val="0"/>
      <w:marTop w:val="0"/>
      <w:marBottom w:val="0"/>
      <w:divBdr>
        <w:top w:val="none" w:sz="0" w:space="0" w:color="auto"/>
        <w:left w:val="none" w:sz="0" w:space="0" w:color="auto"/>
        <w:bottom w:val="none" w:sz="0" w:space="0" w:color="auto"/>
        <w:right w:val="none" w:sz="0" w:space="0" w:color="auto"/>
      </w:divBdr>
    </w:div>
    <w:div w:id="870142732">
      <w:bodyDiv w:val="1"/>
      <w:marLeft w:val="0"/>
      <w:marRight w:val="0"/>
      <w:marTop w:val="0"/>
      <w:marBottom w:val="0"/>
      <w:divBdr>
        <w:top w:val="none" w:sz="0" w:space="0" w:color="auto"/>
        <w:left w:val="none" w:sz="0" w:space="0" w:color="auto"/>
        <w:bottom w:val="none" w:sz="0" w:space="0" w:color="auto"/>
        <w:right w:val="none" w:sz="0" w:space="0" w:color="auto"/>
      </w:divBdr>
    </w:div>
    <w:div w:id="927150353">
      <w:bodyDiv w:val="1"/>
      <w:marLeft w:val="0"/>
      <w:marRight w:val="0"/>
      <w:marTop w:val="0"/>
      <w:marBottom w:val="0"/>
      <w:divBdr>
        <w:top w:val="none" w:sz="0" w:space="0" w:color="auto"/>
        <w:left w:val="none" w:sz="0" w:space="0" w:color="auto"/>
        <w:bottom w:val="none" w:sz="0" w:space="0" w:color="auto"/>
        <w:right w:val="none" w:sz="0" w:space="0" w:color="auto"/>
      </w:divBdr>
    </w:div>
    <w:div w:id="978530186">
      <w:bodyDiv w:val="1"/>
      <w:marLeft w:val="0"/>
      <w:marRight w:val="0"/>
      <w:marTop w:val="0"/>
      <w:marBottom w:val="0"/>
      <w:divBdr>
        <w:top w:val="none" w:sz="0" w:space="0" w:color="auto"/>
        <w:left w:val="none" w:sz="0" w:space="0" w:color="auto"/>
        <w:bottom w:val="none" w:sz="0" w:space="0" w:color="auto"/>
        <w:right w:val="none" w:sz="0" w:space="0" w:color="auto"/>
      </w:divBdr>
    </w:div>
    <w:div w:id="1028724899">
      <w:bodyDiv w:val="1"/>
      <w:marLeft w:val="0"/>
      <w:marRight w:val="0"/>
      <w:marTop w:val="0"/>
      <w:marBottom w:val="0"/>
      <w:divBdr>
        <w:top w:val="none" w:sz="0" w:space="0" w:color="auto"/>
        <w:left w:val="none" w:sz="0" w:space="0" w:color="auto"/>
        <w:bottom w:val="none" w:sz="0" w:space="0" w:color="auto"/>
        <w:right w:val="none" w:sz="0" w:space="0" w:color="auto"/>
      </w:divBdr>
    </w:div>
    <w:div w:id="1151827807">
      <w:bodyDiv w:val="1"/>
      <w:marLeft w:val="0"/>
      <w:marRight w:val="0"/>
      <w:marTop w:val="0"/>
      <w:marBottom w:val="0"/>
      <w:divBdr>
        <w:top w:val="none" w:sz="0" w:space="0" w:color="auto"/>
        <w:left w:val="none" w:sz="0" w:space="0" w:color="auto"/>
        <w:bottom w:val="none" w:sz="0" w:space="0" w:color="auto"/>
        <w:right w:val="none" w:sz="0" w:space="0" w:color="auto"/>
      </w:divBdr>
    </w:div>
    <w:div w:id="1152869600">
      <w:bodyDiv w:val="1"/>
      <w:marLeft w:val="0"/>
      <w:marRight w:val="0"/>
      <w:marTop w:val="0"/>
      <w:marBottom w:val="0"/>
      <w:divBdr>
        <w:top w:val="none" w:sz="0" w:space="0" w:color="auto"/>
        <w:left w:val="none" w:sz="0" w:space="0" w:color="auto"/>
        <w:bottom w:val="none" w:sz="0" w:space="0" w:color="auto"/>
        <w:right w:val="none" w:sz="0" w:space="0" w:color="auto"/>
      </w:divBdr>
    </w:div>
    <w:div w:id="1203175559">
      <w:bodyDiv w:val="1"/>
      <w:marLeft w:val="0"/>
      <w:marRight w:val="0"/>
      <w:marTop w:val="0"/>
      <w:marBottom w:val="0"/>
      <w:divBdr>
        <w:top w:val="none" w:sz="0" w:space="0" w:color="auto"/>
        <w:left w:val="none" w:sz="0" w:space="0" w:color="auto"/>
        <w:bottom w:val="none" w:sz="0" w:space="0" w:color="auto"/>
        <w:right w:val="none" w:sz="0" w:space="0" w:color="auto"/>
      </w:divBdr>
    </w:div>
    <w:div w:id="1332487664">
      <w:bodyDiv w:val="1"/>
      <w:marLeft w:val="0"/>
      <w:marRight w:val="0"/>
      <w:marTop w:val="0"/>
      <w:marBottom w:val="0"/>
      <w:divBdr>
        <w:top w:val="none" w:sz="0" w:space="0" w:color="auto"/>
        <w:left w:val="none" w:sz="0" w:space="0" w:color="auto"/>
        <w:bottom w:val="none" w:sz="0" w:space="0" w:color="auto"/>
        <w:right w:val="none" w:sz="0" w:space="0" w:color="auto"/>
      </w:divBdr>
    </w:div>
    <w:div w:id="1427068532">
      <w:bodyDiv w:val="1"/>
      <w:marLeft w:val="0"/>
      <w:marRight w:val="0"/>
      <w:marTop w:val="0"/>
      <w:marBottom w:val="0"/>
      <w:divBdr>
        <w:top w:val="none" w:sz="0" w:space="0" w:color="auto"/>
        <w:left w:val="none" w:sz="0" w:space="0" w:color="auto"/>
        <w:bottom w:val="none" w:sz="0" w:space="0" w:color="auto"/>
        <w:right w:val="none" w:sz="0" w:space="0" w:color="auto"/>
      </w:divBdr>
    </w:div>
    <w:div w:id="1506163643">
      <w:bodyDiv w:val="1"/>
      <w:marLeft w:val="0"/>
      <w:marRight w:val="0"/>
      <w:marTop w:val="0"/>
      <w:marBottom w:val="0"/>
      <w:divBdr>
        <w:top w:val="none" w:sz="0" w:space="0" w:color="auto"/>
        <w:left w:val="none" w:sz="0" w:space="0" w:color="auto"/>
        <w:bottom w:val="none" w:sz="0" w:space="0" w:color="auto"/>
        <w:right w:val="none" w:sz="0" w:space="0" w:color="auto"/>
      </w:divBdr>
    </w:div>
    <w:div w:id="1683586342">
      <w:bodyDiv w:val="1"/>
      <w:marLeft w:val="0"/>
      <w:marRight w:val="0"/>
      <w:marTop w:val="0"/>
      <w:marBottom w:val="0"/>
      <w:divBdr>
        <w:top w:val="none" w:sz="0" w:space="0" w:color="auto"/>
        <w:left w:val="none" w:sz="0" w:space="0" w:color="auto"/>
        <w:bottom w:val="none" w:sz="0" w:space="0" w:color="auto"/>
        <w:right w:val="none" w:sz="0" w:space="0" w:color="auto"/>
      </w:divBdr>
    </w:div>
    <w:div w:id="195088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920</Words>
  <Characters>5065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3018</dc:creator>
  <cp:keywords/>
  <dc:description/>
  <cp:lastModifiedBy>Carlos RR</cp:lastModifiedBy>
  <cp:revision>6</cp:revision>
  <dcterms:created xsi:type="dcterms:W3CDTF">2026-05-25T18:43:00Z</dcterms:created>
  <dcterms:modified xsi:type="dcterms:W3CDTF">2026-07-07T02:56:00Z</dcterms:modified>
</cp:coreProperties>
</file>