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3F2BB541" w:rsidR="00F75884" w:rsidRDefault="00B06D69" w:rsidP="00B06D69">
      <w:pPr>
        <w:pStyle w:val="Titre"/>
        <w:jc w:val="center"/>
      </w:pPr>
      <w:r>
        <w:t>THOR v</w:t>
      </w:r>
      <w:r w:rsidR="00741EEA">
        <w:t>3</w:t>
      </w:r>
      <w:r>
        <w:t>.</w:t>
      </w:r>
      <w:r w:rsidR="000A08D1">
        <w:t>9</w:t>
      </w:r>
      <w:r>
        <w:t xml:space="preserve">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AA6631">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AA6631">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AA6631">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AA6631">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AA6631">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AA6631">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AA6631">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AA6631">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AA6631">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AA6631">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AA6631">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AA6631">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AA6631">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AA6631">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AA6631">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AA6631">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AA6631">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AA6631">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AA6631">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AA6631">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AA6631">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AA6631">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AA6631">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0" w:name="_Toc52807438"/>
      <w:r>
        <w:t>Présentation</w:t>
      </w:r>
      <w:bookmarkEnd w:id="0"/>
    </w:p>
    <w:p w14:paraId="70990D82" w14:textId="77777777" w:rsidR="00B06D69" w:rsidRPr="00B06D69" w:rsidRDefault="00B06D69" w:rsidP="00B06D69">
      <w:pPr>
        <w:pStyle w:val="Titre2"/>
      </w:pPr>
      <w:bookmarkStart w:id="1" w:name="_Toc52807439"/>
      <w:r>
        <w:t>Constat</w:t>
      </w:r>
      <w:bookmarkEnd w:id="1"/>
    </w:p>
    <w:p w14:paraId="14E4343C" w14:textId="022C7A89" w:rsidR="00675663" w:rsidRDefault="00B06D69" w:rsidP="00B06D69">
      <w:r>
        <w:t xml:space="preserve">Lors de la réalisation d’une étude de risque avec la méthode EBIOS RM, l’utilisation d’une application dédiée facilite </w:t>
      </w:r>
      <w:r w:rsidR="00675663">
        <w:t xml:space="preserve">la production des différents livrables au </w:t>
      </w:r>
      <w:r w:rsidR="00A11B9A">
        <w:t>format Excel</w:t>
      </w:r>
      <w:r w:rsidR="00675663">
        <w:t> et images mais ne permet pas de réaliser un modèle de rapport personnalisé.</w:t>
      </w:r>
    </w:p>
    <w:p w14:paraId="34CBAA0B" w14:textId="77777777" w:rsidR="00B06D69" w:rsidRDefault="00B06D69" w:rsidP="00B06D69">
      <w:pPr>
        <w:pStyle w:val="Titre2"/>
      </w:pPr>
      <w:bookmarkStart w:id="2" w:name="_Toc52807440"/>
      <w:r>
        <w:t>Besoin</w:t>
      </w:r>
      <w:bookmarkEnd w:id="2"/>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36EA8BB9" w:rsidR="00B06D69" w:rsidRDefault="00B06D69" w:rsidP="00B06D69">
      <w:pPr>
        <w:pStyle w:val="Titre1"/>
      </w:pPr>
      <w:bookmarkStart w:id="3" w:name="_Toc52807441"/>
      <w:r>
        <w:t>Mise en place</w:t>
      </w:r>
      <w:bookmarkEnd w:id="3"/>
      <w:r w:rsidR="00A11B9A">
        <w:t xml:space="preserve"> à partir du code source</w:t>
      </w:r>
    </w:p>
    <w:p w14:paraId="5F38CAB3" w14:textId="77777777" w:rsidR="00B06D69" w:rsidRDefault="00B06D69" w:rsidP="00B06D69">
      <w:pPr>
        <w:pStyle w:val="Titre2"/>
      </w:pPr>
      <w:bookmarkStart w:id="4" w:name="_Toc52807442"/>
      <w:r>
        <w:t>Prérequis</w:t>
      </w:r>
      <w:bookmarkEnd w:id="4"/>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0E8ED4E3" w:rsidR="00B06D69" w:rsidRDefault="00B06D69" w:rsidP="00B06D69">
      <w:pPr>
        <w:pStyle w:val="Titre3"/>
      </w:pPr>
      <w:bookmarkStart w:id="5" w:name="_Toc52807443"/>
      <w:r>
        <w:t>Windows</w:t>
      </w:r>
      <w:bookmarkEnd w:id="5"/>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 xml:space="preserve">et </w:t>
      </w:r>
      <w:proofErr w:type="spellStart"/>
      <w:r w:rsidR="007E1580">
        <w:t>pyla</w:t>
      </w:r>
      <w:r w:rsidR="00603F0A">
        <w:t>u</w:t>
      </w:r>
      <w:r w:rsidR="007E1580">
        <w:t>ncher</w:t>
      </w:r>
      <w:proofErr w:type="spellEnd"/>
      <w:r w:rsidR="007E1580">
        <w:t xml:space="preserve">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6" w:name="_Toc52807444"/>
      <w:r>
        <w:t>Linux</w:t>
      </w:r>
      <w:bookmarkEnd w:id="6"/>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7" w:name="_Toc52807445"/>
      <w:r>
        <w:t>Modules python</w:t>
      </w:r>
      <w:r w:rsidR="00C36350">
        <w:t xml:space="preserve"> a installé avec PIP</w:t>
      </w:r>
      <w:bookmarkEnd w:id="7"/>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 xml:space="preserve">DOCXTPL =&gt; gestion de </w:t>
      </w:r>
      <w:proofErr w:type="spellStart"/>
      <w:r>
        <w:t>templates</w:t>
      </w:r>
      <w:proofErr w:type="spellEnd"/>
      <w:r>
        <w:t xml:space="preserve"> </w:t>
      </w:r>
      <w:proofErr w:type="spellStart"/>
      <w:r>
        <w:t>word</w:t>
      </w:r>
      <w:proofErr w:type="spellEnd"/>
    </w:p>
    <w:p w14:paraId="605B9B7F" w14:textId="77777777" w:rsidR="00B06D69" w:rsidRDefault="00B06D69" w:rsidP="00B06D69">
      <w:pPr>
        <w:pStyle w:val="Titre2"/>
      </w:pPr>
      <w:bookmarkStart w:id="8" w:name="_Toc52807446"/>
      <w:r>
        <w:t>Exécution</w:t>
      </w:r>
      <w:bookmarkEnd w:id="8"/>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9" w:name="_Toc52807447"/>
      <w:r>
        <w:t>Windows</w:t>
      </w:r>
      <w:bookmarkEnd w:id="9"/>
    </w:p>
    <w:p w14:paraId="3D67FC80" w14:textId="77777777" w:rsidR="00584948" w:rsidRDefault="00584948" w:rsidP="00584948">
      <w:r>
        <w:t xml:space="preserve">Dans un premier temps, créer un raccourci sur le fichier </w:t>
      </w:r>
      <w:proofErr w:type="spellStart"/>
      <w:r>
        <w:t>IHM.Pyw</w:t>
      </w:r>
      <w:proofErr w:type="spellEnd"/>
    </w:p>
    <w:p w14:paraId="72A3D3EC" w14:textId="77777777" w:rsidR="00584948" w:rsidRDefault="00AA6631"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AA6631" w:rsidP="00EF4128">
      <w:pPr>
        <w:jc w:val="center"/>
      </w:pPr>
      <w:r>
        <w:rPr>
          <w:noProof/>
          <w:lang w:eastAsia="fr-FR"/>
        </w:rPr>
        <w:lastRenderedPageBreak/>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AA6631"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0" w:name="_Toc52807448"/>
      <w:r>
        <w:lastRenderedPageBreak/>
        <w:t>Linux</w:t>
      </w:r>
      <w:bookmarkEnd w:id="10"/>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w:t>
      </w:r>
      <w:proofErr w:type="spellStart"/>
      <w:r w:rsidRPr="00EF4128">
        <w:rPr>
          <w:i/>
          <w:lang w:val="en-US"/>
        </w:rPr>
        <w:t>IHM.py</w:t>
      </w:r>
      <w:r w:rsidR="00F34A95">
        <w:rPr>
          <w:i/>
          <w:lang w:val="en-US"/>
        </w:rPr>
        <w:t>w</w:t>
      </w:r>
      <w:proofErr w:type="spellEnd"/>
    </w:p>
    <w:p w14:paraId="7ACBA35F" w14:textId="151ED69E" w:rsidR="00A11B9A" w:rsidRDefault="00A11B9A" w:rsidP="00B06D69">
      <w:pPr>
        <w:pStyle w:val="Titre1"/>
      </w:pPr>
      <w:bookmarkStart w:id="11" w:name="_Toc52807449"/>
      <w:r>
        <w:t>Mise en place de la version compilée</w:t>
      </w:r>
    </w:p>
    <w:p w14:paraId="127AAF38" w14:textId="4B9704C3" w:rsidR="00A11B9A" w:rsidRDefault="00A11B9A" w:rsidP="00A11B9A">
      <w:r>
        <w:t>La version compilée embarque toutes les briques nécessaires à son exécution. Elle se suffit à elle-même et ne nécessite aucune installation.</w:t>
      </w:r>
    </w:p>
    <w:p w14:paraId="4D0E8DDB" w14:textId="722BB990" w:rsidR="00A11B9A" w:rsidRDefault="00A11B9A" w:rsidP="00A11B9A">
      <w:r>
        <w:t>- Télécharger le fichier zip correspondant à votre version.</w:t>
      </w:r>
    </w:p>
    <w:p w14:paraId="4E27AD6C" w14:textId="3728FD23" w:rsidR="00A11B9A" w:rsidRDefault="00A11B9A" w:rsidP="00A11B9A">
      <w:r>
        <w:t xml:space="preserve">- </w:t>
      </w:r>
      <w:proofErr w:type="spellStart"/>
      <w:r>
        <w:t>Dézipper</w:t>
      </w:r>
      <w:proofErr w:type="spellEnd"/>
      <w:r>
        <w:t xml:space="preserve"> le fichier dans un répertoire</w:t>
      </w:r>
    </w:p>
    <w:p w14:paraId="2D2F2D88" w14:textId="28BDFC36" w:rsidR="00A11B9A" w:rsidRPr="00A11B9A" w:rsidRDefault="00A11B9A" w:rsidP="00A11B9A">
      <w:r>
        <w:t xml:space="preserve">- Exécuter le fichier </w:t>
      </w:r>
      <w:r w:rsidR="00BB5675">
        <w:t>THOR</w:t>
      </w:r>
      <w:r>
        <w:t>.exe</w:t>
      </w:r>
    </w:p>
    <w:p w14:paraId="4F5EBDFF" w14:textId="5EFF14BE" w:rsidR="0010273D" w:rsidRDefault="0010273D" w:rsidP="00B06D69">
      <w:pPr>
        <w:pStyle w:val="Titre1"/>
      </w:pPr>
      <w:r>
        <w:t>Configuration de THOR</w:t>
      </w:r>
      <w:bookmarkEnd w:id="11"/>
    </w:p>
    <w:p w14:paraId="24052F1C" w14:textId="1C7B1D71" w:rsidR="0010273D" w:rsidRDefault="0010273D" w:rsidP="0010273D">
      <w:r>
        <w:t>Toute la configuration de THOR se fait dans le fichier « </w:t>
      </w:r>
      <w:proofErr w:type="spellStart"/>
      <w:proofErr w:type="gramStart"/>
      <w:r w:rsidR="000A08D1">
        <w:rPr>
          <w:i/>
        </w:rPr>
        <w:t>xxxxx</w:t>
      </w:r>
      <w:r w:rsidRPr="0010273D">
        <w:rPr>
          <w:i/>
        </w:rPr>
        <w:t>.YAML</w:t>
      </w:r>
      <w:proofErr w:type="spellEnd"/>
      <w:proofErr w:type="gramEnd"/>
      <w:r>
        <w:rPr>
          <w:i/>
        </w:rPr>
        <w:t> »</w:t>
      </w:r>
      <w:r>
        <w:t>.</w:t>
      </w:r>
      <w:r w:rsidR="000A08D1">
        <w:t xml:space="preserve"> Ce fichier doit se trouver dans le répertoire de thor.exe ou </w:t>
      </w:r>
      <w:proofErr w:type="spellStart"/>
      <w:r w:rsidR="000A08D1">
        <w:t>IHM.pyw</w:t>
      </w:r>
      <w:proofErr w:type="spellEnd"/>
      <w:r w:rsidR="000A08D1">
        <w:t xml:space="preserve"> en fonction de la version compilée ou non utilisée.</w:t>
      </w:r>
    </w:p>
    <w:p w14:paraId="52B52B45" w14:textId="445FBB00" w:rsidR="000A08D1" w:rsidRDefault="000A08D1" w:rsidP="0010273D">
      <w:r>
        <w:t>Chaque fichier YAML correspond à un modèle Word. Il est possible d’avoir plusieurs fichier YAML, dans ce cas au démarrage de l’application celle-ci vous demandera d’en sélectionner 1. S’il n’y en a qu’un alors le script le sélectionnera automatiquement.</w:t>
      </w:r>
      <w:bookmarkStart w:id="12" w:name="_GoBack"/>
      <w:bookmarkEnd w:id="12"/>
    </w:p>
    <w:p w14:paraId="2795C5EB" w14:textId="3F649EEE" w:rsidR="00AA6631" w:rsidRDefault="00AA6631" w:rsidP="00AA6631">
      <w:pPr>
        <w:jc w:val="center"/>
      </w:pPr>
      <w:r>
        <w:rPr>
          <w:noProof/>
          <w:lang w:eastAsia="fr-FR"/>
        </w:rPr>
        <w:drawing>
          <wp:inline distT="0" distB="0" distL="0" distR="0" wp14:anchorId="3E8C30C8" wp14:editId="23383C0E">
            <wp:extent cx="1762125" cy="11715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171575"/>
                    </a:xfrm>
                    <a:prstGeom prst="rect">
                      <a:avLst/>
                    </a:prstGeom>
                  </pic:spPr>
                </pic:pic>
              </a:graphicData>
            </a:graphic>
          </wp:inline>
        </w:drawing>
      </w:r>
    </w:p>
    <w:p w14:paraId="1231F2FF" w14:textId="4B68BD51" w:rsidR="00AA6631" w:rsidRDefault="00AA6631" w:rsidP="00AA6631">
      <w:pPr>
        <w:pBdr>
          <w:top w:val="single" w:sz="4" w:space="1" w:color="auto"/>
          <w:left w:val="single" w:sz="4" w:space="4" w:color="auto"/>
          <w:bottom w:val="single" w:sz="4" w:space="1" w:color="auto"/>
          <w:right w:val="single" w:sz="4" w:space="4" w:color="auto"/>
        </w:pBdr>
        <w:shd w:val="clear" w:color="auto" w:fill="FFC000"/>
      </w:pPr>
      <w:r w:rsidRPr="00AA6631">
        <w:rPr>
          <w:b/>
        </w:rPr>
        <w:t>TIP</w:t>
      </w:r>
      <w:r>
        <w:t xml:space="preserve"> : Pour la suite de ce document, le fichier sélectionné s’appellera </w:t>
      </w:r>
      <w:proofErr w:type="spellStart"/>
      <w:proofErr w:type="gramStart"/>
      <w:r>
        <w:t>theme.YAML</w:t>
      </w:r>
      <w:proofErr w:type="spellEnd"/>
      <w:proofErr w:type="gramEnd"/>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201F37A5" w:rsidR="0010273D" w:rsidRDefault="0010273D" w:rsidP="0010273D">
      <w:pPr>
        <w:pStyle w:val="Paragraphedeliste"/>
        <w:numPr>
          <w:ilvl w:val="0"/>
          <w:numId w:val="9"/>
        </w:numPr>
      </w:pPr>
      <w:r>
        <w:t xml:space="preserve">L’activation ou non du mode </w:t>
      </w:r>
      <w:proofErr w:type="spellStart"/>
      <w:r>
        <w:t>debug</w:t>
      </w:r>
      <w:proofErr w:type="spellEnd"/>
    </w:p>
    <w:p w14:paraId="68A67394" w14:textId="4ECE254F" w:rsidR="00A11B9A" w:rsidRDefault="00A11B9A" w:rsidP="0010273D">
      <w:pPr>
        <w:pStyle w:val="Paragraphedeliste"/>
        <w:numPr>
          <w:ilvl w:val="0"/>
          <w:numId w:val="9"/>
        </w:numPr>
      </w:pPr>
      <w:r>
        <w:t>Le nombre de colonnes à ignorer à gauche des fichiers Excel. Ce script est utilisé avec Agile RM. Par défaut les exports contiennent une première colonne avec un numéro de clé que l’on ne souhaite pas importer dans Word. La première colonne est donc systématiquement ignorée. (Valeur par défaut 1)</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 xml:space="preserve">La déclaration des tableaux </w:t>
      </w:r>
      <w:proofErr w:type="spellStart"/>
      <w:r>
        <w:t>word</w:t>
      </w:r>
      <w:proofErr w:type="spellEnd"/>
    </w:p>
    <w:p w14:paraId="4B007C02" w14:textId="3A5429AA" w:rsidR="0010273D" w:rsidRDefault="0010273D" w:rsidP="0010273D">
      <w:pPr>
        <w:pStyle w:val="Paragraphedeliste"/>
        <w:numPr>
          <w:ilvl w:val="0"/>
          <w:numId w:val="9"/>
        </w:numPr>
      </w:pPr>
      <w:r>
        <w:t xml:space="preserve">La personnalisation éventuelle des tableaux </w:t>
      </w:r>
      <w:proofErr w:type="spellStart"/>
      <w:r>
        <w:t>word</w:t>
      </w:r>
      <w:proofErr w:type="spellEnd"/>
    </w:p>
    <w:p w14:paraId="655916F3" w14:textId="77777777" w:rsidR="0010273D" w:rsidRDefault="0010273D" w:rsidP="0010273D">
      <w:r>
        <w:t>Son format est en YAML est se construit sur 4 niveaux comme :</w:t>
      </w:r>
    </w:p>
    <w:p w14:paraId="7CEF4207" w14:textId="77777777"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gramStart"/>
      <w:r w:rsidRPr="00BB5675">
        <w:rPr>
          <w:lang w:val="en-GB"/>
        </w:rPr>
        <w:t>version</w:t>
      </w:r>
      <w:proofErr w:type="gramEnd"/>
      <w:r w:rsidRPr="00BB5675">
        <w:rPr>
          <w:lang w:val="en-GB"/>
        </w:rPr>
        <w:t>: 2.0</w:t>
      </w:r>
    </w:p>
    <w:p w14:paraId="3D1F1EE9" w14:textId="557A20DD"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gramStart"/>
      <w:r w:rsidRPr="00BB5675">
        <w:rPr>
          <w:lang w:val="en-GB"/>
        </w:rPr>
        <w:t>debug</w:t>
      </w:r>
      <w:proofErr w:type="gramEnd"/>
      <w:r w:rsidRPr="00BB5675">
        <w:rPr>
          <w:lang w:val="en-GB"/>
        </w:rPr>
        <w:t>: false</w:t>
      </w:r>
    </w:p>
    <w:p w14:paraId="7A44DF8C" w14:textId="77777777" w:rsidR="00A11B9A" w:rsidRPr="00BB5675" w:rsidRDefault="00A11B9A" w:rsidP="00A11B9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spellStart"/>
      <w:proofErr w:type="gramStart"/>
      <w:r w:rsidRPr="00BB5675">
        <w:rPr>
          <w:lang w:val="en-GB"/>
        </w:rPr>
        <w:lastRenderedPageBreak/>
        <w:t>nbColonnesIgnorees</w:t>
      </w:r>
      <w:proofErr w:type="spellEnd"/>
      <w:proofErr w:type="gramEnd"/>
      <w:r w:rsidRPr="00BB5675">
        <w:rPr>
          <w:lang w:val="en-GB"/>
        </w:rPr>
        <w:t>: 1</w:t>
      </w:r>
    </w:p>
    <w:p w14:paraId="494B9DF8" w14:textId="77777777" w:rsidR="00A11B9A" w:rsidRPr="00BB5675" w:rsidRDefault="00A11B9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
    <w:p w14:paraId="105D1BE7" w14:textId="77777777" w:rsidR="00741EEA" w:rsidRPr="00BB5675"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spellStart"/>
      <w:proofErr w:type="gramStart"/>
      <w:r w:rsidRPr="00BB5675">
        <w:rPr>
          <w:lang w:val="en-GB"/>
        </w:rPr>
        <w:t>modeles</w:t>
      </w:r>
      <w:proofErr w:type="spellEnd"/>
      <w:proofErr w:type="gramEnd"/>
      <w:r w:rsidRPr="00BB5675">
        <w:rPr>
          <w:lang w:val="en-GB"/>
        </w:rPr>
        <w:t>:</w:t>
      </w:r>
    </w:p>
    <w:p w14:paraId="25F14009" w14:textId="5718D9AC" w:rsidR="008B2656" w:rsidRPr="008B2656"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BB5675">
        <w:rPr>
          <w:lang w:val="en-GB"/>
        </w:rPr>
        <w:t xml:space="preserve">    </w:t>
      </w:r>
      <w:proofErr w:type="spellStart"/>
      <w:r>
        <w:t>Scénario_stratégique</w:t>
      </w:r>
      <w:proofErr w:type="spellEnd"/>
      <w:r>
        <w:t>: # Ne pas supprimer</w:t>
      </w:r>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type</w:t>
      </w:r>
      <w:proofErr w:type="gramEnd"/>
      <w:r>
        <w:t>: "</w:t>
      </w:r>
      <w:proofErr w:type="spellStart"/>
      <w:r>
        <w:t>generique</w:t>
      </w:r>
      <w:proofErr w:type="spellEnd"/>
      <w:r>
        <w:t>"</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extension</w:t>
      </w:r>
      <w:proofErr w:type="gramEnd"/>
      <w:r>
        <w:t>: "</w:t>
      </w:r>
      <w:proofErr w:type="spellStart"/>
      <w:r>
        <w:t>xls</w:t>
      </w:r>
      <w:proofErr w:type="spellEnd"/>
      <w:r>
        <w:t>"</w:t>
      </w:r>
    </w:p>
    <w:p w14:paraId="4D2684C3" w14:textId="77777777" w:rsidR="00741EEA"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proofErr w:type="gramStart"/>
      <w:r w:rsidRPr="0010273D">
        <w:t>echelles</w:t>
      </w:r>
      <w:proofErr w:type="spellEnd"/>
      <w:proofErr w:type="gramEnd"/>
      <w:r w:rsidRPr="0010273D">
        <w:t>:</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w:t>
      </w:r>
      <w:proofErr w:type="spellStart"/>
      <w:r w:rsidRPr="0010273D">
        <w:t>echelles</w:t>
      </w:r>
      <w:proofErr w:type="spellEnd"/>
      <w:r w:rsidRPr="0010273D">
        <w:t xml:space="preserve">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t xml:space="preserve">            </w:t>
      </w:r>
      <w:proofErr w:type="gramStart"/>
      <w:r w:rsidRPr="0010273D">
        <w:t>gravite</w:t>
      </w:r>
      <w:proofErr w:type="gramEnd"/>
      <w:r w:rsidRPr="0010273D">
        <w:t>:</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roofErr w:type="gramStart"/>
      <w:r w:rsidRPr="0010273D">
        <w:t>tableaux</w:t>
      </w:r>
      <w:proofErr w:type="gramEnd"/>
      <w:r w:rsidRPr="0010273D">
        <w:t>:</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w:t>
      </w:r>
      <w:proofErr w:type="spellStart"/>
      <w:r w:rsidRPr="0010273D">
        <w:t>Valeurs_Metiers</w:t>
      </w:r>
      <w:proofErr w:type="spellEnd"/>
      <w:r w:rsidRPr="0010273D">
        <w:t>:</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3" w:name="_Toc52807450"/>
      <w:r>
        <w:t>Niveau 1</w:t>
      </w:r>
      <w:bookmarkEnd w:id="13"/>
    </w:p>
    <w:p w14:paraId="08782F40" w14:textId="0FAA612D" w:rsidR="0010273D" w:rsidRDefault="0010273D" w:rsidP="0010273D">
      <w:r>
        <w:t xml:space="preserve">Si l’on omet </w:t>
      </w:r>
      <w:r w:rsidR="00E9739D">
        <w:t>les options de bases</w:t>
      </w:r>
      <w:r>
        <w:t xml:space="preserve">, le premier niveau ne contient que </w:t>
      </w:r>
      <w:r w:rsidR="00941CEB">
        <w:t>3</w:t>
      </w:r>
      <w:r>
        <w:t xml:space="preserve"> parties :</w:t>
      </w:r>
    </w:p>
    <w:p w14:paraId="5C220696" w14:textId="77777777" w:rsidR="00741EEA" w:rsidRDefault="00741EEA" w:rsidP="0010273D">
      <w:pPr>
        <w:pStyle w:val="Paragraphedeliste"/>
        <w:numPr>
          <w:ilvl w:val="0"/>
          <w:numId w:val="10"/>
        </w:numPr>
      </w:pPr>
      <w:proofErr w:type="spellStart"/>
      <w:r>
        <w:t>Modeles</w:t>
      </w:r>
      <w:proofErr w:type="spellEnd"/>
      <w:r>
        <w:t>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17FC80F1" w14:textId="77777777" w:rsidR="0010273D" w:rsidRDefault="00E60BF6" w:rsidP="00E60BF6">
      <w:pPr>
        <w:pStyle w:val="Titre2"/>
      </w:pPr>
      <w:bookmarkStart w:id="14" w:name="_Toc52807451"/>
      <w:r>
        <w:t>Niveau 2</w:t>
      </w:r>
      <w:bookmarkEnd w:id="14"/>
      <w:r w:rsidR="00741EEA">
        <w:t xml:space="preserve"> (échelles et tableaux)</w:t>
      </w:r>
    </w:p>
    <w:p w14:paraId="10679AA3" w14:textId="77777777" w:rsidR="0010273D" w:rsidRDefault="00AA6631"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5" w:name="_Toc52807452"/>
      <w:r>
        <w:t>Le niveau 3</w:t>
      </w:r>
      <w:bookmarkEnd w:id="15"/>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w:t>
      </w:r>
      <w:proofErr w:type="spellStart"/>
      <w:r w:rsidR="00262365">
        <w:t>Risk</w:t>
      </w:r>
      <w:proofErr w:type="spellEnd"/>
      <w:r w:rsidR="00262365">
        <w:t xml:space="preserve"> Manager »</w:t>
      </w:r>
      <w:r>
        <w:t xml:space="preserve">. </w:t>
      </w:r>
    </w:p>
    <w:p w14:paraId="5C283A86" w14:textId="77777777" w:rsidR="00262365" w:rsidRPr="00262365" w:rsidRDefault="00AA6631"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6" w:name="_Toc52807453"/>
      <w:r>
        <w:lastRenderedPageBreak/>
        <w:t>Niveau 4</w:t>
      </w:r>
      <w:bookmarkEnd w:id="16"/>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t>Pour une échelle</w:t>
      </w:r>
    </w:p>
    <w:p w14:paraId="45FB0818" w14:textId="77777777" w:rsidR="00C427C7" w:rsidRDefault="00AA6631"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t>Label</w:t>
      </w:r>
      <w:r>
        <w:t> : C’est le label qui sera affiché dans l’interface graphique pour le champ correspondant à ce tableau</w:t>
      </w:r>
    </w:p>
    <w:p w14:paraId="48ADAE9A" w14:textId="513AEC04" w:rsidR="00E9739D" w:rsidRDefault="00E9739D" w:rsidP="00C427C7">
      <w:pPr>
        <w:rPr>
          <w:b/>
          <w:u w:val="single"/>
        </w:rPr>
      </w:pPr>
      <w:proofErr w:type="spellStart"/>
      <w:r>
        <w:rPr>
          <w:b/>
          <w:u w:val="single"/>
        </w:rPr>
        <w:t>Tooltip</w:t>
      </w:r>
      <w:proofErr w:type="spellEnd"/>
      <w:r>
        <w:rPr>
          <w:b/>
          <w:u w:val="single"/>
        </w:rPr>
        <w:t xml:space="preserve"> : </w:t>
      </w:r>
      <w:r w:rsidRPr="00E9739D">
        <w:t>c’est le contenu de l’infobulle (aide) lors du survol du champ de saisi avec la souris</w:t>
      </w:r>
    </w:p>
    <w:p w14:paraId="286CDA43" w14:textId="165EAA08" w:rsidR="00C427C7" w:rsidRDefault="00C427C7" w:rsidP="00C427C7">
      <w:proofErr w:type="spellStart"/>
      <w:proofErr w:type="gramStart"/>
      <w:r w:rsidRPr="00C427C7">
        <w:rPr>
          <w:b/>
          <w:u w:val="single"/>
        </w:rPr>
        <w:t>enteteExcel</w:t>
      </w:r>
      <w:proofErr w:type="spellEnd"/>
      <w:proofErr w:type="gramEnd"/>
      <w:r>
        <w:t> : c’est le nombre de ligne que contient l’entête du tableau dans le  fichier Excel.</w:t>
      </w:r>
    </w:p>
    <w:p w14:paraId="6854C4A0" w14:textId="77777777" w:rsidR="00C427C7" w:rsidRDefault="00C427C7" w:rsidP="00C427C7">
      <w:proofErr w:type="spellStart"/>
      <w:proofErr w:type="gramStart"/>
      <w:r w:rsidRPr="00C427C7">
        <w:rPr>
          <w:b/>
          <w:u w:val="single"/>
        </w:rPr>
        <w:t>feuilleExcel</w:t>
      </w:r>
      <w:proofErr w:type="spellEnd"/>
      <w:proofErr w:type="gramEnd"/>
      <w:r>
        <w:t> : c’est le nom de la feuille de calcul dans le fichier Excel</w:t>
      </w:r>
    </w:p>
    <w:p w14:paraId="6B88B6EB" w14:textId="77777777" w:rsidR="00C427C7" w:rsidRDefault="00C427C7" w:rsidP="00C427C7">
      <w:proofErr w:type="gramStart"/>
      <w:r w:rsidRPr="00C427C7">
        <w:rPr>
          <w:b/>
          <w:u w:val="single"/>
        </w:rPr>
        <w:t>méthode</w:t>
      </w:r>
      <w:proofErr w:type="gramEnd"/>
      <w:r>
        <w:t> : ce champ peut contenir 2 valeurs :</w:t>
      </w:r>
    </w:p>
    <w:p w14:paraId="122EBB29" w14:textId="77777777" w:rsidR="00C427C7" w:rsidRDefault="00C427C7" w:rsidP="00931660">
      <w:pPr>
        <w:pStyle w:val="Paragraphedeliste"/>
      </w:pPr>
      <w:proofErr w:type="gramStart"/>
      <w:r w:rsidRPr="00C427C7">
        <w:rPr>
          <w:b/>
          <w:u w:val="single"/>
        </w:rPr>
        <w:t>fixe</w:t>
      </w:r>
      <w:proofErr w:type="gramEnd"/>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AA6631"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proofErr w:type="gramStart"/>
      <w:r>
        <w:rPr>
          <w:b/>
          <w:u w:val="single"/>
        </w:rPr>
        <w:t>c</w:t>
      </w:r>
      <w:r w:rsidRPr="00C427C7">
        <w:rPr>
          <w:b/>
          <w:u w:val="single"/>
        </w:rPr>
        <w:t>alculée</w:t>
      </w:r>
      <w:proofErr w:type="gramEnd"/>
      <w:r>
        <w:t> : la valeur est variable, une couleur correspond à une ensemble de valeur entre 2 seuils.</w:t>
      </w:r>
      <w:r w:rsidR="00CD100A">
        <w:t xml:space="preserve"> Le format du fichier Excel est figé est doit être comme suit :</w:t>
      </w:r>
    </w:p>
    <w:p w14:paraId="230A413C" w14:textId="77777777" w:rsidR="00CD100A" w:rsidRDefault="00AA6631"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proofErr w:type="spellStart"/>
      <w:r w:rsidR="00B21B00" w:rsidRPr="00B21B00">
        <w:rPr>
          <w:i/>
        </w:rPr>
        <w:t>evaluation_Parties_prenantes</w:t>
      </w:r>
      <w:proofErr w:type="spellEnd"/>
      <w:r w:rsidR="00B21B00">
        <w:t xml:space="preserve"> déclaré ci-dessous :</w:t>
      </w:r>
    </w:p>
    <w:p w14:paraId="049F31CB" w14:textId="77777777" w:rsidR="00CC1989" w:rsidRDefault="008163EF" w:rsidP="0010273D">
      <w:r>
        <w:rPr>
          <w:noProof/>
          <w:lang w:eastAsia="fr-FR"/>
        </w:rPr>
        <w:lastRenderedPageBreak/>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4">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proofErr w:type="spellStart"/>
      <w:r w:rsidRPr="437DCA25">
        <w:rPr>
          <w:b/>
          <w:bCs/>
          <w:u w:val="single"/>
        </w:rPr>
        <w:t>scenariosStrategiques</w:t>
      </w:r>
      <w:proofErr w:type="spellEnd"/>
      <w:r w:rsidRPr="437DCA25">
        <w:rPr>
          <w:b/>
          <w:bCs/>
          <w:u w:val="single"/>
        </w:rPr>
        <w:t>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proofErr w:type="spellStart"/>
      <w:proofErr w:type="gramStart"/>
      <w:r w:rsidRPr="00C427C7">
        <w:rPr>
          <w:b/>
          <w:u w:val="single"/>
        </w:rPr>
        <w:t>entete</w:t>
      </w:r>
      <w:r>
        <w:rPr>
          <w:b/>
          <w:u w:val="single"/>
        </w:rPr>
        <w:t>Word</w:t>
      </w:r>
      <w:proofErr w:type="spellEnd"/>
      <w:proofErr w:type="gramEnd"/>
      <w:r>
        <w:t>: c’est le nombre de ligne que contient l’entête du tableau dans le  rapport Word.</w:t>
      </w:r>
    </w:p>
    <w:p w14:paraId="3399B6AD" w14:textId="77777777" w:rsidR="00CC1989" w:rsidRDefault="00CC1989" w:rsidP="00CC1989">
      <w:pPr>
        <w:rPr>
          <w:b/>
          <w:u w:val="single"/>
        </w:rPr>
      </w:pPr>
      <w:proofErr w:type="spellStart"/>
      <w:proofErr w:type="gramStart"/>
      <w:r w:rsidRPr="00CC1989">
        <w:rPr>
          <w:b/>
          <w:u w:val="single"/>
        </w:rPr>
        <w:t>keyWord</w:t>
      </w:r>
      <w:proofErr w:type="spellEnd"/>
      <w:proofErr w:type="gramEnd"/>
      <w:r>
        <w:t> : c’est la clé utilisée dans le rapport Word pour identifier le tableau</w:t>
      </w:r>
    </w:p>
    <w:p w14:paraId="6C7DCAF3" w14:textId="77777777" w:rsidR="00CC1989" w:rsidRDefault="00CC1989" w:rsidP="00CC1989">
      <w:proofErr w:type="spellStart"/>
      <w:proofErr w:type="gramStart"/>
      <w:r w:rsidRPr="00C427C7">
        <w:rPr>
          <w:b/>
          <w:u w:val="single"/>
        </w:rPr>
        <w:t>enteteExcel</w:t>
      </w:r>
      <w:proofErr w:type="spellEnd"/>
      <w:proofErr w:type="gramEnd"/>
      <w:r>
        <w:t> : c’est le nombre de ligne que contient l’entête du tableau dans le  fichier Excel.</w:t>
      </w:r>
    </w:p>
    <w:p w14:paraId="1BDFE264" w14:textId="77777777" w:rsidR="00CC1989" w:rsidRDefault="00CC1989" w:rsidP="00CC1989">
      <w:proofErr w:type="spellStart"/>
      <w:proofErr w:type="gramStart"/>
      <w:r w:rsidRPr="00C427C7">
        <w:rPr>
          <w:b/>
          <w:u w:val="single"/>
        </w:rPr>
        <w:t>feuilleExcel</w:t>
      </w:r>
      <w:proofErr w:type="spellEnd"/>
      <w:proofErr w:type="gramEnd"/>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proofErr w:type="gramStart"/>
      <w:r w:rsidRPr="00CC1989">
        <w:rPr>
          <w:b/>
          <w:u w:val="single"/>
        </w:rPr>
        <w:t>style</w:t>
      </w:r>
      <w:proofErr w:type="gramEnd"/>
      <w:r>
        <w:t> : toutes les options se rapportant à la mise en forme du tableau dans le rapport Word :</w:t>
      </w:r>
    </w:p>
    <w:p w14:paraId="352FCA91" w14:textId="77777777" w:rsidR="00CC1989" w:rsidRDefault="00CC1989" w:rsidP="00CC1989">
      <w:r>
        <w:tab/>
      </w:r>
      <w:proofErr w:type="spellStart"/>
      <w:proofErr w:type="gramStart"/>
      <w:r w:rsidRPr="00CC1989">
        <w:rPr>
          <w:b/>
          <w:u w:val="single"/>
        </w:rPr>
        <w:t>borderWidth</w:t>
      </w:r>
      <w:proofErr w:type="spellEnd"/>
      <w:proofErr w:type="gramEnd"/>
      <w:r>
        <w:t> : taille des bordures des cellules du tableau</w:t>
      </w:r>
    </w:p>
    <w:p w14:paraId="6791A352" w14:textId="77777777" w:rsidR="00CC1989" w:rsidRDefault="00CC1989" w:rsidP="00CC1989">
      <w:r>
        <w:tab/>
      </w:r>
      <w:proofErr w:type="spellStart"/>
      <w:proofErr w:type="gramStart"/>
      <w:r w:rsidRPr="00CC1989">
        <w:rPr>
          <w:b/>
          <w:u w:val="single"/>
        </w:rPr>
        <w:t>borderColor</w:t>
      </w:r>
      <w:proofErr w:type="spellEnd"/>
      <w:proofErr w:type="gramEnd"/>
      <w:r>
        <w:t> : couleur des bordures au format hexadécimal</w:t>
      </w:r>
    </w:p>
    <w:p w14:paraId="34268411" w14:textId="77777777" w:rsidR="00CC1989" w:rsidRDefault="00CC1989" w:rsidP="00CC1989">
      <w:pPr>
        <w:ind w:firstLine="708"/>
      </w:pPr>
      <w:proofErr w:type="spellStart"/>
      <w:proofErr w:type="gramStart"/>
      <w:r w:rsidRPr="00CC1989">
        <w:rPr>
          <w:b/>
        </w:rPr>
        <w:t>textStyle</w:t>
      </w:r>
      <w:proofErr w:type="spellEnd"/>
      <w:proofErr w:type="gramEnd"/>
      <w:r>
        <w:t> : style du rapport Word à utiliser pour les cellule du tableau</w:t>
      </w:r>
    </w:p>
    <w:p w14:paraId="1C36DBEA" w14:textId="77777777" w:rsidR="00CC1989" w:rsidRDefault="00CC1989" w:rsidP="00CC1989">
      <w:pPr>
        <w:ind w:firstLine="708"/>
      </w:pPr>
      <w:proofErr w:type="gramStart"/>
      <w:r w:rsidRPr="00CC1989">
        <w:rPr>
          <w:b/>
          <w:u w:val="single"/>
        </w:rPr>
        <w:t>colonnes</w:t>
      </w:r>
      <w:proofErr w:type="gramEnd"/>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proofErr w:type="spellStart"/>
      <w:proofErr w:type="gramStart"/>
      <w:r w:rsidRPr="00CC1989">
        <w:rPr>
          <w:b/>
          <w:u w:val="single"/>
        </w:rPr>
        <w:t>backgroundColor</w:t>
      </w:r>
      <w:proofErr w:type="spellEnd"/>
      <w:proofErr w:type="gramEnd"/>
      <w:r>
        <w:t> : couleur de fond de la cellule au format hexadécimal</w:t>
      </w:r>
    </w:p>
    <w:p w14:paraId="57F0E42E" w14:textId="77777777" w:rsidR="00CC1989" w:rsidRDefault="00CC1989" w:rsidP="00931660">
      <w:pPr>
        <w:pStyle w:val="Paragraphedeliste"/>
        <w:numPr>
          <w:ilvl w:val="1"/>
          <w:numId w:val="11"/>
        </w:numPr>
      </w:pPr>
      <w:proofErr w:type="spellStart"/>
      <w:proofErr w:type="gramStart"/>
      <w:r w:rsidRPr="00CC1989">
        <w:rPr>
          <w:b/>
          <w:u w:val="single"/>
        </w:rPr>
        <w:t>echelle</w:t>
      </w:r>
      <w:proofErr w:type="spellEnd"/>
      <w:proofErr w:type="gramEnd"/>
      <w:r>
        <w:t> : nom de l’échelle de valeur à utiliser pour cette colonne</w:t>
      </w:r>
    </w:p>
    <w:p w14:paraId="3F5C4917" w14:textId="77777777" w:rsidR="00081775" w:rsidRDefault="00CC1989" w:rsidP="0010273D">
      <w:pPr>
        <w:pStyle w:val="Paragraphedeliste"/>
        <w:numPr>
          <w:ilvl w:val="1"/>
          <w:numId w:val="11"/>
        </w:numPr>
      </w:pPr>
      <w:proofErr w:type="spellStart"/>
      <w:proofErr w:type="gramStart"/>
      <w:r w:rsidRPr="00CC1989">
        <w:rPr>
          <w:b/>
          <w:u w:val="single"/>
        </w:rPr>
        <w:t>aligment</w:t>
      </w:r>
      <w:proofErr w:type="spellEnd"/>
      <w:proofErr w:type="gramEnd"/>
      <w:r>
        <w:t xml:space="preserve"> : permet de spécifier un alignement pour le texte au sein de la cellule, les valeurs possibles sont : </w:t>
      </w:r>
      <w:proofErr w:type="spellStart"/>
      <w:r w:rsidRPr="00931660">
        <w:rPr>
          <w:i/>
        </w:rPr>
        <w:t>left</w:t>
      </w:r>
      <w:proofErr w:type="spellEnd"/>
      <w:r w:rsidRPr="00931660">
        <w:rPr>
          <w:i/>
        </w:rPr>
        <w:t>, center,</w:t>
      </w:r>
      <w:r w:rsidR="00931660">
        <w:rPr>
          <w:i/>
        </w:rPr>
        <w:t xml:space="preserve"> </w:t>
      </w:r>
      <w:r w:rsidRPr="00931660">
        <w:rPr>
          <w:i/>
        </w:rPr>
        <w:t>right,</w:t>
      </w:r>
      <w:r w:rsidR="00931660">
        <w:rPr>
          <w:i/>
        </w:rPr>
        <w:t xml:space="preserve"> </w:t>
      </w:r>
      <w:proofErr w:type="spellStart"/>
      <w:r w:rsidRPr="00931660">
        <w:rPr>
          <w:i/>
        </w:rPr>
        <w:t>justify</w:t>
      </w:r>
      <w:proofErr w:type="spellEnd"/>
    </w:p>
    <w:p w14:paraId="26DD6DA0" w14:textId="77777777" w:rsidR="00B06D69" w:rsidRDefault="00B06D69" w:rsidP="0010273D">
      <w:pPr>
        <w:pStyle w:val="Titre1"/>
      </w:pPr>
      <w:bookmarkStart w:id="17" w:name="_Toc52807454"/>
      <w:r>
        <w:lastRenderedPageBreak/>
        <w:t>Utilisation</w:t>
      </w:r>
      <w:bookmarkEnd w:id="17"/>
    </w:p>
    <w:p w14:paraId="6B3C36D3" w14:textId="77777777" w:rsidR="00B06D69" w:rsidRDefault="00B06D69" w:rsidP="00B06D69">
      <w:pPr>
        <w:pStyle w:val="Titre2"/>
      </w:pPr>
      <w:bookmarkStart w:id="18" w:name="_Toc52807455"/>
      <w:r>
        <w:t>Les tableaux Excel</w:t>
      </w:r>
      <w:bookmarkEnd w:id="18"/>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77777777"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24A0A354"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00563364">
        <w:rPr>
          <w:b/>
          <w:bCs/>
          <w:i/>
          <w:color w:val="FF0000"/>
        </w:rPr>
        <w:t>Lors de l’export de certains tableaux Excel, la première colonne contient une clé d’identification qui n’est pas utilisé dans le rapport. C’est le cas par défaut pour cette application qui se base sur les exports de l’application de ALL4TEC. En conséquence, par défaut la première colonne des fichiers Excel est ignorée. Ce paramètre peut être personnalisé dans le fichier THEME</w:t>
      </w:r>
      <w:r w:rsidR="00A17195">
        <w:rPr>
          <w:b/>
          <w:bCs/>
          <w:i/>
          <w:color w:val="FF0000"/>
        </w:rPr>
        <w:t>.YAML</w:t>
      </w:r>
      <w:r w:rsidR="00563364">
        <w:rPr>
          <w:b/>
          <w:bCs/>
          <w:i/>
          <w:color w:val="FF0000"/>
        </w:rPr>
        <w:t>.</w:t>
      </w:r>
    </w:p>
    <w:p w14:paraId="23B3DAFB" w14:textId="77777777" w:rsidR="007E251A" w:rsidRDefault="007E251A" w:rsidP="007E251A">
      <w:pPr>
        <w:pStyle w:val="Titre2"/>
      </w:pPr>
      <w:bookmarkStart w:id="19" w:name="_Toc52807456"/>
      <w:r>
        <w:t>Les échelles</w:t>
      </w:r>
      <w:bookmarkEnd w:id="19"/>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20" w:name="_Toc52807457"/>
      <w:r>
        <w:t>Le modèle de rapport Word</w:t>
      </w:r>
      <w:bookmarkEnd w:id="20"/>
    </w:p>
    <w:p w14:paraId="1A0B3A9E" w14:textId="77777777" w:rsidR="00B06D69" w:rsidRDefault="00B06D69" w:rsidP="00B06D69">
      <w:pPr>
        <w:pStyle w:val="Titre3"/>
      </w:pPr>
      <w:bookmarkStart w:id="21" w:name="_Toc52807458"/>
      <w:r>
        <w:t>La mise en page</w:t>
      </w:r>
      <w:bookmarkEnd w:id="21"/>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2" w:name="_Toc52807459"/>
      <w:r>
        <w:t>La gestion des tableaux</w:t>
      </w:r>
      <w:bookmarkEnd w:id="22"/>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lastRenderedPageBreak/>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3" w:name="_Toc52807460"/>
      <w:r>
        <w:t>L’interface graphique</w:t>
      </w:r>
      <w:bookmarkEnd w:id="23"/>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w:t>
      </w:r>
      <w:proofErr w:type="spellStart"/>
      <w:r w:rsidR="0010273D">
        <w:t>search</w:t>
      </w:r>
      <w:proofErr w:type="spellEnd"/>
      <w:r w:rsidR="0010273D">
        <w:t>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w:t>
      </w:r>
      <w:proofErr w:type="spellStart"/>
      <w:r>
        <w:t>load</w:t>
      </w:r>
      <w:proofErr w:type="spellEnd"/>
      <w:r>
        <w:t xml:space="preserve">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lastRenderedPageBreak/>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w:t>
      </w:r>
      <w:proofErr w:type="spellStart"/>
      <w:r>
        <w:t>Generate</w:t>
      </w:r>
      <w:proofErr w:type="spellEnd"/>
      <w:r>
        <w:t>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2D3EEFF8"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w:t>
      </w:r>
      <w:proofErr w:type="spellStart"/>
      <w:r w:rsidR="00A71B06">
        <w:t>nbScenariosStratégiques</w:t>
      </w:r>
      <w:proofErr w:type="spellEnd"/>
      <w:r w:rsidR="00A71B06">
        <w:t xml:space="preserve">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w:t>
      </w:r>
      <w:r w:rsidR="00A17195">
        <w:t>a</w:t>
      </w:r>
      <w:r w:rsidR="00A71B06">
        <w:t xml:space="preserve"> mise en forme de ces tableaux se trouve dans les modèles du fichier YAML.</w:t>
      </w:r>
    </w:p>
    <w:p w14:paraId="3CF2D8B6" w14:textId="77777777" w:rsidR="00A71B06" w:rsidRDefault="00AA6631"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AA6631"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4" w:name="_Toc52807461"/>
      <w:r>
        <w:lastRenderedPageBreak/>
        <w:t>La génération du rapport</w:t>
      </w:r>
      <w:r w:rsidR="00603F0A">
        <w:t xml:space="preserve"> et la journalisation</w:t>
      </w:r>
      <w:bookmarkEnd w:id="24"/>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xml:space="preserve"> : le tableau Excel correspondant a été copié avec </w:t>
      </w:r>
      <w:proofErr w:type="spellStart"/>
      <w:r>
        <w:t>succé</w:t>
      </w:r>
      <w:proofErr w:type="spellEnd"/>
      <w:r>
        <w:t xml:space="preserve">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 xml:space="preserve">ERROR : </w:t>
      </w:r>
      <w:proofErr w:type="spellStart"/>
      <w:r w:rsidRPr="00C36350">
        <w:rPr>
          <w:u w:val="single"/>
        </w:rPr>
        <w:t>xxxx</w:t>
      </w:r>
      <w:proofErr w:type="spellEnd"/>
      <w:r w:rsidRPr="00C36350">
        <w:rPr>
          <w:u w:val="single"/>
        </w:rPr>
        <w:t> </w:t>
      </w:r>
      <w:r>
        <w:t>: Une erreur est survenue dans le traitement du rapport.</w:t>
      </w:r>
    </w:p>
    <w:p w14:paraId="1FC39945" w14:textId="77777777" w:rsidR="00C36350" w:rsidRDefault="00AA6631" w:rsidP="00C36350">
      <w:pPr>
        <w:pStyle w:val="Paragraphedeliste"/>
        <w:numPr>
          <w:ilvl w:val="0"/>
          <w:numId w:val="7"/>
        </w:numPr>
        <w:jc w:val="center"/>
      </w:pPr>
      <w:r>
        <w:rPr>
          <w:noProof/>
          <w:lang w:eastAsia="fr-FR"/>
        </w:rPr>
        <w:pict w14:anchorId="1503AC1A">
          <v:rect id="Rectangle 15" o:spid="_x0000_s1029" style="position:absolute;left:0;text-align:left;margin-left:3747.9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 xml:space="preserve">A la fin du traitement, un </w:t>
      </w:r>
      <w:proofErr w:type="spellStart"/>
      <w:r>
        <w:t>popup</w:t>
      </w:r>
      <w:proofErr w:type="spellEnd"/>
      <w:r>
        <w:t xml:space="preserve">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3">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2"/>
  </w:compat>
  <w:rsids>
    <w:rsidRoot w:val="0073453B"/>
    <w:rsid w:val="00061C11"/>
    <w:rsid w:val="00081775"/>
    <w:rsid w:val="000A08D1"/>
    <w:rsid w:val="0010273D"/>
    <w:rsid w:val="00262365"/>
    <w:rsid w:val="003A293F"/>
    <w:rsid w:val="003F7A0F"/>
    <w:rsid w:val="00425608"/>
    <w:rsid w:val="005146B8"/>
    <w:rsid w:val="00563364"/>
    <w:rsid w:val="00584948"/>
    <w:rsid w:val="00603F0A"/>
    <w:rsid w:val="0065019E"/>
    <w:rsid w:val="00675663"/>
    <w:rsid w:val="00680639"/>
    <w:rsid w:val="0073453B"/>
    <w:rsid w:val="00741EEA"/>
    <w:rsid w:val="00766535"/>
    <w:rsid w:val="007E1580"/>
    <w:rsid w:val="007E251A"/>
    <w:rsid w:val="00814B9A"/>
    <w:rsid w:val="008163EF"/>
    <w:rsid w:val="00831675"/>
    <w:rsid w:val="008B2656"/>
    <w:rsid w:val="00901756"/>
    <w:rsid w:val="00931660"/>
    <w:rsid w:val="00941CEB"/>
    <w:rsid w:val="00990A42"/>
    <w:rsid w:val="00A11920"/>
    <w:rsid w:val="00A11B9A"/>
    <w:rsid w:val="00A17195"/>
    <w:rsid w:val="00A71B06"/>
    <w:rsid w:val="00AA6631"/>
    <w:rsid w:val="00B06D69"/>
    <w:rsid w:val="00B21B00"/>
    <w:rsid w:val="00BB5675"/>
    <w:rsid w:val="00C36350"/>
    <w:rsid w:val="00C427C7"/>
    <w:rsid w:val="00C85C04"/>
    <w:rsid w:val="00CC1989"/>
    <w:rsid w:val="00CD100A"/>
    <w:rsid w:val="00D666B4"/>
    <w:rsid w:val="00D75264"/>
    <w:rsid w:val="00D83995"/>
    <w:rsid w:val="00DA4534"/>
    <w:rsid w:val="00DB71BF"/>
    <w:rsid w:val="00E36F38"/>
    <w:rsid w:val="00E60BF6"/>
    <w:rsid w:val="00E9739D"/>
    <w:rsid w:val="00E9755E"/>
    <w:rsid w:val="00EF0B5B"/>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Rectangle 12"/>
        <o:r id="V:Rule2" type="callout" idref="#Rectangle 19"/>
        <o:r id="V:Rule3" type="connector" idref="#Connecteur droit avec flèche 3"/>
        <o:r id="V:Rule4" type="connector" idref="#Connecteur droit avec flèche 33"/>
        <o:r id="V:Rule5" type="connector" idref="#Connecteur droit avec flèche 27"/>
        <o:r id="V:Rule6" type="connector" idref="#Connecteur droit avec flèche 4"/>
        <o:r id="V:Rule7" type="connector" idref="#Connecteur droit avec flèche 7"/>
        <o:r id="V:Rule8"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7D6F3-9B84-4232-AAC8-7B312EED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2437</Words>
  <Characters>13406</Characters>
  <Application>Microsoft Office Word</Application>
  <DocSecurity>0</DocSecurity>
  <Lines>111</Lines>
  <Paragraphs>31</Paragraphs>
  <ScaleCrop>false</ScaleCrop>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Sébastien REY</cp:lastModifiedBy>
  <cp:revision>36</cp:revision>
  <dcterms:created xsi:type="dcterms:W3CDTF">2020-10-03T11:21:00Z</dcterms:created>
  <dcterms:modified xsi:type="dcterms:W3CDTF">2021-06-04T08:16:00Z</dcterms:modified>
</cp:coreProperties>
</file>