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jpeg" ContentType="image/jpeg"/>
  <Override PartName="/word/media/image3.jpeg" ContentType="image/jpeg"/>
  <Override PartName="/word/media/image6.png" ContentType="image/pn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40" w:after="0"/>
        <w:jc w:val="center"/>
        <w:rPr>
          <w:b/>
          <w:b/>
          <w:smallCaps/>
          <w:color w:val="00000A"/>
          <w:sz w:val="48"/>
          <w:szCs w:val="48"/>
          <w:lang w:val="is-IS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posOffset>1143000</wp:posOffset>
            </wp:positionV>
            <wp:extent cx="5019675" cy="5039360"/>
            <wp:effectExtent l="0" t="0" r="0" b="0"/>
            <wp:wrapSquare wrapText="bothSides"/>
            <wp:docPr id="1" name="Picture 1" descr="http://www.ru.is/media/hr/skjol/default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www.ru.is/media/hr/skjol/default_whit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3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mallCaps/>
          <w:color w:val="00000A"/>
          <w:sz w:val="48"/>
          <w:szCs w:val="48"/>
          <w:lang w:val="is-IS"/>
        </w:rPr>
        <w:t>S</w:t>
      </w:r>
      <w:r>
        <w:rPr>
          <w:b/>
          <w:smallCaps/>
          <w:color w:val="00000A"/>
          <w:sz w:val="48"/>
          <w:szCs w:val="48"/>
          <w:lang w:val="is-IS"/>
        </w:rPr>
        <w:t>kilaverkefni 2</w:t>
        <w:br/>
        <w:t>Hraðareglun DC mótors</w:t>
      </w:r>
    </w:p>
    <w:p>
      <w:pPr>
        <w:pStyle w:val="Normal"/>
        <w:spacing w:lineRule="auto" w:line="360"/>
        <w:rPr>
          <w:lang w:val="is-IS"/>
        </w:rPr>
      </w:pPr>
      <w:r>
        <w:rPr>
          <w:lang w:val="is-IS"/>
        </w:rPr>
      </w:r>
    </w:p>
    <w:p>
      <w:pPr>
        <w:pStyle w:val="Normal"/>
        <w:spacing w:lineRule="auto" w:line="360"/>
        <w:rPr>
          <w:lang w:val="is-IS"/>
        </w:rPr>
      </w:pPr>
      <w:r>
        <w:rPr>
          <w:lang w:val="is-IS"/>
        </w:rPr>
      </w:r>
    </w:p>
    <w:p>
      <w:pPr>
        <w:pStyle w:val="Heading2"/>
        <w:spacing w:lineRule="auto" w:line="360"/>
        <w:jc w:val="center"/>
        <w:rPr>
          <w:color w:val="00000A"/>
          <w:lang w:val="is-IS"/>
        </w:rPr>
      </w:pPr>
      <w:r>
        <w:rPr>
          <w:color w:val="00000A"/>
          <w:lang w:val="is-IS"/>
        </w:rPr>
        <w:t>Kristófer Reykjalín Þorláksson, Róbert Bjarnar Ólafsson, Stefán Óli Valdimarsson</w:t>
      </w:r>
    </w:p>
    <w:p>
      <w:pPr>
        <w:pStyle w:val="Normal"/>
        <w:spacing w:lineRule="auto" w:line="360"/>
        <w:jc w:val="right"/>
        <w:rPr>
          <w:lang w:val="is-IS"/>
        </w:rPr>
      </w:pPr>
      <w:r>
        <w:rPr>
          <w:lang w:val="is-IS"/>
        </w:rPr>
      </w:r>
    </w:p>
    <w:p>
      <w:pPr>
        <w:pStyle w:val="Normal"/>
        <w:spacing w:lineRule="auto" w:line="360"/>
        <w:jc w:val="right"/>
        <w:rPr>
          <w:lang w:val="is-IS"/>
        </w:rPr>
      </w:pPr>
      <w:r>
        <w:rPr>
          <w:lang w:val="is-IS"/>
        </w:rPr>
        <w:t>T-501-REGL Reglunarfræði</w:t>
      </w:r>
    </w:p>
    <w:p>
      <w:pPr>
        <w:pStyle w:val="Normal"/>
        <w:tabs>
          <w:tab w:val="left" w:pos="6600" w:leader="none"/>
        </w:tabs>
        <w:spacing w:lineRule="auto" w:line="360"/>
        <w:jc w:val="right"/>
        <w:rPr>
          <w:lang w:val="is-IS"/>
        </w:rPr>
      </w:pPr>
      <w:r>
        <w:rPr>
          <w:lang w:val="is-IS"/>
        </w:rPr>
        <w:t>Kennarar:</w:t>
      </w:r>
    </w:p>
    <w:p>
      <w:pPr>
        <w:pStyle w:val="Normal"/>
        <w:tabs>
          <w:tab w:val="left" w:pos="6600" w:leader="none"/>
        </w:tabs>
        <w:spacing w:lineRule="auto" w:line="360"/>
        <w:jc w:val="right"/>
        <w:rPr>
          <w:lang w:val="is-IS"/>
        </w:rPr>
      </w:pPr>
      <w:r>
        <w:rPr>
          <w:lang w:val="is-IS"/>
        </w:rPr>
        <w:t>Þorgeir Pálsson</w:t>
      </w:r>
    </w:p>
    <w:p>
      <w:pPr>
        <w:pStyle w:val="Normal"/>
        <w:spacing w:lineRule="auto" w:line="360"/>
        <w:jc w:val="right"/>
        <w:rPr>
          <w:lang w:val="is-IS"/>
        </w:rPr>
      </w:pPr>
      <w:r>
        <w:rPr>
          <w:lang w:val="is-IS"/>
        </w:rPr>
        <w:t>Davíð Örn Jóhannesson</w:t>
      </w:r>
    </w:p>
    <w:p>
      <w:pPr>
        <w:pStyle w:val="Heading1"/>
        <w:spacing w:lineRule="auto" w:line="360"/>
        <w:rPr>
          <w:color w:val="00000A"/>
          <w:lang w:val="is-IS"/>
        </w:rPr>
      </w:pPr>
      <w:r>
        <w:rPr>
          <w:color w:val="00000A"/>
          <w:lang w:val="is-IS"/>
        </w:rPr>
        <w:t>Verkefnalýsing</w:t>
      </w:r>
    </w:p>
    <w:p>
      <w:pPr>
        <w:pStyle w:val="Normal"/>
        <w:spacing w:lineRule="auto" w:line="360"/>
        <w:rPr/>
      </w:pPr>
      <w:r>
        <w:rPr>
          <w:lang w:val="is-IS"/>
        </w:rPr>
        <w:t xml:space="preserve">Markmið verkefnisins er að hanna PI reglunarbúnað fyrir </w:t>
      </w:r>
      <w:r>
        <w:rPr>
          <w:lang w:val="is-IS"/>
        </w:rPr>
        <w:t>DC</w:t>
      </w:r>
      <w:r>
        <w:rPr>
          <w:lang w:val="is-IS"/>
        </w:rPr>
        <w:t xml:space="preserve"> m</w:t>
      </w:r>
      <w:r>
        <w:rPr>
          <w:lang w:val="is-IS"/>
        </w:rPr>
        <w:t>ó</w:t>
      </w:r>
      <w:r>
        <w:rPr>
          <w:lang w:val="is-IS"/>
        </w:rPr>
        <w:t xml:space="preserve">tor þannig að hann geti haldið föstum </w:t>
      </w:r>
      <w:r>
        <w:rPr>
          <w:lang w:val="is-IS"/>
        </w:rPr>
        <w:t>h</w:t>
      </w:r>
      <w:r>
        <w:rPr>
          <w:lang w:val="is-IS"/>
        </w:rPr>
        <w:t xml:space="preserve">raða á bilinu 50 til 100 rad/s ásamt því að geta fylgt eftir rampfalli sem vex og dafnar milli 0 og 100 rad/s. Finna þarf yfirfærslufall mótorsins með mælingum og </w:t>
      </w:r>
      <w:r>
        <w:rPr>
          <w:lang w:val="is-IS"/>
        </w:rPr>
        <w:t>b</w:t>
      </w:r>
      <w:r>
        <w:rPr>
          <w:lang w:val="is-IS"/>
        </w:rPr>
        <w:t>era það sem við fræðilegt líkan, sem fengið er með eftirfarandi gildum:</w:t>
      </w:r>
    </w:p>
    <w:tbl>
      <w:tblPr>
        <w:tblStyle w:val="TableGrid"/>
        <w:tblW w:w="633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9"/>
        <w:gridCol w:w="3472"/>
        <w:gridCol w:w="1172"/>
        <w:gridCol w:w="1027"/>
      </w:tblGrid>
      <w:tr>
        <w:trPr/>
        <w:tc>
          <w:tcPr>
            <w:tcW w:w="65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is-IS"/>
              </w:rPr>
            </w:pPr>
            <w:r>
              <w:rPr>
                <w:b/>
                <w:lang w:val="is-IS"/>
              </w:rPr>
              <w:t>Tákn</w:t>
            </w:r>
          </w:p>
        </w:tc>
        <w:tc>
          <w:tcPr>
            <w:tcW w:w="34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is-IS"/>
              </w:rPr>
            </w:pPr>
            <w:r>
              <w:rPr>
                <w:b/>
                <w:lang w:val="is-IS"/>
              </w:rPr>
              <w:t>Lýsing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is-IS"/>
              </w:rPr>
            </w:pPr>
            <w:r>
              <w:rPr>
                <w:b/>
                <w:lang w:val="is-IS"/>
              </w:rPr>
              <w:t>Gildi</w:t>
            </w:r>
          </w:p>
        </w:tc>
        <w:tc>
          <w:tcPr>
            <w:tcW w:w="102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is-IS"/>
              </w:rPr>
            </w:pPr>
            <w:r>
              <w:rPr>
                <w:b/>
                <w:lang w:val="is-IS"/>
              </w:rPr>
              <w:t>Eining</w:t>
            </w:r>
          </w:p>
        </w:tc>
      </w:tr>
      <w:tr>
        <w:trPr/>
        <w:tc>
          <w:tcPr>
            <w:tcW w:w="65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lang w:val="is-I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  <w:tc>
          <w:tcPr>
            <w:tcW w:w="34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Viðnám mótors</w:t>
            </w:r>
          </w:p>
        </w:tc>
        <w:tc>
          <w:tcPr>
            <w:tcW w:w="11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2,30</w:t>
            </w:r>
          </w:p>
        </w:tc>
        <w:tc>
          <w:tcPr>
            <w:tcW w:w="102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Ohm</w:t>
            </w:r>
          </w:p>
        </w:tc>
      </w:tr>
      <w:tr>
        <w:trPr/>
        <w:tc>
          <w:tcPr>
            <w:tcW w:w="65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oMath>
          </w:p>
        </w:tc>
        <w:tc>
          <w:tcPr>
            <w:tcW w:w="34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Vægisstuðull mótors</w:t>
            </w:r>
          </w:p>
        </w:tc>
        <w:tc>
          <w:tcPr>
            <w:tcW w:w="11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0,020</w:t>
            </w:r>
          </w:p>
        </w:tc>
        <w:tc>
          <w:tcPr>
            <w:tcW w:w="102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Nm/A</w:t>
            </w:r>
          </w:p>
        </w:tc>
      </w:tr>
      <w:tr>
        <w:trPr/>
        <w:tc>
          <w:tcPr>
            <w:tcW w:w="65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lang w:val="is-I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  <w:tc>
          <w:tcPr>
            <w:tcW w:w="34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Spanstuðull mótors</w:t>
            </w:r>
          </w:p>
        </w:tc>
        <w:tc>
          <w:tcPr>
            <w:tcW w:w="11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0,020</w:t>
            </w:r>
          </w:p>
        </w:tc>
        <w:tc>
          <w:tcPr>
            <w:tcW w:w="102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V/(rad/s)</w:t>
            </w:r>
          </w:p>
        </w:tc>
      </w:tr>
      <w:tr>
        <w:trPr/>
        <w:tc>
          <w:tcPr>
            <w:tcW w:w="65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oMath>
          </w:p>
        </w:tc>
        <w:tc>
          <w:tcPr>
            <w:tcW w:w="34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Snúningstregðuvægi motors og hjóls</w:t>
            </w:r>
          </w:p>
        </w:tc>
        <w:tc>
          <w:tcPr>
            <w:tcW w:w="11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155*10^-6</w:t>
            </w:r>
          </w:p>
        </w:tc>
        <w:tc>
          <w:tcPr>
            <w:tcW w:w="102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Kg m^2</w:t>
            </w:r>
          </w:p>
        </w:tc>
      </w:tr>
      <w:tr>
        <w:trPr/>
        <w:tc>
          <w:tcPr>
            <w:tcW w:w="65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oMath>
          </w:p>
        </w:tc>
        <w:tc>
          <w:tcPr>
            <w:tcW w:w="34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Mesta spenna magnara</w:t>
            </w:r>
          </w:p>
        </w:tc>
        <w:tc>
          <w:tcPr>
            <w:tcW w:w="11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24</w:t>
            </w:r>
          </w:p>
        </w:tc>
        <w:tc>
          <w:tcPr>
            <w:tcW w:w="102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V</w:t>
            </w:r>
          </w:p>
        </w:tc>
      </w:tr>
      <w:tr>
        <w:trPr>
          <w:trHeight w:val="70" w:hRule="atLeast"/>
        </w:trPr>
        <w:tc>
          <w:tcPr>
            <w:tcW w:w="65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oMath>
          </w:p>
        </w:tc>
        <w:tc>
          <w:tcPr>
            <w:tcW w:w="34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Mesti staumur magnara</w:t>
            </w:r>
          </w:p>
        </w:tc>
        <w:tc>
          <w:tcPr>
            <w:tcW w:w="11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02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>
        <w:trPr/>
        <w:tc>
          <w:tcPr>
            <w:tcW w:w="6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</w:p>
        </w:tc>
        <w:tc>
          <w:tcPr>
            <w:tcW w:w="347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Spennumögnun magnara</w:t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2,3</w:t>
            </w:r>
          </w:p>
        </w:tc>
        <w:tc>
          <w:tcPr>
            <w:tcW w:w="10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360" w:before="0" w:after="0"/>
              <w:rPr>
                <w:lang w:val="is-IS"/>
              </w:rPr>
            </w:pPr>
            <w:r>
              <w:rPr>
                <w:lang w:val="is-IS"/>
              </w:rPr>
              <w:t>V/V</w:t>
            </w:r>
          </w:p>
        </w:tc>
      </w:tr>
    </w:tbl>
    <w:p>
      <w:pPr>
        <w:pStyle w:val="Caption1"/>
        <w:spacing w:lineRule="auto" w:line="360"/>
        <w:jc w:val="center"/>
        <w:rPr/>
      </w:pPr>
      <w:r>
        <w:rPr>
          <w:color w:val="00000A"/>
          <w:lang w:val="is-IS"/>
        </w:rPr>
        <w:t xml:space="preserve">Tafla </w:t>
      </w:r>
      <w:r>
        <w:rPr>
          <w:color w:val="00000A"/>
          <w:lang w:val="is-IS"/>
        </w:rPr>
        <w:fldChar w:fldCharType="begin"/>
      </w:r>
      <w:r>
        <w:instrText> SEQ Tafla \* ARABIC 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is-IS"/>
        </w:rPr>
        <w:t xml:space="preserve"> - tæknilegir eiginleikar DC mótors og magnara</w:t>
      </w:r>
    </w:p>
    <w:p>
      <w:pPr>
        <w:pStyle w:val="Normal"/>
        <w:spacing w:lineRule="auto" w:line="360"/>
        <w:rPr/>
      </w:pPr>
      <w:r>
        <w:rPr>
          <w:lang w:val="is-IS"/>
        </w:rPr>
        <w:t>Verkefni</w:t>
      </w:r>
      <w:r>
        <w:rPr>
          <w:lang w:val="is-IS"/>
        </w:rPr>
        <w:t>nu</w:t>
      </w:r>
      <w:r>
        <w:rPr>
          <w:lang w:val="is-IS"/>
        </w:rPr>
        <w:t xml:space="preserve"> má skipta niður í 3 liði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is-IS"/>
        </w:rPr>
      </w:pPr>
      <w:r>
        <w:rPr>
          <w:lang w:val="is-IS"/>
        </w:rPr>
        <w:t xml:space="preserve">Finna yfirfærlsufall DC mótorsins út frá mælingum án afturverkunnar. Gera má ráð fyrir að notast megi við 1. gráðu yfirfærslufall milli hraða og innspennu. Bera skal niðurstöður prófanna </w:t>
      </w:r>
      <w:r>
        <w:rPr>
          <w:lang w:val="is-IS"/>
        </w:rPr>
        <w:t>saman</w:t>
      </w:r>
      <w:r>
        <w:rPr>
          <w:lang w:val="is-IS"/>
        </w:rPr>
        <w:t xml:space="preserve"> við yfirfærslufall sem fundið er út frá tæknilegum upplýsingum mótorsins og magnarans. Styðjast skal við jöfnu 2.70 í kennslubók og nota CDT eða Simulink til að reikna svörun líkansisn.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is-IS"/>
        </w:rPr>
      </w:pPr>
      <w:r>
        <w:rPr>
          <w:lang w:val="is-IS"/>
        </w:rPr>
        <w:t>Tengja skal afturverkunina og skoða stöðugar skekkjur þegar innmerkið er þrep fall, þ.e. kassabylgja með lágri tíðni. Rásin skal vera lokuð en velja skal a.m.k. 2 gildi fyrir K</w:t>
      </w:r>
      <w:r>
        <w:rPr>
          <w:vertAlign w:val="subscript"/>
          <w:lang w:val="is-IS"/>
        </w:rPr>
        <w:t>P</w:t>
      </w:r>
      <w:r>
        <w:rPr>
          <w:lang w:val="is-IS"/>
        </w:rPr>
        <w:t xml:space="preserve"> og engin tegrun skal vera til staðar (K</w:t>
      </w:r>
      <w:r>
        <w:rPr>
          <w:vertAlign w:val="subscript"/>
          <w:lang w:val="is-IS"/>
        </w:rPr>
        <w:t>I</w:t>
      </w:r>
      <w:r>
        <w:rPr>
          <w:lang w:val="is-IS"/>
        </w:rPr>
        <w:t xml:space="preserve"> = 0)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is-IS"/>
        </w:rPr>
      </w:pPr>
      <w:r>
        <w:rPr>
          <w:lang w:val="is-IS"/>
        </w:rPr>
        <w:t>Finna skal viðeigandi gildi fyrir PI-reglin þannig að æstæð skekkja minnki og yfirskotið við þrepmerkið sé hóflegt. Bera skal niðurstöður saman við hermun á líkaninu hvað varðar yfirskot og settíma. Byrja skal að hafa K</w:t>
      </w:r>
      <w:r>
        <w:rPr>
          <w:vertAlign w:val="subscript"/>
          <w:lang w:val="is-IS"/>
        </w:rPr>
        <w:t>I</w:t>
      </w:r>
      <w:r>
        <w:rPr>
          <w:lang w:val="is-IS"/>
        </w:rPr>
        <w:t xml:space="preserve"> = K</w:t>
      </w:r>
      <w:r>
        <w:rPr>
          <w:vertAlign w:val="subscript"/>
          <w:lang w:val="is-IS"/>
        </w:rPr>
        <w:t>P</w:t>
      </w:r>
      <w:r>
        <w:rPr>
          <w:lang w:val="is-IS"/>
        </w:rPr>
        <w:t xml:space="preserve"> og síðan má hækka þetta hlutfall í t.d. K</w:t>
      </w:r>
      <w:r>
        <w:rPr>
          <w:vertAlign w:val="subscript"/>
          <w:lang w:val="is-IS"/>
        </w:rPr>
        <w:t>I</w:t>
      </w:r>
      <w:r>
        <w:rPr>
          <w:lang w:val="is-IS"/>
        </w:rPr>
        <w:t xml:space="preserve"> = 2K</w:t>
      </w:r>
      <w:r>
        <w:rPr>
          <w:vertAlign w:val="subscript"/>
          <w:lang w:val="is-IS"/>
        </w:rPr>
        <w:t>P</w:t>
      </w:r>
      <w:r>
        <w:rPr>
          <w:lang w:val="is-IS"/>
        </w:rPr>
        <w:t>.</w:t>
      </w:r>
    </w:p>
    <w:p>
      <w:pPr>
        <w:pStyle w:val="Normal"/>
        <w:spacing w:lineRule="auto" w:line="360"/>
        <w:ind w:left="360" w:hanging="0"/>
        <w:rPr>
          <w:b/>
          <w:b/>
          <w:u w:val="single"/>
          <w:lang w:val="is-IS"/>
        </w:rPr>
      </w:pPr>
      <w:r>
        <w:rPr>
          <w:b/>
          <w:u w:val="single"/>
          <w:lang w:val="is-IS"/>
        </w:rPr>
        <w:t>Lýsing á kerfinu, forsendur reikninga, reiknimódel, hermilíkan og niðurstöður skulu koma fram!!</w:t>
      </w:r>
    </w:p>
    <w:p>
      <w:pPr>
        <w:pStyle w:val="Normal"/>
        <w:spacing w:lineRule="auto" w:line="360"/>
        <w:rPr>
          <w:b/>
          <w:b/>
          <w:u w:val="single"/>
          <w:lang w:val="is-IS"/>
        </w:rPr>
      </w:pPr>
      <w:r>
        <w:rPr>
          <w:b/>
          <w:u w:val="single"/>
          <w:lang w:val="is-IS"/>
        </w:rPr>
      </w:r>
    </w:p>
    <w:p>
      <w:pPr>
        <w:pStyle w:val="Normal"/>
        <w:spacing w:lineRule="auto" w:line="360"/>
        <w:ind w:left="360" w:hanging="0"/>
        <w:rPr>
          <w:lang w:val="is-IS"/>
        </w:rPr>
      </w:pPr>
      <w:r>
        <w:rPr>
          <w:lang w:val="is-IS"/>
        </w:rPr>
      </w:r>
    </w:p>
    <w:p>
      <w:pPr>
        <w:pStyle w:val="Normal"/>
        <w:spacing w:lineRule="auto" w:line="360"/>
        <w:rPr>
          <w:rStyle w:val="Heading1Char"/>
          <w:color w:val="00000A"/>
        </w:rPr>
      </w:pPr>
      <w:r>
        <w:rPr>
          <w:rStyle w:val="Heading1Char"/>
          <w:color w:val="00000A"/>
        </w:rPr>
        <w:t>Niðurstöður</w:t>
      </w:r>
    </w:p>
    <w:p>
      <w:pPr>
        <w:pStyle w:val="Normal"/>
        <w:spacing w:lineRule="auto" w:line="360"/>
        <w:rPr/>
      </w:pPr>
      <w:r>
        <w:rPr>
          <w:rStyle w:val="Heading2Char"/>
          <w:color w:val="00000A"/>
        </w:rPr>
        <w:t>1. Hluti</w:t>
      </w:r>
      <w:r>
        <w:rPr>
          <w:lang w:val="is-IS"/>
        </w:rPr>
        <w:br/>
        <w:t>Þegar fundið er yfirfærslufall DC mótors þá er</w:t>
      </w:r>
      <w:r>
        <w:rPr>
          <w:lang w:val="is-IS"/>
        </w:rPr>
        <w:t>u</w:t>
      </w:r>
      <w:r>
        <w:rPr>
          <w:lang w:val="is-IS"/>
        </w:rPr>
        <w:t xml:space="preserve"> mælingar án afturverkunar gerðar og gildin voru: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0,04,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offset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50,</m:t>
        </m:r>
        <m:r>
          <w:rPr>
            <w:rFonts w:ascii="Cambria Math" w:hAnsi="Cambria Math"/>
          </w:rPr>
          <m:t xml:space="preserve">útslag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20.</m:t>
        </m:r>
      </m:oMath>
      <w:r>
        <w:rPr>
          <w:rFonts w:eastAsia="" w:eastAsiaTheme="minorEastAsia"/>
          <w:lang w:val="is-IS"/>
        </w:rPr>
        <w:t>Við notum eftirfarandi jöfnu til að finna yfirfærslufall mótorsins útfrá tæknilegum upplýsingum</w:t>
        <w:br/>
      </w:r>
      <w:r>
        <w:rPr>
          <w:rFonts w:eastAsia="" w:eastAsiaTheme="minorEastAsia"/>
          <w:lang w:val="is-IS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τ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þar</m:t>
        </m:r>
        <m:r>
          <w:rPr>
            <w:rFonts w:ascii="Cambria Math" w:hAnsi="Cambria Math"/>
          </w:rPr>
          <m:t xml:space="preserve">sem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>
          <w:rFonts w:eastAsia="" w:eastAsiaTheme="minorEastAsia"/>
          <w:lang w:val="is-IS"/>
        </w:rPr>
        <w:t>Gögnin sem fengin voru úr prófun kerfisins voru unnin með Matlab. Fyrst byrjum við á því að nálga kerfið sem fyrstu gráðu kerfi  og hefur yfirfærslufall á forminu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03E402B">
                <wp:simplePos x="0" y="0"/>
                <wp:positionH relativeFrom="margin">
                  <wp:posOffset>304800</wp:posOffset>
                </wp:positionH>
                <wp:positionV relativeFrom="paragraph">
                  <wp:posOffset>4531995</wp:posOffset>
                </wp:positionV>
                <wp:extent cx="5334635" cy="132715"/>
                <wp:effectExtent l="0" t="0" r="0" b="0"/>
                <wp:wrapTopAndBottom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12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Mynd </w:t>
                            </w:r>
                            <w:r>
                              <w:rPr>
                                <w:color w:val="00000A"/>
                              </w:rPr>
                              <w:fldChar w:fldCharType="begin"/>
                            </w:r>
                            <w:r>
                              <w:instrText> SEQ Mynd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000A"/>
                              </w:rPr>
                              <w:t xml:space="preserve"> – Mæling á svörun kerfisins án afturverkunar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24pt;margin-top:356.85pt;width:419.95pt;height:10.35pt;mso-position-horizontal-relative:margin" wp14:anchorId="603E402B">
                <w10:wrap type="square"/>
                <v:fill type="solid" color2="black" o:detectmouseclick="t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 xml:space="preserve">Mynd </w:t>
                      </w:r>
                      <w:r>
                        <w:rPr>
                          <w:color w:val="00000A"/>
                        </w:rPr>
                        <w:fldChar w:fldCharType="begin"/>
                      </w:r>
                      <w:r>
                        <w:instrText> SEQ Mynd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color w:val="00000A"/>
                        </w:rPr>
                        <w:t xml:space="preserve"> – Mæling á svörun kerfisins án afturverkunar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142875</wp:posOffset>
            </wp:positionH>
            <wp:positionV relativeFrom="paragraph">
              <wp:posOffset>580390</wp:posOffset>
            </wp:positionV>
            <wp:extent cx="5657850" cy="3890645"/>
            <wp:effectExtent l="0" t="0" r="0" b="0"/>
            <wp:wrapTopAndBottom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" w:eastAsiaTheme="minorEastAsia"/>
          <w:lang w:val="is-IS"/>
        </w:rPr>
        <w:t xml:space="preserve">Getum við fundið tíma fastann þegar mótorinn hefur náð 63% af lokagildinu. Það gerist þegar </w:t>
      </w:r>
      <w:r>
        <w:rPr>
          <w:rFonts w:eastAsia="" w:eastAsiaTheme="minorEastAsia"/>
          <w:lang w:val="is-IS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71.05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" w:eastAsiaTheme="minorEastAsia"/>
          <w:lang w:val="is-IS"/>
        </w:rPr>
        <w:t xml:space="preserve"> og hefur tíminn frá byrjun þrepmerkisins hækkað uppí 4.31 sek, sbr. mynd 1. 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>
          <w:rFonts w:eastAsia="" w:eastAsiaTheme="minorEastAsia"/>
          <w:lang w:val="is-IS"/>
        </w:rPr>
        <w:t>Á mynd 1 sést að þrepið byrjar við tímann 4 sek svo tímafasti mótorsins útf rá mældu gögnunum er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4.31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0.31</m:t>
        </m:r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>
          <w:rFonts w:eastAsia="" w:eastAsiaTheme="minorEastAsia"/>
          <w:lang w:val="is-IS"/>
        </w:rPr>
        <w:t>Til að finna mögnunargildið K fyrir yfirfærlsufallið er tekin</w:t>
      </w:r>
      <w:r>
        <w:rPr>
          <w:rFonts w:eastAsia="" w:eastAsiaTheme="minorEastAsia"/>
          <w:lang w:val="is-IS"/>
        </w:rPr>
        <w:t>n</w:t>
      </w:r>
      <w:r>
        <w:rPr>
          <w:rFonts w:eastAsia="" w:eastAsiaTheme="minorEastAsia"/>
          <w:lang w:val="is-IS"/>
        </w:rPr>
        <w:t xml:space="preserve"> lokahraði mótorsins fyrir gefna innspennu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final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inn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94.615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rad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2.80</m:t>
            </m:r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33.79</m:t>
        </m:r>
        <m:f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Vs</m:t>
            </m:r>
          </m:den>
        </m:f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>
          <w:rFonts w:eastAsia="" w:eastAsiaTheme="minorEastAsia"/>
          <w:lang w:val="is-IS"/>
        </w:rPr>
        <w:t>Yfirfærslufallið út frá mælingum er því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33.79</m:t>
            </m:r>
          </m:num>
          <m:den>
            <m:r>
              <w:rPr>
                <w:rFonts w:ascii="Cambria Math" w:hAnsi="Cambria Math"/>
              </w:rPr>
              <m:t xml:space="preserve">0.31</m:t>
            </m:r>
            <m:r>
              <w:rPr>
                <w:rFonts w:ascii="Cambria Math" w:hAnsi="Cambria Math"/>
              </w:rPr>
              <m:t xml:space="preserve">τ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spacing w:lineRule="auto" w:line="360"/>
        <w:rPr/>
      </w:pPr>
      <w:r>
        <w:rPr>
          <w:rFonts w:eastAsia="" w:eastAsiaTheme="minorEastAsia"/>
          <w:lang w:val="is-IS"/>
        </w:rPr>
        <w:t>Til að finna yfirfærlsufall útfrá tæknilegur upplýsingum með jöfnu 1 þarf að finna stuðulinn b, sem er viðnám mótorsins og hjólsins. Hann er fundinn út frá jöfnu 2 sem fundinn var á vefsíðu</w:t>
      </w:r>
      <w:r>
        <w:rPr>
          <w:rStyle w:val="FootnoteAnchor"/>
          <w:rFonts w:eastAsia="" w:eastAsiaTheme="minorEastAsia"/>
          <w:lang w:val="is-IS"/>
        </w:rPr>
        <w:footnoteReference w:id="2"/>
      </w:r>
      <w:r>
        <w:rPr>
          <w:rFonts w:eastAsia="" w:eastAsiaTheme="minorEastAsia"/>
          <w:lang w:val="is-IS"/>
        </w:rPr>
        <w:t>. Í kennslubókinni er fundið að K</w:t>
      </w:r>
      <w:r>
        <w:rPr>
          <w:rFonts w:eastAsia="" w:eastAsiaTheme="minorEastAsia"/>
          <w:vertAlign w:val="subscript"/>
          <w:lang w:val="is-IS"/>
        </w:rPr>
        <w:t>b</w:t>
      </w:r>
      <w:r>
        <w:rPr>
          <w:rFonts w:eastAsia="" w:eastAsiaTheme="minorEastAsia"/>
          <w:lang w:val="is-IS"/>
        </w:rPr>
        <w:t>=K</w:t>
      </w:r>
      <w:r>
        <w:rPr>
          <w:rFonts w:eastAsia="" w:eastAsiaTheme="minorEastAsia"/>
          <w:vertAlign w:val="subscript"/>
          <w:lang w:val="is-IS"/>
        </w:rPr>
        <w:t>T</w:t>
      </w:r>
      <w:r>
        <w:rPr>
          <w:rFonts w:eastAsia="" w:eastAsiaTheme="minorEastAsia"/>
          <w:lang w:val="is-IS"/>
        </w:rPr>
        <w:t>.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ω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ormal"/>
        <w:spacing w:lineRule="auto" w:line="360"/>
        <w:rPr/>
      </w:pPr>
      <w:r>
        <w:rPr>
          <w:rFonts w:eastAsia="" w:eastAsiaTheme="minorEastAsia"/>
          <w:lang w:val="is-IS"/>
        </w:rPr>
        <w:t xml:space="preserve">Þar sem </w:t>
      </w:r>
      <w:r>
        <w:rPr>
          <w:rFonts w:eastAsia="" w:eastAsiaTheme="minorEastAsia"/>
          <w:lang w:val="is-I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" w:eastAsiaTheme="minorEastAsia"/>
          <w:lang w:val="is-IS"/>
        </w:rPr>
        <w:t xml:space="preserve">, straumurinn var 0.1 A og </w:t>
      </w:r>
      <w:r>
        <w:rPr>
          <w:rFonts w:eastAsia="" w:eastAsiaTheme="minorEastAsia"/>
          <w:lang w:val="is-IS"/>
        </w:rPr>
        <w:t xml:space="preserve">við </w:t>
      </w:r>
      <w:r>
        <w:rPr>
          <w:rFonts w:eastAsia="" w:eastAsiaTheme="minorEastAsia"/>
          <w:lang w:val="is-IS"/>
        </w:rPr>
        <w:t>notum sama hornhraða o</w:t>
      </w:r>
      <w:r>
        <w:rPr>
          <w:rFonts w:eastAsia="" w:eastAsiaTheme="minorEastAsia"/>
          <w:lang w:val="is-IS"/>
        </w:rPr>
        <w:t>g</w:t>
      </w:r>
      <w:r>
        <w:rPr>
          <w:rFonts w:eastAsia="" w:eastAsiaTheme="minorEastAsia"/>
          <w:lang w:val="is-IS"/>
        </w:rPr>
        <w:t xml:space="preserve"> var notaður til finna yfirfærslufall út frá mældum gildum  </w:t>
      </w:r>
      <w:r>
        <w:rPr>
          <w:rFonts w:eastAsia="" w:eastAsiaTheme="minorEastAsia"/>
          <w:lang w:val="is-IS"/>
        </w:rPr>
      </w:r>
      <m:oMath xmlns:m="http://schemas.openxmlformats.org/officeDocument/2006/math">
        <m:r>
          <w:rPr>
            <w:rFonts w:ascii="Cambria Math" w:hAnsi="Cambria Math"/>
          </w:rPr>
          <m:t xml:space="preserve">71.05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0,02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Nm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0,1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71.05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rad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2,81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f>
          <m:num>
            <m:r>
              <w:rPr>
                <w:rFonts w:ascii="Cambria Math" w:hAnsi="Cambria Math"/>
              </w:rPr>
              <m:t xml:space="preserve">Nm</m:t>
            </m:r>
          </m:num>
          <m:den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rad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den>
        </m:f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>
          <w:rFonts w:eastAsia="" w:eastAsiaTheme="minorEastAsia"/>
          <w:lang w:val="is-IS"/>
        </w:rPr>
        <w:t>Til þess að finna tímastuðulinn þá notum við jöfnu 3</w:t>
        <w:br/>
      </w:r>
      <w:r>
        <w:rPr>
          <w:rFonts w:eastAsia="" w:eastAsiaTheme="minorEastAsia"/>
          <w:lang w:val="is-IS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R</m:t>
            </m:r>
          </m:e>
          <m:e>
            <m:d>
              <m:dPr>
                <m:begChr m:val="("/>
                <m:endChr m:val=")"/>
              </m:dPr>
              <m:e/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2,3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155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2,3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2,81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0,02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0,02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0,7671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τ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/>
            </m:f>
          </m:e>
        </m:eqArr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0.02</m:t>
            </m:r>
          </m:num>
          <m:den>
            <m:r>
              <w:rPr>
                <w:rFonts w:ascii="Cambria Math" w:hAnsi="Cambria Math"/>
              </w:rPr>
              <m:t xml:space="preserve">2.3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2,81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0.02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43.03</m:t>
        </m:r>
      </m:oMath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>
          <w:rFonts w:eastAsia="" w:eastAsiaTheme="minorEastAsia"/>
          <w:lang w:val="is-IS"/>
        </w:rPr>
        <w:t>Yfirfærslufallið verður þá:</w:t>
        <w:br/>
      </w:r>
      <w:r>
        <w:rPr>
          <w:rFonts w:eastAsia="" w:eastAsiaTheme="minorEastAsia"/>
          <w:lang w:val="is-IS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τ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43.03</m:t>
            </m:r>
          </m:num>
          <m:den>
            <m:r>
              <w:rPr>
                <w:rFonts w:ascii="Cambria Math" w:hAnsi="Cambria Math"/>
              </w:rPr>
              <m:t xml:space="preserve">0.7671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</m:e>
        </m:d>
      </m:oMath>
    </w:p>
    <w:p>
      <w:pPr>
        <w:pStyle w:val="Normal"/>
        <w:rPr>
          <w:lang w:val="is-IS"/>
        </w:rPr>
      </w:pPr>
      <w:r>
        <w:rPr>
          <w:lang w:val="is-IS"/>
        </w:rPr>
      </w:r>
      <w:r>
        <w:br w:type="page"/>
      </w:r>
    </w:p>
    <w:p>
      <w:pPr>
        <w:pStyle w:val="Normal"/>
        <w:keepNext/>
        <w:spacing w:lineRule="auto" w:line="360"/>
        <w:rPr/>
      </w:pPr>
      <w:r>
        <w:rPr/>
        <w:drawing>
          <wp:inline distT="0" distB="0" distL="0" distR="0">
            <wp:extent cx="5943600" cy="400621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color w:val="00000A"/>
        </w:rPr>
        <w:t xml:space="preserve">Mynd </w:t>
      </w:r>
      <w:r>
        <w:rPr>
          <w:color w:val="00000A"/>
        </w:rPr>
        <w:fldChar w:fldCharType="begin"/>
      </w:r>
      <w:r>
        <w:instrText> SEQ Mynd \* ARABIC </w:instrText>
      </w:r>
      <w:r>
        <w:fldChar w:fldCharType="separate"/>
      </w:r>
      <w:r>
        <w:t>2</w:t>
      </w:r>
      <w:r>
        <w:fldChar w:fldCharType="end"/>
      </w:r>
      <w:r>
        <w:rPr>
          <w:color w:val="00000A"/>
        </w:rPr>
        <w:t xml:space="preserve"> – Hermun á kerfinu út frá mældu</w:t>
      </w:r>
      <w:r>
        <w:rPr>
          <w:color w:val="00000A"/>
        </w:rPr>
        <w:t>m</w:t>
      </w:r>
      <w:r>
        <w:rPr>
          <w:color w:val="00000A"/>
        </w:rPr>
        <w:t xml:space="preserve"> gögnum</w:t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Style w:val="Heading2Char"/>
          <w:color w:val="00000A"/>
        </w:rPr>
      </w:pPr>
      <w:r>
        <w:rPr>
          <w:rStyle w:val="Heading2Char"/>
          <w:color w:val="00000A"/>
        </w:rPr>
        <w:t>2. Hluti</w:t>
      </w:r>
    </w:p>
    <w:p>
      <w:pPr>
        <w:pStyle w:val="Normal"/>
        <w:rPr/>
      </w:pPr>
      <w:r>
        <w:rPr>
          <w:lang w:val="is-IS"/>
        </w:rPr>
        <w:t>Afturverkun er tengd og innmerkið stillt sem þrepfall. Tvo mögnunargildi Kp voru valin annarsvegar 0.01 og hinsvegar 0.04. Eins og sést á mynd 3 og töflu 1 þá eru æstæðu skekkjurnar mjög miklar en mun minni fyrir hærra mögnunargildið.</w:t>
      </w:r>
    </w:p>
    <w:p>
      <w:pPr>
        <w:pStyle w:val="Normal"/>
        <w:spacing w:lineRule="auto" w:line="360"/>
        <w:rPr>
          <w:rFonts w:eastAsia="" w:eastAsiaTheme="minorEastAsia"/>
          <w:lang w:val="is-IS"/>
        </w:rPr>
      </w:pPr>
      <w:r>
        <w:rPr>
          <w:rFonts w:eastAsia="" w:eastAsiaTheme="minorEastAsia"/>
          <w:lang w:val="is-IS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1680D57F">
                <wp:simplePos x="0" y="0"/>
                <wp:positionH relativeFrom="margin">
                  <wp:align>center</wp:align>
                </wp:positionH>
                <wp:positionV relativeFrom="paragraph">
                  <wp:posOffset>4187825</wp:posOffset>
                </wp:positionV>
                <wp:extent cx="6915785" cy="132715"/>
                <wp:effectExtent l="0" t="0" r="0" b="0"/>
                <wp:wrapTopAndBottom/>
                <wp:docPr id="6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2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Mynd </w:t>
                            </w:r>
                            <w:r>
                              <w:rPr>
                                <w:color w:val="00000A"/>
                              </w:rPr>
                              <w:fldChar w:fldCharType="begin"/>
                            </w:r>
                            <w:r>
                              <w:instrText> SEQ Mynd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000A"/>
                              </w:rPr>
                              <w:t xml:space="preserve"> – Mæling á svörun kerfisins með afturverkun fyrir Kp = 0.01 og Kp = 0.04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f" style="position:absolute;margin-left:-38.25pt;margin-top:329.75pt;width:544.45pt;height:10.35pt;mso-position-horizontal:center;mso-position-horizontal-relative:margin" wp14:anchorId="1680D57F">
                <w10:wrap type="square"/>
                <v:fill type="solid" color2="black" o:detectmouseclick="t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 xml:space="preserve">Mynd </w:t>
                      </w:r>
                      <w:r>
                        <w:rPr>
                          <w:color w:val="00000A"/>
                        </w:rPr>
                        <w:fldChar w:fldCharType="begin"/>
                      </w:r>
                      <w:r>
                        <w:instrText> SEQ Mynd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color w:val="00000A"/>
                        </w:rPr>
                        <w:t xml:space="preserve"> – Mæling á svörun kerfisins með afturverkun fyrir Kp = 0.01 og Kp = 0.04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5150" cy="4397375"/>
            <wp:effectExtent l="0" t="0" r="0" b="0"/>
            <wp:wrapTopAndBottom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PlainTable3"/>
        <w:tblW w:w="4674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7"/>
        <w:gridCol w:w="23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b/>
                <w:b/>
                <w:bCs/>
                <w:caps/>
                <w:color w:val="00000A"/>
              </w:rPr>
            </w:pPr>
            <w:r>
              <w:rPr>
                <w:b/>
                <w:bCs/>
                <w:caps/>
                <w:color w:val="00000A"/>
              </w:rPr>
            </w:r>
          </w:p>
        </w:tc>
        <w:tc>
          <w:tcPr>
            <w:tcW w:w="233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Æstæða skekkjan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00000A"/>
              <w:right w:val="single" w:sz="4" w:space="0" w:color="7F7F7F"/>
              <w:insideH w:val="single" w:sz="4" w:space="0" w:color="00000A"/>
              <w:insideV w:val="single" w:sz="4" w:space="0" w:color="7F7F7F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KP = 0.01</w:t>
            </w:r>
          </w:p>
        </w:tc>
        <w:tc>
          <w:tcPr>
            <w:tcW w:w="233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  <w:lang w:val="is-IS"/>
              </w:rPr>
              <w:t>62.5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KP = 0.04</w:t>
            </w:r>
          </w:p>
        </w:tc>
        <w:tc>
          <w:tcPr>
            <w:tcW w:w="233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  <w:lang w:val="is-IS"/>
              </w:rPr>
              <w:t>31.0</w:t>
            </w:r>
          </w:p>
        </w:tc>
      </w:tr>
    </w:tbl>
    <w:p>
      <w:pPr>
        <w:pStyle w:val="Caption1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/>
        <w:t>:Æstæða skekkjan fyrir mismunandi mögnunargildi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lineRule="auto" w:line="360"/>
        <w:rPr>
          <w:color w:val="00000A"/>
        </w:rPr>
      </w:pPr>
      <w:r>
        <w:rPr>
          <w:color w:val="00000A"/>
        </w:rPr>
        <w:t>3. Hluti</w:t>
      </w:r>
    </w:p>
    <w:p>
      <w:pPr>
        <w:pStyle w:val="Normal"/>
        <w:rPr/>
      </w:pPr>
      <w:r>
        <w:rPr/>
        <w:t>Þegar við skoðuð yfirskotið og settíman fyrir Kp má sjá mynd 4 að settíminn er lengri fyrir Kp = Ki = 0.0650  og yfirskotið minna , en fyrir Kp = 0.140 og ki = 0.0650 sjá mynd 4 og töflu 2</w:t>
      </w:r>
    </w:p>
    <w:p>
      <w:pPr>
        <w:pStyle w:val="Normal"/>
        <w:rPr/>
      </w:pPr>
      <w:r>
        <w:rPr/>
        <w:t>Þrepfallið byrjar ekki fyrr en á þriðju sekúndu á mynd 4 og annari sekúndu á mynd 5</w:t>
      </w:r>
    </w:p>
    <w:p>
      <w:pPr>
        <w:pStyle w:val="Normal"/>
        <w:rPr/>
      </w:pPr>
      <w:r>
        <w:rPr/>
      </w:r>
    </w:p>
    <w:p>
      <w:pPr>
        <w:pStyle w:val="Normal"/>
        <w:keepNext/>
        <w:spacing w:lineRule="auto" w:line="36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8" wp14:anchorId="7FDEEF52">
                <wp:simplePos x="0" y="0"/>
                <wp:positionH relativeFrom="column">
                  <wp:posOffset>3276600</wp:posOffset>
                </wp:positionH>
                <wp:positionV relativeFrom="paragraph">
                  <wp:posOffset>3540760</wp:posOffset>
                </wp:positionV>
                <wp:extent cx="3204210" cy="132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>Mynd 5: Ki=0.14 og Kp = 0.065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f" style="position:absolute;margin-left:258pt;margin-top:278.8pt;width:252.2pt;height:10.35pt" wp14:anchorId="7FDEEF52">
                <w10:wrap type="square"/>
                <v:fill type="solid" color2="black" o:detectmouseclick="t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lineRule="auto" w:line="240" w:before="0" w:after="200"/>
                        <w:rPr/>
                      </w:pPr>
                      <w:r>
                        <w:rPr/>
                        <w:t>Mynd 5: Ki=0.14 og Kp = 0.065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3315335</wp:posOffset>
            </wp:positionH>
            <wp:positionV relativeFrom="paragraph">
              <wp:posOffset>7620</wp:posOffset>
            </wp:positionV>
            <wp:extent cx="3120390" cy="3477260"/>
            <wp:effectExtent l="0" t="0" r="0" b="0"/>
            <wp:wrapTight wrapText="bothSides">
              <wp:wrapPolygon edited="0">
                <wp:start x="-19" y="0"/>
                <wp:lineTo x="-19" y="21520"/>
                <wp:lineTo x="21492" y="21520"/>
                <wp:lineTo x="21492" y="0"/>
                <wp:lineTo x="-19" y="0"/>
              </wp:wrapPolygon>
            </wp:wrapTight>
            <wp:docPr id="1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347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110865" cy="3486785"/>
            <wp:effectExtent l="0" t="0" r="0" b="0"/>
            <wp:docPr id="1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color w:val="44546A" w:themeColor="text2"/>
          <w:sz w:val="18"/>
        </w:rPr>
        <w:t xml:space="preserve">Mynd </w:t>
      </w:r>
      <w:r>
        <w:rPr>
          <w:i/>
          <w:color w:val="44546A" w:themeColor="text2"/>
          <w:sz w:val="18"/>
        </w:rPr>
        <w:fldChar w:fldCharType="begin"/>
      </w:r>
      <w:r>
        <w:instrText> SEQ Mynd \* ARABIC </w:instrText>
      </w:r>
      <w:r>
        <w:fldChar w:fldCharType="separate"/>
      </w:r>
      <w:r>
        <w:t>4</w:t>
      </w:r>
      <w:r>
        <w:fldChar w:fldCharType="end"/>
      </w:r>
      <w:r>
        <w:rPr>
          <w:i/>
          <w:color w:val="44546A" w:themeColor="text2"/>
          <w:sz w:val="18"/>
        </w:rPr>
        <w:t>:Ki=Kp</w:t>
      </w:r>
    </w:p>
    <w:p>
      <w:pPr>
        <w:pStyle w:val="Normal"/>
        <w:keepNext/>
        <w:spacing w:lineRule="auto" w:line="36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/>
        <w:spacing w:lineRule="auto" w:line="360"/>
        <w:rPr/>
      </w:pPr>
      <w:r>
        <w:rPr/>
        <w:t>Lokagildið þegar Ki = Kp er að meðaltali,  samvkæmt gögnunum okkar, 69.160 og 2% af því er 1.38 sem gefur okkur að settímanum er náð í 67.78 og lokagildið fyrir fyrir Ki =0.14 og Kp = 0.65 er að meðaltali 69.821 og 2% af því er 1.40 og gefur okkur að settímanum er náð í 68.421</w:t>
      </w:r>
    </w:p>
    <w:tbl>
      <w:tblPr>
        <w:tblStyle w:val="PlainTable3"/>
        <w:tblW w:w="7011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7"/>
        <w:gridCol w:w="2337"/>
        <w:gridCol w:w="23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b/>
                <w:b/>
                <w:bCs/>
                <w:caps/>
                <w:color w:val="00000A"/>
              </w:rPr>
            </w:pPr>
            <w:r>
              <w:rPr>
                <w:b/>
                <w:bCs/>
                <w:caps/>
                <w:color w:val="00000A"/>
              </w:rPr>
            </w:r>
          </w:p>
        </w:tc>
        <w:tc>
          <w:tcPr>
            <w:tcW w:w="23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Yfirskot</w:t>
            </w:r>
          </w:p>
        </w:tc>
        <w:tc>
          <w:tcPr>
            <w:tcW w:w="23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Settími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00000A"/>
              <w:right w:val="single" w:sz="4" w:space="0" w:color="7F7F7F"/>
              <w:insideH w:val="single" w:sz="4" w:space="0" w:color="00000A"/>
              <w:insideV w:val="single" w:sz="4" w:space="0" w:color="7F7F7F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  <w:sz w:val="24"/>
              </w:rPr>
              <w:t>KP = KI=0.065</w:t>
            </w:r>
          </w:p>
        </w:tc>
        <w:tc>
          <w:tcPr>
            <w:tcW w:w="23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  <w:t>0.72%</w:t>
            </w:r>
          </w:p>
        </w:tc>
        <w:tc>
          <w:tcPr>
            <w:tcW w:w="23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lang w:val="is-IS"/>
              </w:rPr>
            </w:pPr>
            <w:r>
              <w:rPr>
                <w:color w:val="00000A"/>
                <w:lang w:val="is-IS"/>
              </w:rPr>
              <w:t>1.98s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  <w:sz w:val="24"/>
              </w:rPr>
              <w:t>KP = 0.065 &amp; KI=0.14</w:t>
            </w:r>
          </w:p>
        </w:tc>
        <w:tc>
          <w:tcPr>
            <w:tcW w:w="233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  <w:lang w:val="is-IS"/>
              </w:rPr>
              <w:t>6.2%</w:t>
            </w:r>
          </w:p>
        </w:tc>
        <w:tc>
          <w:tcPr>
            <w:tcW w:w="233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lang w:val="is-IS"/>
              </w:rPr>
            </w:pPr>
            <w:r>
              <w:rPr>
                <w:color w:val="00000A"/>
                <w:lang w:val="is-IS"/>
              </w:rPr>
              <w:t>1.13s</w:t>
            </w:r>
          </w:p>
        </w:tc>
      </w:tr>
    </w:tbl>
    <w:p>
      <w:pPr>
        <w:pStyle w:val="Caption1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2</w:t>
      </w:r>
      <w:r>
        <w:fldChar w:fldCharType="end"/>
      </w:r>
      <w:r>
        <w:rPr/>
        <w:t>: Yfirskot og settími mismunandi gilda</w:t>
      </w:r>
    </w:p>
    <w:p>
      <w:pPr>
        <w:pStyle w:val="Normal"/>
        <w:rPr>
          <w:lang w:val="is-IS"/>
        </w:rPr>
      </w:pPr>
      <w:r>
        <w:rPr>
          <w:lang w:val="is-IS"/>
        </w:rPr>
      </w:r>
    </w:p>
    <w:p>
      <w:pPr>
        <w:pStyle w:val="Normal"/>
        <w:rPr>
          <w:lang w:val="is-IS"/>
        </w:rPr>
      </w:pPr>
      <w:r>
        <w:rPr>
          <w:lang w:val="is-IS"/>
        </w:rPr>
        <w:t>Þegar við plottum svo gröfin í simulink með PI stýringu þá fáum við eftirfarandi gröf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943600" cy="2856865"/>
            <wp:effectExtent l="0" t="0" r="0" b="0"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Mynd </w:t>
      </w:r>
      <w:r>
        <w:rPr/>
        <w:fldChar w:fldCharType="begin"/>
      </w:r>
      <w:r>
        <w:instrText> SEQ Mynd \* ARABIC </w:instrText>
      </w:r>
      <w:r>
        <w:fldChar w:fldCharType="separate"/>
      </w:r>
      <w:r>
        <w:t>5</w:t>
      </w:r>
      <w:r>
        <w:fldChar w:fldCharType="end"/>
      </w:r>
      <w:r>
        <w:rPr/>
        <w:t>: Simulink módel þegar Kp = Ki = 0.065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943600" cy="2848610"/>
            <wp:effectExtent l="0" t="0" r="0" b="0"/>
            <wp:docPr id="1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Mynd </w:t>
      </w:r>
      <w:r>
        <w:rPr/>
        <w:fldChar w:fldCharType="begin"/>
      </w:r>
      <w:r>
        <w:instrText> SEQ Mynd \* ARABIC </w:instrText>
      </w:r>
      <w:r>
        <w:fldChar w:fldCharType="separate"/>
      </w:r>
      <w:r>
        <w:t>6</w:t>
      </w:r>
      <w:r>
        <w:fldChar w:fldCharType="end"/>
      </w:r>
      <w:r>
        <w:rPr/>
        <w:t>: Simulink módel þegar Ki = 0.14 og Kp =0.065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PlainTable3"/>
        <w:tblW w:w="7011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7"/>
        <w:gridCol w:w="2337"/>
        <w:gridCol w:w="23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b/>
                <w:b/>
                <w:bCs/>
                <w:caps/>
                <w:color w:val="00000A"/>
              </w:rPr>
            </w:pPr>
            <w:r>
              <w:rPr>
                <w:b/>
                <w:bCs/>
                <w:caps/>
                <w:color w:val="00000A"/>
              </w:rPr>
            </w:r>
          </w:p>
        </w:tc>
        <w:tc>
          <w:tcPr>
            <w:tcW w:w="23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Ki = 0.065</w:t>
            </w:r>
          </w:p>
        </w:tc>
        <w:tc>
          <w:tcPr>
            <w:tcW w:w="23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</w:rPr>
              <w:t>Ki = 0.14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00000A"/>
              <w:right w:val="single" w:sz="4" w:space="0" w:color="7F7F7F"/>
              <w:insideH w:val="single" w:sz="4" w:space="0" w:color="00000A"/>
              <w:insideV w:val="single" w:sz="4" w:space="0" w:color="7F7F7F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  <w:sz w:val="24"/>
              </w:rPr>
              <w:t xml:space="preserve">Raun Settími </w:t>
            </w:r>
          </w:p>
        </w:tc>
        <w:tc>
          <w:tcPr>
            <w:tcW w:w="23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bookmarkStart w:id="0" w:name="_GoBack"/>
            <w:bookmarkStart w:id="1" w:name="_GoBack"/>
            <w:bookmarkEnd w:id="1"/>
            <w:r>
              <w:rPr>
                <w:color w:val="00000A"/>
              </w:rPr>
            </w:r>
          </w:p>
        </w:tc>
        <w:tc>
          <w:tcPr>
            <w:tcW w:w="23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lang w:val="is-IS"/>
              </w:rPr>
            </w:pPr>
            <w:r>
              <w:rPr>
                <w:color w:val="00000A"/>
                <w:lang w:val="is-IS"/>
              </w:rPr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rPr>
                <w:color w:val="00000A"/>
              </w:rPr>
            </w:pPr>
            <w:r>
              <w:rPr>
                <w:b/>
                <w:bCs/>
                <w:caps/>
                <w:color w:val="00000A"/>
                <w:sz w:val="24"/>
              </w:rPr>
              <w:t>Simulink settím</w:t>
            </w:r>
          </w:p>
        </w:tc>
        <w:tc>
          <w:tcPr>
            <w:tcW w:w="233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233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360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lang w:val="is-IS"/>
              </w:rPr>
            </w:pPr>
            <w:r>
              <w:rPr>
                <w:color w:val="00000A"/>
                <w:lang w:val="is-IS"/>
              </w:rPr>
            </w:r>
          </w:p>
        </w:tc>
      </w:tr>
    </w:tbl>
    <w:p>
      <w:pPr>
        <w:pStyle w:val="Caption1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3</w:t>
      </w:r>
      <w:r>
        <w:fldChar w:fldCharType="end"/>
      </w:r>
      <w:r>
        <w:rPr/>
        <w:t>: Mismunur raun gilda og Simulink gilda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943600" cy="2061210"/>
            <wp:effectExtent l="0" t="0" r="0" b="0"/>
            <wp:docPr id="1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Mynd </w:t>
      </w:r>
      <w:r>
        <w:rPr/>
        <w:fldChar w:fldCharType="begin"/>
      </w:r>
      <w:r>
        <w:instrText> SEQ Mynd \* ARABIC </w:instrText>
      </w:r>
      <w:r>
        <w:fldChar w:fldCharType="separate"/>
      </w:r>
      <w:r>
        <w:t>7</w:t>
      </w:r>
      <w:r>
        <w:fldChar w:fldCharType="end"/>
      </w:r>
      <w:r>
        <w:rPr/>
        <w:t>: Simulink módelið okkar</w:t>
      </w:r>
    </w:p>
    <w:p>
      <w:pPr>
        <w:pStyle w:val="Normal"/>
        <w:rPr>
          <w:lang w:val="is-IS"/>
        </w:rPr>
      </w:pPr>
      <w:r>
        <w:rPr>
          <w:lang w:val="is-IS"/>
        </w:rPr>
      </w:r>
    </w:p>
    <w:p>
      <w:pPr>
        <w:pStyle w:val="Normal"/>
        <w:spacing w:lineRule="auto" w:line="360"/>
        <w:rPr>
          <w:rStyle w:val="Heading1Char"/>
          <w:color w:val="00000A"/>
        </w:rPr>
      </w:pPr>
      <w:r>
        <w:rPr>
          <w:rStyle w:val="Heading1Char"/>
          <w:color w:val="00000A"/>
        </w:rPr>
        <w:t>Umræður</w:t>
      </w:r>
    </w:p>
    <w:p>
      <w:pPr>
        <w:pStyle w:val="Normal"/>
        <w:rPr/>
      </w:pPr>
      <w:r>
        <w:rPr>
          <w:rStyle w:val="Heading1Char"/>
          <w:color w:val="00000A"/>
          <w:sz w:val="22"/>
        </w:rPr>
        <w:t>Sjá má að að er munur á okkar reiknaða yfirfærslufalls og yfirfærslufallsins sem er fengið út frá gögnunum. Það er útaf því að þetta er mikil einföldun hjá okkur. D</w:t>
      </w:r>
      <w:r>
        <w:rPr>
          <w:rStyle w:val="Heading1Char"/>
          <w:color w:val="00000A"/>
          <w:sz w:val="22"/>
        </w:rPr>
        <w:t>C</w:t>
      </w:r>
      <w:r>
        <w:rPr>
          <w:rStyle w:val="Heading1Char"/>
          <w:color w:val="00000A"/>
          <w:sz w:val="22"/>
        </w:rPr>
        <w:t xml:space="preserve"> mótorinn er í raun ekki fyrsta stigs kerfi, </w:t>
      </w:r>
      <w:r>
        <w:rPr>
          <w:rStyle w:val="Heading1Char"/>
          <w:color w:val="00000A"/>
          <w:sz w:val="22"/>
        </w:rPr>
        <w:t>heldur</w:t>
      </w:r>
      <w:r>
        <w:rPr>
          <w:rStyle w:val="Heading1Char"/>
          <w:color w:val="00000A"/>
          <w:sz w:val="22"/>
        </w:rPr>
        <w:t xml:space="preserve"> mun flóknari en við gerum ráð fyrir.</w:t>
      </w:r>
    </w:p>
    <w:p>
      <w:pPr>
        <w:pStyle w:val="Normal"/>
        <w:rPr/>
      </w:pPr>
      <w:r>
        <w:rPr>
          <w:rStyle w:val="Heading1Char"/>
          <w:color w:val="00000A"/>
          <w:sz w:val="22"/>
        </w:rPr>
        <w:t>Eins og gefur að skilja þá er</w:t>
      </w:r>
      <w:r>
        <w:rPr>
          <w:rStyle w:val="Heading1Char"/>
          <w:color w:val="00000A"/>
          <w:sz w:val="22"/>
        </w:rPr>
        <w:t>u</w:t>
      </w:r>
      <w:r>
        <w:rPr>
          <w:rStyle w:val="Heading1Char"/>
          <w:color w:val="00000A"/>
          <w:sz w:val="22"/>
        </w:rPr>
        <w:t xml:space="preserve"> æstæðu skekkjurnar miklar þegar Kp er mjög líti</w:t>
      </w:r>
      <w:r>
        <w:rPr>
          <w:rStyle w:val="Heading1Char"/>
          <w:color w:val="00000A"/>
          <w:sz w:val="22"/>
        </w:rPr>
        <w:t>ð</w:t>
      </w:r>
      <w:r>
        <w:rPr>
          <w:rStyle w:val="Heading1Char"/>
          <w:color w:val="00000A"/>
          <w:sz w:val="22"/>
        </w:rPr>
        <w:t xml:space="preserve"> eins og þegar not</w:t>
      </w:r>
      <w:r>
        <w:rPr>
          <w:rStyle w:val="Heading1Char"/>
          <w:color w:val="00000A"/>
          <w:sz w:val="22"/>
        </w:rPr>
        <w:t>u</w:t>
      </w:r>
      <w:r>
        <w:rPr>
          <w:rStyle w:val="Heading1Char"/>
          <w:color w:val="00000A"/>
          <w:sz w:val="22"/>
        </w:rPr>
        <w:t xml:space="preserve">ð eru gildi á borð við 0.04 og 0.01 (þá er varla lífsmark á mótornum). </w:t>
      </w:r>
    </w:p>
    <w:p>
      <w:pPr>
        <w:pStyle w:val="Normal"/>
        <w:rPr/>
      </w:pPr>
      <w:r>
        <w:rPr>
          <w:rStyle w:val="Heading1Char"/>
          <w:color w:val="00000A"/>
          <w:sz w:val="22"/>
        </w:rPr>
        <w:t xml:space="preserve">Þegar við setjum svo heildara inn í kerfið okkar þá náum við upp í óskgildið okkar og þegar hlutfallið á milli Kp og KI er 1 þá náum við óskgildinu án þess </w:t>
      </w:r>
      <w:r>
        <w:rPr>
          <w:rStyle w:val="Heading1Char"/>
          <w:color w:val="00000A"/>
          <w:sz w:val="22"/>
        </w:rPr>
        <w:t>beri mikið á</w:t>
      </w:r>
      <w:r>
        <w:rPr>
          <w:rStyle w:val="Heading1Char"/>
          <w:color w:val="00000A"/>
          <w:sz w:val="22"/>
        </w:rPr>
        <w:t xml:space="preserve"> yfirskot</w:t>
      </w:r>
      <w:r>
        <w:rPr>
          <w:rStyle w:val="Heading1Char"/>
          <w:color w:val="00000A"/>
          <w:sz w:val="22"/>
        </w:rPr>
        <w:t>i,</w:t>
      </w:r>
      <w:r>
        <w:rPr>
          <w:rStyle w:val="Heading1Char"/>
          <w:color w:val="00000A"/>
          <w:sz w:val="22"/>
        </w:rPr>
        <w:t xml:space="preserve">  en er frekar lengi að ná upp í óskgildið. Hinsvegar þegar við setum Ki rétt rúmlega 2 sinnum stærr</w:t>
      </w:r>
      <w:r>
        <w:rPr>
          <w:rStyle w:val="Heading1Char"/>
          <w:color w:val="00000A"/>
          <w:sz w:val="22"/>
        </w:rPr>
        <w:t>a</w:t>
      </w:r>
      <w:r>
        <w:rPr>
          <w:rStyle w:val="Heading1Char"/>
          <w:color w:val="00000A"/>
          <w:sz w:val="22"/>
        </w:rPr>
        <w:t xml:space="preserve"> en Kp þá fáum við smá yfirskot en </w:t>
      </w:r>
      <w:r>
        <w:rPr>
          <w:rStyle w:val="Heading1Char"/>
          <w:color w:val="00000A"/>
          <w:sz w:val="22"/>
        </w:rPr>
        <w:t xml:space="preserve">kerfið er </w:t>
      </w:r>
      <w:r>
        <w:rPr>
          <w:rStyle w:val="Heading1Char"/>
          <w:color w:val="00000A"/>
          <w:sz w:val="22"/>
        </w:rPr>
        <w:t>mun fljótar</w:t>
      </w:r>
      <w:r>
        <w:rPr>
          <w:rStyle w:val="Heading1Char"/>
          <w:color w:val="00000A"/>
          <w:sz w:val="22"/>
        </w:rPr>
        <w:t>a</w:t>
      </w:r>
      <w:r>
        <w:rPr>
          <w:rStyle w:val="Heading1Char"/>
          <w:color w:val="00000A"/>
          <w:sz w:val="22"/>
        </w:rPr>
        <w:t xml:space="preserve"> að ná lokagildinu. </w:t>
      </w:r>
    </w:p>
    <w:p>
      <w:pPr>
        <w:pStyle w:val="Normal"/>
        <w:rPr/>
      </w:pPr>
      <w:r>
        <w:rPr>
          <w:lang w:val="is-IS"/>
        </w:rPr>
        <w:t xml:space="preserve">Þegar við notum simulink þá fáum við hvorki yfirskot þegar Ki = Kp eða Ki </w:t>
      </w:r>
      <w:r>
        <w:rPr>
          <w:lang w:val="is-IS"/>
        </w:rPr>
      </w:r>
      <m:oMath xmlns:m="http://schemas.openxmlformats.org/officeDocument/2006/math">
        <m:r>
          <w:rPr>
            <w:rFonts w:ascii="Cambria Math" w:hAnsi="Cambria Math"/>
          </w:rPr>
          <m:t xml:space="preserve">≈</m:t>
        </m:r>
      </m:oMath>
      <w:r>
        <w:rPr>
          <w:rFonts w:eastAsia="" w:eastAsiaTheme="minorEastAsia"/>
          <w:lang w:val="is-IS"/>
        </w:rPr>
        <w:t xml:space="preserve"> </w:t>
      </w:r>
      <w:r>
        <w:rPr>
          <w:lang w:val="is-IS"/>
        </w:rPr>
        <w:t>2Kp en settímin er.............</w:t>
      </w:r>
    </w:p>
    <w:sectPr>
      <w:footerReference w:type="default" r:id="rId11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12961618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reference"/>
        </w:rPr>
        <w:footnoteRef/>
        <w:tab/>
      </w:r>
      <w:r>
        <w:rPr/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instrText> CITATION CGa15 \l 1033 </w:instrText>
          </w:r>
          <w:r>
            <w:fldChar w:fldCharType="separate"/>
          </w:r>
          <w:r>
            <w:t>(C.Ganesh, 2015)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2e6c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6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6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c2e6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c2e6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066881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1200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f54a3"/>
    <w:rPr>
      <w:color w:val="954F72" w:themeColor="followed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f54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f54a3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d7b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7bfb"/>
    <w:rPr/>
  </w:style>
  <w:style w:type="character" w:styleId="ListLabel1">
    <w:name w:val="ListLabel 1"/>
    <w:qFormat/>
    <w:rPr>
      <w:rFonts w:eastAsia="" w:cs=""/>
      <w:sz w:val="3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5c3ea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2b1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f54a3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af285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d7bf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d7bf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3e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5">
    <w:name w:val="Grid Table 5 Dark Accent 5"/>
    <w:basedOn w:val="TableNormal"/>
    <w:uiPriority w:val="50"/>
    <w:rsid w:val="00345c3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PlainTable5">
    <w:name w:val="Plain Table 5"/>
    <w:basedOn w:val="TableNormal"/>
    <w:uiPriority w:val="45"/>
    <w:rsid w:val="00345c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45c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6e7f91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CGa15</b:Tag>
    <b:SourceType>InternetSite</b:SourceType>
    <b:Guid>{6F476686-A160-4CF2-AC28-941DBAB744E8}</b:Guid>
    <b:Title>DC Position Control System – Determination of Parameters and Significance on System Dynamics</b:Title>
    <b:Year>2015</b:Year>
    <b:Author>
      <b:Author>
        <b:NameList>
          <b:Person>
            <b:Last>C.Ganesh</b:Last>
            <b:First>B.Abhi,</b:First>
            <b:Middle>S.Aravind, R.Nandhini and S.K.Patnaik</b:Middle>
          </b:Person>
        </b:NameList>
      </b:Author>
    </b:Author>
    <b:Month>10</b:Month>
    <b:URL>https://hal.inria.fr/file/index/docid/746891/filename/82.pdf</b:URL>
    <b:RefOrder>1</b:RefOrder>
  </b:Source>
</b:Sources>
</file>

<file path=customXml/itemProps1.xml><?xml version="1.0" encoding="utf-8"?>
<ds:datastoreItem xmlns:ds="http://schemas.openxmlformats.org/officeDocument/2006/customXml" ds:itemID="{E98E9751-5603-4FD8-BE60-9C59777F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LibreOffice/4.4.3.2$Linux_X86_64 LibreOffice_project/40m0$Build-2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2015-10-28T12:17:00Z</dcterms:created>
  <dc:creator>Stefan</dc:creator>
  <dc:language>en-GB</dc:language>
  <cp:lastModifiedBy>Kristófer Reykjalín</cp:lastModifiedBy>
  <dcterms:modified xsi:type="dcterms:W3CDTF">2015-11-07T15:09:17Z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