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w14="http://schemas.microsoft.com/office/word/2010/wordml" xmlns:w15="http://schemas.microsoft.com/office/word/2012/wordml">
  <w:body>
    <w:p>
      <w:pPr>
        <w:spacing w:before="1440" w:after="0"/>
      </w:pPr>
    </w:p>
    <w:p>
      <w:pPr>
        <w:pStyle w:val="Title"/>
        <w:spacing w:before="0" w:after="120"/>
        <w:jc w:val="left"/>
      </w:pPr>
      <w:r>
        <w:rPr>
          <w:color w:val="351c75"/>
        </w:rPr>
        <w:t>Certificación ISO 27001 de 23people</w:t>
      </w:r>
    </w:p>
    <w:p>
      <w:pPr>
        <w:pStyle w:val="Subtitle"/>
        <w:spacing w:before="0" w:after="60"/>
        <w:jc w:val="left"/>
      </w:pPr>
      <w:r>
        <w:rPr>
          <w:i/>
          <w:iCs/>
          <w:color w:val="666666"/>
        </w:rPr>
        <w:t>Obtener y mantener la certificación ISO 27001 para eliminar barreras comerciales con clientes enterprise en Latam, USA y Canadá.</w:t>
      </w:r>
    </w:p>
    <w:p>
      <w:pPr>
        <w:pBdr>
          <w:bottom w:val="single" w:sz="6" w:space="1" w:color="a1218f"/>
        </w:pBdr>
        <w:spacing w:before="240" w:after="240"/>
      </w:pPr>
    </w:p>
    <w:tbl>
      <w:tblPr>
        <w:tblW w:w="90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3200"/>
        <w:gridCol w:w="5829"/>
      </w:tblGrid>
      <w:tr>
        <w:tc>
          <w:tcPr>
            <w:tcW w:w="3200" w:type="dxa"/>
            <w:tcMar>
              <w:top w:w="80" w:type="dxa"/>
              <w:bottom w:w="80" w:type="dxa"/>
            </w:tcMar>
          </w:tcPr>
          <w:p>
            <w:r>
              <w:rPr>
                <w:b/>
                <w:bCs/>
                <w:color w:val="434343"/>
                <w:sz w:val="22"/>
                <w:szCs w:val="22"/>
                <w:rFonts w:ascii="Lato" w:hAnsi="Lato" w:cs="Lato"/>
              </w:rPr>
              <w:t>Elección Estratégica</w:t>
            </w:r>
          </w:p>
        </w:tc>
        <w:tc>
          <w:tcPr>
            <w:tcW w:w="5829" w:type="dxa"/>
            <w:tcMar>
              <w:top w:w="80" w:type="dxa"/>
              <w:bottom w:w="80" w:type="dxa"/>
            </w:tcMar>
          </w:tcPr>
          <w:p>
            <w:r>
              <w:rPr>
                <w:b w:val="0"/>
                <w:color w:val="666666"/>
                <w:sz w:val="22"/>
                <w:szCs w:val="22"/>
                <w:rFonts w:ascii="Lato" w:hAnsi="Lato" w:cs="Lato"/>
              </w:rPr>
              <w:t>Tener evidencia y social proof sobre nuestra capacidad para cumplir con los estándares de la industria a fin de ser una alternativa confiable para empresas en Latam, USA y Canadá</w:t>
            </w:r>
          </w:p>
        </w:tc>
      </w:tr>
      <w:tr>
        <w:tc>
          <w:tcPr>
            <w:tcW w:w="3200" w:type="dxa"/>
            <w:tcMar>
              <w:top w:w="80" w:type="dxa"/>
              <w:bottom w:w="80" w:type="dxa"/>
            </w:tcMar>
          </w:tcPr>
          <w:p>
            <w:r>
              <w:rPr>
                <w:b/>
                <w:bCs/>
                <w:color w:val="434343"/>
                <w:sz w:val="22"/>
                <w:szCs w:val="22"/>
                <w:rFonts w:ascii="Lato" w:hAnsi="Lato" w:cs="Lato"/>
              </w:rPr>
              <w:t>Año</w:t>
            </w:r>
          </w:p>
        </w:tc>
        <w:tc>
          <w:tcPr>
            <w:tcW w:w="5829" w:type="dxa"/>
            <w:tcMar>
              <w:top w:w="80" w:type="dxa"/>
              <w:bottom w:w="80" w:type="dxa"/>
            </w:tcMar>
          </w:tcPr>
          <w:p>
            <w:r>
              <w:rPr>
                <w:b w:val="0"/>
                <w:color w:val="666666"/>
                <w:sz w:val="22"/>
                <w:szCs w:val="22"/>
                <w:rFonts w:ascii="Lato" w:hAnsi="Lato" w:cs="Lato"/>
              </w:rPr>
              <w:t>2026</w:t>
            </w:r>
          </w:p>
        </w:tc>
      </w:tr>
      <w:tr>
        <w:tc>
          <w:tcPr>
            <w:tcW w:w="3200" w:type="dxa"/>
            <w:tcMar>
              <w:top w:w="80" w:type="dxa"/>
              <w:bottom w:w="80" w:type="dxa"/>
            </w:tcMar>
          </w:tcPr>
          <w:p>
            <w:r>
              <w:rPr>
                <w:b/>
                <w:bCs/>
                <w:color w:val="434343"/>
                <w:sz w:val="22"/>
                <w:szCs w:val="22"/>
                <w:rFonts w:ascii="Lato" w:hAnsi="Lato" w:cs="Lato"/>
              </w:rPr>
              <w:t>Estado</w:t>
            </w:r>
          </w:p>
        </w:tc>
        <w:tc>
          <w:tcPr>
            <w:tcW w:w="5829" w:type="dxa"/>
            <w:tcMar>
              <w:top w:w="80" w:type="dxa"/>
              <w:bottom w:w="80" w:type="dxa"/>
            </w:tcMar>
          </w:tcPr>
          <w:p>
            <w:r>
              <w:rPr>
                <w:b w:val="0"/>
                <w:color w:val="666666"/>
                <w:sz w:val="22"/>
                <w:szCs w:val="22"/>
                <w:rFonts w:ascii="Lato" w:hAnsi="Lato" w:cs="Lato"/>
              </w:rPr>
              <w:t>Activa</w:t>
            </w:r>
          </w:p>
        </w:tc>
      </w:tr>
      <w:tr>
        <w:tc>
          <w:tcPr>
            <w:tcW w:w="3200" w:type="dxa"/>
            <w:tcMar>
              <w:top w:w="80" w:type="dxa"/>
              <w:bottom w:w="80" w:type="dxa"/>
            </w:tcMar>
          </w:tcPr>
          <w:p>
            <w:r>
              <w:rPr>
                <w:b/>
                <w:bCs/>
                <w:color w:val="434343"/>
                <w:sz w:val="22"/>
                <w:szCs w:val="22"/>
                <w:rFonts w:ascii="Lato" w:hAnsi="Lato" w:cs="Lato"/>
              </w:rPr>
              <w:t>Responsable</w:t>
            </w:r>
          </w:p>
        </w:tc>
        <w:tc>
          <w:tcPr>
            <w:tcW w:w="5829" w:type="dxa"/>
            <w:tcMar>
              <w:top w:w="80" w:type="dxa"/>
              <w:bottom w:w="80" w:type="dxa"/>
            </w:tcMar>
          </w:tcPr>
          <w:p>
            <w:r>
              <w:rPr>
                <w:b w:val="0"/>
                <w:color w:val="666666"/>
                <w:sz w:val="22"/>
                <w:szCs w:val="22"/>
                <w:rFonts w:ascii="Lato" w:hAnsi="Lato" w:cs="Lato"/>
              </w:rPr>
              <w:t>Director de Operaciones</w:t>
            </w:r>
          </w:p>
        </w:tc>
      </w:tr>
      <w:tr>
        <w:tc>
          <w:tcPr>
            <w:tcW w:w="3200" w:type="dxa"/>
            <w:tcMar>
              <w:top w:w="80" w:type="dxa"/>
              <w:bottom w:w="80" w:type="dxa"/>
            </w:tcMar>
          </w:tcPr>
          <w:p>
            <w:r>
              <w:rPr>
                <w:b/>
                <w:bCs/>
                <w:color w:val="434343"/>
                <w:sz w:val="22"/>
                <w:szCs w:val="22"/>
                <w:rFonts w:ascii="Lato" w:hAnsi="Lato" w:cs="Lato"/>
              </w:rPr>
              <w:t>Fecha de creación</w:t>
            </w:r>
          </w:p>
        </w:tc>
        <w:tc>
          <w:tcPr>
            <w:tcW w:w="5829" w:type="dxa"/>
            <w:tcMar>
              <w:top w:w="80" w:type="dxa"/>
              <w:bottom w:w="80" w:type="dxa"/>
            </w:tcMar>
          </w:tcPr>
          <w:p>
            <w:r>
              <w:rPr>
                <w:b w:val="0"/>
                <w:color w:val="666666"/>
                <w:sz w:val="22"/>
                <w:szCs w:val="22"/>
                <w:rFonts w:ascii="Lato" w:hAnsi="Lato" w:cs="Lato"/>
              </w:rPr>
              <w:t>2025-03-01</w:t>
            </w:r>
          </w:p>
        </w:tc>
      </w:tr>
      <w:tr>
        <w:tc>
          <w:tcPr>
            <w:tcW w:w="3200" w:type="dxa"/>
            <w:tcMar>
              <w:top w:w="80" w:type="dxa"/>
              <w:bottom w:w="80" w:type="dxa"/>
            </w:tcMar>
          </w:tcPr>
          <w:p>
            <w:r>
              <w:rPr>
                <w:b/>
                <w:bCs/>
                <w:color w:val="434343"/>
                <w:sz w:val="22"/>
                <w:szCs w:val="22"/>
                <w:rFonts w:ascii="Lato" w:hAnsi="Lato" w:cs="Lato"/>
              </w:rPr>
              <w:t>Última modificación</w:t>
            </w:r>
          </w:p>
        </w:tc>
        <w:tc>
          <w:tcPr>
            <w:tcW w:w="5829" w:type="dxa"/>
            <w:tcMar>
              <w:top w:w="80" w:type="dxa"/>
              <w:bottom w:w="80" w:type="dxa"/>
            </w:tcMar>
          </w:tcPr>
          <w:p>
            <w:r>
              <w:rPr>
                <w:b w:val="0"/>
                <w:color w:val="666666"/>
                <w:sz w:val="22"/>
                <w:szCs w:val="22"/>
                <w:rFonts w:ascii="Lato" w:hAnsi="Lato" w:cs="Lato"/>
              </w:rPr>
              <w:t>2026-05-05</w:t>
            </w:r>
          </w:p>
        </w:tc>
      </w:tr>
    </w:tbl>
    <w:p>
      <w:r>
        <w:br w:type="page"/>
      </w:r>
    </w:p>
    <w:p>
      <w:pPr>
        <w:pStyle w:val="Heading2"/>
      </w:pPr>
      <w:r>
        <w:t>1. Objetivo</w:t>
      </w:r>
    </w:p>
    <w:p>
      <w:pPr>
        <w:spacing w:before="0" w:after="160"/>
      </w:pPr>
      <w:r>
        <w:rPr>
          <w:i/>
          <w:iCs/>
          <w:color w:val="666666"/>
          <w:sz w:val="22"/>
          <w:szCs w:val="22"/>
          <w:rFonts w:ascii="Lato" w:hAnsi="Lato" w:cs="Lato"/>
        </w:rPr>
        <w:t>¿Qué busca lograr esta iniciativa? Describir el resultado esperado en una oración clara y específica.</w:t>
      </w:r>
    </w:p>
    <w:p>
      <w:pPr>
        <w:spacing w:before="0" w:after="160"/>
      </w:pPr>
      <w:r>
        <w:rPr>
          <w:color w:val="444746"/>
          <w:sz w:val="22"/>
          <w:szCs w:val="22"/>
          <w:rFonts w:ascii="Lato" w:hAnsi="Lato" w:cs="Lato"/>
        </w:rPr>
        <w:t>Obtener y mantener la certificación ISO 27001, demostrando que 23people gestiona la seguridad de la información con los más altos estándares internacionales y eliminando este requisito como barrera en procesos comerciales con clientes enterprise.</w:t>
      </w:r>
    </w:p>
    <w:p>
      <w:pPr>
        <w:pStyle w:val="Heading2"/>
      </w:pPr>
      <w:r>
        <w:t>2. Contexto y Justificación</w:t>
      </w:r>
    </w:p>
    <w:p>
      <w:pPr>
        <w:spacing w:before="0" w:after="160"/>
      </w:pPr>
      <w:r>
        <w:rPr>
          <w:i/>
          <w:iCs/>
          <w:color w:val="666666"/>
          <w:sz w:val="22"/>
          <w:szCs w:val="22"/>
          <w:rFonts w:ascii="Lato" w:hAnsi="Lato" w:cs="Lato"/>
        </w:rPr>
        <w:t>¿Por qué existe esta iniciativa? Describir el problema, brecha u oportunidad que aborda y por qué es relevante ahora. Debe conectar directamente con el desafío estratégico identificado.</w:t>
      </w:r>
    </w:p>
    <w:p>
      <w:pPr>
        <w:spacing w:before="0" w:after="160"/>
      </w:pPr>
      <w:r>
        <w:rPr>
          <w:color w:val="444746"/>
          <w:sz w:val="22"/>
          <w:szCs w:val="22"/>
          <w:rFonts w:ascii="Lato" w:hAnsi="Lato" w:cs="Lato"/>
        </w:rPr>
        <w:t>23people opera en el mercado de servicios tecnológicos para empresas en Latinoamérica, Estados Unidos y Canadá. En este segmento, la certificación ISO 27001 ha dejado de ser un diferenciador para convertirse en un requisito higiénico: clientes enterprise la exigen como condición mínima antes de avanzar en un proceso comercial, independientemente de la calidad técnica del equipo o la propuesta de valor.</w:t>
        <w:br/>
        <w:br/>
        <w:t>Sin la certificación, 23people queda descartado en etapas tempranas del filtro de proveedores, lo que cierra el acceso a oportunidades de mayor escala y ticket promedio. Obtener la certificación no solo elimina esa barrera, sino que también entrega evidencia verificable —por un organismo externo acreditado— de que la empresa gestiona con rigor la seguridad de la información de sus clientes y colaboradores.</w:t>
        <w:br/>
        <w:br/>
        <w:t>Adicionalmente, la Ley Marco de Ciberseguridad chilena (Ley 21.663) cita explícitamente ISO 27001 como el estándar recomendado para implementar un Sistema de Gestión de Seguridad de la Información (SGSI), lo que crea una alineación natural entre el marco regulatorio y este objetivo.</w:t>
        <w:br/>
        <w:br/>
        <w:t>El momento es ahora: el crecimiento de 23people hacia nuevos mercados hace que este requisito aparezca con mayor frecuencia en oportunidades activas, y el costo de no tener la certificación aumenta con cada trimestre que pasa.</w:t>
      </w:r>
    </w:p>
    <w:p>
      <w:pPr>
        <w:pStyle w:val="Heading2"/>
      </w:pPr>
      <w:r>
        <w:t>3. Alcance</w:t>
      </w:r>
    </w:p>
    <w:p>
      <w:pPr>
        <w:pStyle w:val="Heading3"/>
      </w:pPr>
      <w:r>
        <w:t>Incluye</w:t>
      </w:r>
    </w:p>
    <w:p>
      <w:pPr>
        <w:numPr>
          <w:ilvl w:val="0"/>
          <w:numId w:val="1"/>
        </w:numPr>
        <w:spacing w:before="0" w:after="80"/>
      </w:pPr>
      <w:r>
        <w:rPr>
          <w:color w:val="444746"/>
          <w:sz w:val="22"/>
          <w:szCs w:val="22"/>
          <w:rFonts w:ascii="Lato" w:hAnsi="Lato" w:cs="Lato"/>
        </w:rPr>
        <w:t>Diseño, implementación y certificación de un SGSI que cubre los procesos core de 23people: Tech Talent Services (TTS), Research &amp; Development Services, Backoffice (BKO) y el área legal</w:t>
      </w:r>
    </w:p>
    <w:p>
      <w:pPr>
        <w:numPr>
          <w:ilvl w:val="0"/>
          <w:numId w:val="1"/>
        </w:numPr>
        <w:spacing w:before="0" w:after="80"/>
      </w:pPr>
      <w:r>
        <w:rPr>
          <w:color w:val="444746"/>
          <w:sz w:val="22"/>
          <w:szCs w:val="22"/>
          <w:rFonts w:ascii="Lato" w:hAnsi="Lato" w:cs="Lato"/>
        </w:rPr>
        <w:t>Capacitación formal del responsable interno del SGSI (Lead Implementer o equivalente)</w:t>
      </w:r>
    </w:p>
    <w:p>
      <w:pPr>
        <w:pStyle w:val="Heading3"/>
      </w:pPr>
      <w:r>
        <w:t>No incluye</w:t>
      </w:r>
    </w:p>
    <w:p>
      <w:pPr>
        <w:numPr>
          <w:ilvl w:val="0"/>
          <w:numId w:val="1"/>
        </w:numPr>
        <w:spacing w:before="0" w:after="80"/>
      </w:pPr>
      <w:r>
        <w:rPr>
          <w:color w:val="444746"/>
          <w:sz w:val="22"/>
          <w:szCs w:val="22"/>
          <w:rFonts w:ascii="Lato" w:hAnsi="Lato" w:cs="Lato"/>
        </w:rPr>
        <w:t>Certificación de sistemas o infraestructura de clientes de 23people</w:t>
      </w:r>
    </w:p>
    <w:p>
      <w:pPr>
        <w:numPr>
          <w:ilvl w:val="0"/>
          <w:numId w:val="1"/>
        </w:numPr>
        <w:spacing w:before="0" w:after="80"/>
      </w:pPr>
      <w:r>
        <w:rPr>
          <w:color w:val="444746"/>
          <w:sz w:val="22"/>
          <w:szCs w:val="22"/>
          <w:rFonts w:ascii="Lato" w:hAnsi="Lato" w:cs="Lato"/>
        </w:rPr>
        <w:t>Implementación de otros estándares complementarios como ISO 27002, ISO 27005 o SOC 2 (pueden considerarse en fases futuras)</w:t>
      </w:r>
    </w:p>
    <w:p>
      <w:pPr>
        <w:pStyle w:val="Heading2"/>
      </w:pPr>
      <w:r>
        <w:t>4. Impacto Medible</w:t>
      </w:r>
    </w:p>
    <w:p>
      <w:pPr>
        <w:spacing w:before="0" w:after="160"/>
      </w:pPr>
      <w:r>
        <w:rPr>
          <w:i/>
          <w:iCs/>
          <w:color w:val="666666"/>
          <w:sz w:val="22"/>
          <w:szCs w:val="22"/>
          <w:rFonts w:ascii="Lato" w:hAnsi="Lato" w:cs="Lato"/>
        </w:rPr>
        <w:t>Definir entre 2 y 4 métricas concretas y cuantificables que evidenciarán el éxito de la iniciativa.</w:t>
      </w:r>
    </w:p>
    <w:tbl>
      <w:tblPr>
        <w:tblW w:w="9029" w:type="dxa"/>
        <w:tblBorders>
          <w:top w:val="single" w:sz="4" w:space="0" w:color="D0C4E8"/>
          <w:left w:val="single" w:sz="4" w:space="0" w:color="D0C4E8"/>
          <w:bottom w:val="single" w:sz="4" w:space="0" w:color="D0C4E8"/>
          <w:right w:val="single" w:sz="4" w:space="0" w:color="D0C4E8"/>
          <w:insideH w:val="single" w:sz="4" w:space="0" w:color="D0C4E8"/>
          <w:insideV w:val="single" w:sz="4" w:space="0" w:color="D0C4E8"/>
        </w:tblBorders>
        <w:tblLayout w:type="fixed"/>
      </w:tblPr>
      <w:tblGrid>
        <w:gridCol w:w="3000"/>
        <w:gridCol w:w="2000"/>
        <w:gridCol w:w="2000"/>
        <w:gridCol w:w="2029"/>
      </w:tblGrid>
      <w:tr>
        <w:trPr>
          <w:tblHeader/>
        </w:trPr>
        <w:tc>
          <w:tcPr>
            <w:tcW w:w="3000" w:type="dxa"/>
            <w:shd w:val="clear" w:color="auto" w:fill="351c75"/>
            <w:tcMar>
              <w:top w:w="100" w:type="dxa"/>
              <w:bottom w:w="100" w:type="dxa"/>
            </w:tcMar>
          </w:tcPr>
          <w:p>
            <w:r>
              <w:rPr>
                <w:b/>
                <w:bCs/>
                <w:color w:val="FFFFFF"/>
                <w:sz w:val="22"/>
                <w:szCs w:val="22"/>
                <w:rFonts w:ascii="Lato" w:hAnsi="Lato" w:cs="Lato"/>
              </w:rPr>
              <w:t>KPI</w:t>
            </w:r>
          </w:p>
        </w:tc>
        <w:tc>
          <w:tcPr>
            <w:tcW w:w="2000" w:type="dxa"/>
            <w:shd w:val="clear" w:color="auto" w:fill="351c75"/>
            <w:tcMar>
              <w:top w:w="100" w:type="dxa"/>
              <w:bottom w:w="100" w:type="dxa"/>
            </w:tcMar>
          </w:tcPr>
          <w:p>
            <w:r>
              <w:rPr>
                <w:b/>
                <w:bCs/>
                <w:color w:val="FFFFFF"/>
                <w:sz w:val="22"/>
                <w:szCs w:val="22"/>
                <w:rFonts w:ascii="Lato" w:hAnsi="Lato" w:cs="Lato"/>
              </w:rPr>
              <w:t>Línea Base</w:t>
            </w:r>
          </w:p>
        </w:tc>
        <w:tc>
          <w:tcPr>
            <w:tcW w:w="2000" w:type="dxa"/>
            <w:shd w:val="clear" w:color="auto" w:fill="351c75"/>
            <w:tcMar>
              <w:top w:w="100" w:type="dxa"/>
              <w:bottom w:w="100" w:type="dxa"/>
            </w:tcMar>
          </w:tcPr>
          <w:p>
            <w:r>
              <w:rPr>
                <w:b/>
                <w:bCs/>
                <w:color w:val="FFFFFF"/>
                <w:sz w:val="22"/>
                <w:szCs w:val="22"/>
                <w:rFonts w:ascii="Lato" w:hAnsi="Lato" w:cs="Lato"/>
              </w:rPr>
              <w:t>Meta</w:t>
            </w:r>
          </w:p>
        </w:tc>
        <w:tc>
          <w:tcPr>
            <w:tcW w:w="2029" w:type="dxa"/>
            <w:shd w:val="clear" w:color="auto" w:fill="351c75"/>
            <w:tcMar>
              <w:top w:w="100" w:type="dxa"/>
              <w:bottom w:w="100" w:type="dxa"/>
            </w:tcMar>
          </w:tcPr>
          <w:p>
            <w:r>
              <w:rPr>
                <w:b/>
                <w:bCs/>
                <w:color w:val="FFFFFF"/>
                <w:sz w:val="22"/>
                <w:szCs w:val="22"/>
                <w:rFonts w:ascii="Lato" w:hAnsi="Lato" w:cs="Lato"/>
              </w:rPr>
              <w:t>Fecha de Medición</w:t>
            </w:r>
          </w:p>
        </w:tc>
      </w:tr>
      <w:tr>
        <w:trPr>
          <w:tblHeader/>
        </w:trPr>
        <w:tc>
          <w:tcPr>
            <w:tcW w:w="3000" w:type="dxa"/>
            <w:shd w:val="clear" w:color="auto" w:fill="351c75"/>
            <w:tcMar>
              <w:top w:w="100" w:type="dxa"/>
              <w:bottom w:w="100" w:type="dxa"/>
            </w:tcMar>
          </w:tcPr>
          <w:p>
            <w:r>
              <w:rPr>
                <w:b w:val="0"/>
                <w:bCs/>
                <w:color w:val="FFFFFF"/>
                <w:sz w:val="22"/>
                <w:szCs w:val="22"/>
                <w:rFonts w:ascii="Lato" w:hAnsi="Lato" w:cs="Lato"/>
              </w:rPr>
              <w:t>Certificación ISO 27001 obtenida y vigente</w:t>
            </w:r>
          </w:p>
        </w:tc>
        <w:tc>
          <w:tcPr>
            <w:tcW w:w="2000" w:type="dxa"/>
            <w:shd w:val="clear" w:color="auto" w:fill="351c75"/>
            <w:tcMar>
              <w:top w:w="100" w:type="dxa"/>
              <w:bottom w:w="100" w:type="dxa"/>
            </w:tcMar>
          </w:tcPr>
          <w:p>
            <w:r>
              <w:rPr>
                <w:b w:val="0"/>
                <w:bCs/>
                <w:color w:val="FFFFFF"/>
                <w:sz w:val="22"/>
                <w:szCs w:val="22"/>
                <w:rFonts w:ascii="Lato" w:hAnsi="Lato" w:cs="Lato"/>
              </w:rPr>
              <w:t>Sin certificación</w:t>
            </w:r>
          </w:p>
        </w:tc>
        <w:tc>
          <w:tcPr>
            <w:tcW w:w="2000" w:type="dxa"/>
            <w:shd w:val="clear" w:color="auto" w:fill="351c75"/>
            <w:tcMar>
              <w:top w:w="100" w:type="dxa"/>
              <w:bottom w:w="100" w:type="dxa"/>
            </w:tcMar>
          </w:tcPr>
          <w:p>
            <w:r>
              <w:rPr>
                <w:b w:val="0"/>
                <w:bCs/>
                <w:color w:val="FFFFFF"/>
                <w:sz w:val="22"/>
                <w:szCs w:val="22"/>
                <w:rFonts w:ascii="Lato" w:hAnsi="Lato" w:cs="Lato"/>
              </w:rPr>
              <w:t>Certificado emitido por organismo acreditado</w:t>
            </w:r>
          </w:p>
        </w:tc>
        <w:tc>
          <w:tcPr>
            <w:tcW w:w="2029" w:type="dxa"/>
            <w:shd w:val="clear" w:color="auto" w:fill="351c75"/>
            <w:tcMar>
              <w:top w:w="100" w:type="dxa"/>
              <w:bottom w:w="100" w:type="dxa"/>
            </w:tcMar>
          </w:tcPr>
          <w:p>
            <w:r>
              <w:rPr>
                <w:b w:val="0"/>
                <w:bCs/>
                <w:color w:val="FFFFFF"/>
                <w:sz w:val="22"/>
                <w:szCs w:val="22"/>
                <w:rFonts w:ascii="Lato" w:hAnsi="Lato" w:cs="Lato"/>
              </w:rPr>
              <w:t>Abr 2026 ✅</w:t>
            </w:r>
          </w:p>
        </w:tc>
      </w:tr>
      <w:tr>
        <w:trPr>
          <w:tblHeader/>
        </w:trPr>
        <w:tc>
          <w:tcPr>
            <w:tcW w:w="3000" w:type="dxa"/>
            <w:shd w:val="clear" w:color="auto" w:fill="351c75"/>
            <w:tcMar>
              <w:top w:w="100" w:type="dxa"/>
              <w:bottom w:w="100" w:type="dxa"/>
            </w:tcMar>
          </w:tcPr>
          <w:p>
            <w:r>
              <w:rPr>
                <w:b w:val="0"/>
                <w:bCs/>
                <w:color w:val="FFFFFF"/>
                <w:sz w:val="22"/>
                <w:szCs w:val="22"/>
                <w:rFonts w:ascii="Lato" w:hAnsi="Lato" w:cs="Lato"/>
              </w:rPr>
              <w:t>Persona interna con certificación formal Lead Implementer o Lead Auditor</w:t>
            </w:r>
          </w:p>
        </w:tc>
        <w:tc>
          <w:tcPr>
            <w:tcW w:w="2000" w:type="dxa"/>
            <w:shd w:val="clear" w:color="auto" w:fill="351c75"/>
            <w:tcMar>
              <w:top w:w="100" w:type="dxa"/>
              <w:bottom w:w="100" w:type="dxa"/>
            </w:tcMar>
          </w:tcPr>
          <w:p>
            <w:r>
              <w:rPr>
                <w:b w:val="0"/>
                <w:bCs/>
                <w:color w:val="FFFFFF"/>
                <w:sz w:val="22"/>
                <w:szCs w:val="22"/>
                <w:rFonts w:ascii="Lato" w:hAnsi="Lato" w:cs="Lato"/>
              </w:rPr>
              <w:t>0 personas certificadas</w:t>
            </w:r>
          </w:p>
        </w:tc>
        <w:tc>
          <w:tcPr>
            <w:tcW w:w="2000" w:type="dxa"/>
            <w:shd w:val="clear" w:color="auto" w:fill="351c75"/>
            <w:tcMar>
              <w:top w:w="100" w:type="dxa"/>
              <w:bottom w:w="100" w:type="dxa"/>
            </w:tcMar>
          </w:tcPr>
          <w:p>
            <w:r>
              <w:rPr>
                <w:b w:val="0"/>
                <w:bCs/>
                <w:color w:val="FFFFFF"/>
                <w:sz w:val="22"/>
                <w:szCs w:val="22"/>
                <w:rFonts w:ascii="Lato" w:hAnsi="Lato" w:cs="Lato"/>
              </w:rPr>
              <w:t>1 persona certificada</w:t>
            </w:r>
          </w:p>
        </w:tc>
        <w:tc>
          <w:tcPr>
            <w:tcW w:w="2029" w:type="dxa"/>
            <w:shd w:val="clear" w:color="auto" w:fill="351c75"/>
            <w:tcMar>
              <w:top w:w="100" w:type="dxa"/>
              <w:bottom w:w="100" w:type="dxa"/>
            </w:tcMar>
          </w:tcPr>
          <w:p>
            <w:r>
              <w:rPr>
                <w:b w:val="0"/>
                <w:bCs/>
                <w:color w:val="FFFFFF"/>
                <w:sz w:val="22"/>
                <w:szCs w:val="22"/>
                <w:rFonts w:ascii="Lato" w:hAnsi="Lato" w:cs="Lato"/>
              </w:rPr>
              <w:t>Jun 2025 ✅</w:t>
            </w:r>
          </w:p>
        </w:tc>
      </w:tr>
      <w:tr>
        <w:trPr>
          <w:tblHeader/>
        </w:trPr>
        <w:tc>
          <w:tcPr>
            <w:tcW w:w="3000" w:type="dxa"/>
            <w:shd w:val="clear" w:color="auto" w:fill="351c75"/>
            <w:tcMar>
              <w:top w:w="100" w:type="dxa"/>
              <w:bottom w:w="100" w:type="dxa"/>
            </w:tcMar>
          </w:tcPr>
          <w:p>
            <w:r>
              <w:rPr>
                <w:b w:val="0"/>
                <w:bCs/>
                <w:color w:val="FFFFFF"/>
                <w:sz w:val="22"/>
                <w:szCs w:val="22"/>
                <w:rFonts w:ascii="Lato" w:hAnsi="Lato" w:cs="Lato"/>
              </w:rPr>
              <w:t>Cobertura del programa de awareness training en el personal</w:t>
            </w:r>
          </w:p>
        </w:tc>
        <w:tc>
          <w:tcPr>
            <w:tcW w:w="2000" w:type="dxa"/>
            <w:shd w:val="clear" w:color="auto" w:fill="351c75"/>
            <w:tcMar>
              <w:top w:w="100" w:type="dxa"/>
              <w:bottom w:w="100" w:type="dxa"/>
            </w:tcMar>
          </w:tcPr>
          <w:p>
            <w:r>
              <w:rPr>
                <w:b w:val="0"/>
                <w:bCs/>
                <w:color w:val="FFFFFF"/>
                <w:sz w:val="22"/>
                <w:szCs w:val="22"/>
                <w:rFonts w:ascii="Lato" w:hAnsi="Lato" w:cs="Lato"/>
              </w:rPr>
              <w:t>0%</w:t>
            </w:r>
          </w:p>
        </w:tc>
        <w:tc>
          <w:tcPr>
            <w:tcW w:w="2000" w:type="dxa"/>
            <w:shd w:val="clear" w:color="auto" w:fill="351c75"/>
            <w:tcMar>
              <w:top w:w="100" w:type="dxa"/>
              <w:bottom w:w="100" w:type="dxa"/>
            </w:tcMar>
          </w:tcPr>
          <w:p>
            <w:r>
              <w:rPr>
                <w:b w:val="0"/>
                <w:bCs/>
                <w:color w:val="FFFFFF"/>
                <w:sz w:val="22"/>
                <w:szCs w:val="22"/>
                <w:rFonts w:ascii="Lato" w:hAnsi="Lato" w:cs="Lato"/>
              </w:rPr>
              <w:t>95% del personal con formación inicial completada</w:t>
            </w:r>
          </w:p>
        </w:tc>
        <w:tc>
          <w:tcPr>
            <w:tcW w:w="2029" w:type="dxa"/>
            <w:shd w:val="clear" w:color="auto" w:fill="351c75"/>
            <w:tcMar>
              <w:top w:w="100" w:type="dxa"/>
              <w:bottom w:w="100" w:type="dxa"/>
            </w:tcMar>
          </w:tcPr>
          <w:p>
            <w:r>
              <w:rPr>
                <w:b w:val="0"/>
                <w:bCs/>
                <w:color w:val="FFFFFF"/>
                <w:sz w:val="22"/>
                <w:szCs w:val="22"/>
                <w:rFonts w:ascii="Lato" w:hAnsi="Lato" w:cs="Lato"/>
              </w:rPr>
              <w:t>Nov 2025 ✅</w:t>
            </w:r>
          </w:p>
        </w:tc>
      </w:tr>
      <w:tr>
        <w:trPr>
          <w:tblHeader/>
        </w:trPr>
        <w:tc>
          <w:tcPr>
            <w:tcW w:w="3000" w:type="dxa"/>
            <w:shd w:val="clear" w:color="auto" w:fill="351c75"/>
            <w:tcMar>
              <w:top w:w="100" w:type="dxa"/>
              <w:bottom w:w="100" w:type="dxa"/>
            </w:tcMar>
          </w:tcPr>
          <w:p>
            <w:r>
              <w:rPr>
                <w:b w:val="0"/>
                <w:bCs/>
                <w:color w:val="FFFFFF"/>
                <w:sz w:val="22"/>
                <w:szCs w:val="22"/>
                <w:rFonts w:ascii="Lato" w:hAnsi="Lato" w:cs="Lato"/>
              </w:rPr>
              <w:t>No conformidades mayores en auditoría de certificación Fase 2</w:t>
            </w:r>
          </w:p>
        </w:tc>
        <w:tc>
          <w:tcPr>
            <w:tcW w:w="2000" w:type="dxa"/>
            <w:shd w:val="clear" w:color="auto" w:fill="351c75"/>
            <w:tcMar>
              <w:top w:w="100" w:type="dxa"/>
              <w:bottom w:w="100" w:type="dxa"/>
            </w:tcMar>
          </w:tcPr>
          <w:p>
            <w:r>
              <w:rPr>
                <w:b w:val="0"/>
                <w:bCs/>
                <w:color w:val="FFFFFF"/>
                <w:sz w:val="22"/>
                <w:szCs w:val="22"/>
                <w:rFonts w:ascii="Lato" w:hAnsi="Lato" w:cs="Lato"/>
              </w:rPr>
              <w:t>N/A</w:t>
            </w:r>
          </w:p>
        </w:tc>
        <w:tc>
          <w:tcPr>
            <w:tcW w:w="2000" w:type="dxa"/>
            <w:shd w:val="clear" w:color="auto" w:fill="351c75"/>
            <w:tcMar>
              <w:top w:w="100" w:type="dxa"/>
              <w:bottom w:w="100" w:type="dxa"/>
            </w:tcMar>
          </w:tcPr>
          <w:p>
            <w:r>
              <w:rPr>
                <w:b w:val="0"/>
                <w:bCs/>
                <w:color w:val="FFFFFF"/>
                <w:sz w:val="22"/>
                <w:szCs w:val="22"/>
                <w:rFonts w:ascii="Lato" w:hAnsi="Lato" w:cs="Lato"/>
              </w:rPr>
              <w:t>0 no conformidades mayores</w:t>
            </w:r>
          </w:p>
        </w:tc>
        <w:tc>
          <w:tcPr>
            <w:tcW w:w="2029" w:type="dxa"/>
            <w:shd w:val="clear" w:color="auto" w:fill="351c75"/>
            <w:tcMar>
              <w:top w:w="100" w:type="dxa"/>
              <w:bottom w:w="100" w:type="dxa"/>
            </w:tcMar>
          </w:tcPr>
          <w:p>
            <w:r>
              <w:rPr>
                <w:b w:val="0"/>
                <w:bCs/>
                <w:color w:val="FFFFFF"/>
                <w:sz w:val="22"/>
                <w:szCs w:val="22"/>
                <w:rFonts w:ascii="Lato" w:hAnsi="Lato" w:cs="Lato"/>
              </w:rPr>
              <w:t>Abr 2026 ✅</w:t>
            </w:r>
          </w:p>
        </w:tc>
      </w:tr>
      <w:tr>
        <w:trPr>
          <w:tblHeader/>
        </w:trPr>
        <w:tc>
          <w:tcPr>
            <w:tcW w:w="3000" w:type="dxa"/>
            <w:shd w:val="clear" w:color="auto" w:fill="351c75"/>
            <w:tcMar>
              <w:top w:w="100" w:type="dxa"/>
              <w:bottom w:w="100" w:type="dxa"/>
            </w:tcMar>
          </w:tcPr>
          <w:p>
            <w:r>
              <w:rPr>
                <w:b w:val="0"/>
                <w:bCs/>
                <w:color w:val="FFFFFF"/>
                <w:sz w:val="22"/>
                <w:szCs w:val="22"/>
                <w:rFonts w:ascii="Lato" w:hAnsi="Lato" w:cs="Lato"/>
              </w:rPr>
              <w:t>Certificación visible y accesible en canales comerciales y de marketing</w:t>
            </w:r>
          </w:p>
        </w:tc>
        <w:tc>
          <w:tcPr>
            <w:tcW w:w="2000" w:type="dxa"/>
            <w:shd w:val="clear" w:color="auto" w:fill="351c75"/>
            <w:tcMar>
              <w:top w:w="100" w:type="dxa"/>
              <w:bottom w:w="100" w:type="dxa"/>
            </w:tcMar>
          </w:tcPr>
          <w:p>
            <w:r>
              <w:rPr>
                <w:b w:val="0"/>
                <w:bCs/>
                <w:color w:val="FFFFFF"/>
                <w:sz w:val="22"/>
                <w:szCs w:val="22"/>
                <w:rFonts w:ascii="Lato" w:hAnsi="Lato" w:cs="Lato"/>
              </w:rPr>
              <w:t>0 canales actualizados</w:t>
            </w:r>
          </w:p>
        </w:tc>
        <w:tc>
          <w:tcPr>
            <w:tcW w:w="2000" w:type="dxa"/>
            <w:shd w:val="clear" w:color="auto" w:fill="351c75"/>
            <w:tcMar>
              <w:top w:w="100" w:type="dxa"/>
              <w:bottom w:w="100" w:type="dxa"/>
            </w:tcMar>
          </w:tcPr>
          <w:p>
            <w:r>
              <w:rPr>
                <w:b w:val="0"/>
                <w:bCs/>
                <w:color w:val="FFFFFF"/>
                <w:sz w:val="22"/>
                <w:szCs w:val="22"/>
                <w:rFonts w:ascii="Lato" w:hAnsi="Lato" w:cs="Lato"/>
              </w:rPr>
              <w:t>4 canales activos: Trust Center, web, brochure y SEO</w:t>
            </w:r>
          </w:p>
        </w:tc>
        <w:tc>
          <w:tcPr>
            <w:tcW w:w="2029" w:type="dxa"/>
            <w:shd w:val="clear" w:color="auto" w:fill="351c75"/>
            <w:tcMar>
              <w:top w:w="100" w:type="dxa"/>
              <w:bottom w:w="100" w:type="dxa"/>
            </w:tcMar>
          </w:tcPr>
          <w:p>
            <w:r>
              <w:rPr>
                <w:b w:val="0"/>
                <w:bCs/>
                <w:color w:val="FFFFFF"/>
                <w:sz w:val="22"/>
                <w:szCs w:val="22"/>
                <w:rFonts w:ascii="Lato" w:hAnsi="Lato" w:cs="Lato"/>
              </w:rPr>
              <w:t>May 2026</w:t>
            </w:r>
          </w:p>
        </w:tc>
      </w:tr>
    </w:tbl>
    <w:p>
      <w:pPr>
        <w:spacing w:before="240" w:after="0"/>
      </w:pPr>
    </w:p>
    <w:p>
      <w:pPr>
        <w:pStyle w:val="Heading2"/>
      </w:pPr>
      <w:r>
        <w:t>5. Plan de Ejecución</w:t>
      </w:r>
    </w:p>
    <w:p>
      <w:pPr>
        <w:spacing w:before="0" w:after="160"/>
      </w:pPr>
      <w:r>
        <w:rPr>
          <w:i/>
          <w:iCs/>
          <w:color w:val="666666"/>
          <w:sz w:val="22"/>
          <w:szCs w:val="22"/>
          <w:rFonts w:ascii="Lato" w:hAnsi="Lato" w:cs="Lato"/>
        </w:rPr>
        <w:t>Hitos principales en orden cronológico. No es un plan de proyecto detallado, sino los movimientos clave y cuándo ocurren.</w:t>
      </w:r>
    </w:p>
    <w:tbl>
      <w:tblPr>
        <w:tblW w:w="9029" w:type="dxa"/>
        <w:tblBorders>
          <w:top w:val="single" w:sz="4" w:space="0" w:color="D0C4E8"/>
          <w:left w:val="single" w:sz="4" w:space="0" w:color="D0C4E8"/>
          <w:bottom w:val="single" w:sz="4" w:space="0" w:color="D0C4E8"/>
          <w:right w:val="single" w:sz="4" w:space="0" w:color="D0C4E8"/>
          <w:insideH w:val="single" w:sz="4" w:space="0" w:color="D0C4E8"/>
          <w:insideV w:val="single" w:sz="4" w:space="0" w:color="D0C4E8"/>
        </w:tblBorders>
        <w:tblLayout w:type="fixed"/>
      </w:tblPr>
      <w:tblGrid>
        <w:gridCol w:w="2500"/>
        <w:gridCol w:w="4529"/>
        <w:gridCol w:w="2000"/>
      </w:tblGrid>
      <w:tr>
        <w:trPr>
          <w:tblHeader/>
        </w:trPr>
        <w:tc>
          <w:tcPr>
            <w:tcW w:w="2500" w:type="dxa"/>
            <w:shd w:val="clear" w:color="auto" w:fill="351c75"/>
            <w:tcMar>
              <w:top w:w="100" w:type="dxa"/>
              <w:bottom w:w="100" w:type="dxa"/>
            </w:tcMar>
          </w:tcPr>
          <w:p>
            <w:r>
              <w:rPr>
                <w:b/>
                <w:bCs/>
                <w:color w:val="FFFFFF"/>
                <w:sz w:val="22"/>
                <w:szCs w:val="22"/>
                <w:rFonts w:ascii="Lato" w:hAnsi="Lato" w:cs="Lato"/>
              </w:rPr>
              <w:t>Hito</w:t>
            </w:r>
          </w:p>
        </w:tc>
        <w:tc>
          <w:tcPr>
            <w:tcW w:w="4529" w:type="dxa"/>
            <w:shd w:val="clear" w:color="auto" w:fill="351c75"/>
            <w:tcMar>
              <w:top w:w="100" w:type="dxa"/>
              <w:bottom w:w="100" w:type="dxa"/>
            </w:tcMar>
          </w:tcPr>
          <w:p>
            <w:r>
              <w:rPr>
                <w:b/>
                <w:bCs/>
                <w:color w:val="FFFFFF"/>
                <w:sz w:val="22"/>
                <w:szCs w:val="22"/>
                <w:rFonts w:ascii="Lato" w:hAnsi="Lato" w:cs="Lato"/>
              </w:rPr>
              <w:t>Descripción</w:t>
            </w:r>
          </w:p>
        </w:tc>
        <w:tc>
          <w:tcPr>
            <w:tcW w:w="2000" w:type="dxa"/>
            <w:shd w:val="clear" w:color="auto" w:fill="351c75"/>
            <w:tcMar>
              <w:top w:w="100" w:type="dxa"/>
              <w:bottom w:w="100" w:type="dxa"/>
            </w:tcMar>
          </w:tcPr>
          <w:p>
            <w:r>
              <w:rPr>
                <w:b/>
                <w:bCs/>
                <w:color w:val="FFFFFF"/>
                <w:sz w:val="22"/>
                <w:szCs w:val="22"/>
                <w:rFonts w:ascii="Lato" w:hAnsi="Lato" w:cs="Lato"/>
              </w:rPr>
              <w:t>Fecha estimada</w:t>
            </w:r>
          </w:p>
        </w:tc>
      </w:tr>
      <w:tr>
        <w:trPr>
          <w:tblHeader/>
        </w:trPr>
        <w:tc>
          <w:tcPr>
            <w:tcW w:w="2500" w:type="dxa"/>
            <w:shd w:val="clear" w:color="auto" w:fill="351c75"/>
            <w:tcMar>
              <w:top w:w="100" w:type="dxa"/>
              <w:bottom w:w="100" w:type="dxa"/>
            </w:tcMar>
          </w:tcPr>
          <w:p>
            <w:r>
              <w:rPr>
                <w:b w:val="0"/>
                <w:bCs/>
                <w:color w:val="FFFFFF"/>
                <w:sz w:val="22"/>
                <w:szCs w:val="22"/>
                <w:rFonts w:ascii="Lato" w:hAnsi="Lato" w:cs="Lato"/>
              </w:rPr>
              <w:t>LA1: Constitución del equipo y capacitación formal</w:t>
            </w:r>
          </w:p>
        </w:tc>
        <w:tc>
          <w:tcPr>
            <w:tcW w:w="4529" w:type="dxa"/>
            <w:shd w:val="clear" w:color="auto" w:fill="351c75"/>
            <w:tcMar>
              <w:top w:w="100" w:type="dxa"/>
              <w:bottom w:w="100" w:type="dxa"/>
            </w:tcMar>
          </w:tcPr>
          <w:p>
            <w:r>
              <w:rPr>
                <w:b w:val="0"/>
                <w:bCs/>
                <w:color w:val="FFFFFF"/>
                <w:sz w:val="22"/>
                <w:szCs w:val="22"/>
                <w:rFonts w:ascii="Lato" w:hAnsi="Lato" w:cs="Lato"/>
              </w:rPr>
              <w:t>Designación del CISO, compromiso del CEO, certificación Lead Implementer del CISO</w:t>
            </w:r>
          </w:p>
        </w:tc>
        <w:tc>
          <w:tcPr>
            <w:tcW w:w="2000" w:type="dxa"/>
            <w:shd w:val="clear" w:color="auto" w:fill="351c75"/>
            <w:tcMar>
              <w:top w:w="100" w:type="dxa"/>
              <w:bottom w:w="100" w:type="dxa"/>
            </w:tcMar>
          </w:tcPr>
          <w:p>
            <w:r>
              <w:rPr>
                <w:b w:val="0"/>
                <w:bCs/>
                <w:color w:val="FFFFFF"/>
                <w:sz w:val="22"/>
                <w:szCs w:val="22"/>
                <w:rFonts w:ascii="Lato" w:hAnsi="Lato" w:cs="Lato"/>
              </w:rPr>
              <w:t>Jun 2025</w:t>
            </w:r>
          </w:p>
        </w:tc>
      </w:tr>
      <w:tr>
        <w:trPr>
          <w:tblHeader/>
        </w:trPr>
        <w:tc>
          <w:tcPr>
            <w:tcW w:w="2500" w:type="dxa"/>
            <w:shd w:val="clear" w:color="auto" w:fill="351c75"/>
            <w:tcMar>
              <w:top w:w="100" w:type="dxa"/>
              <w:bottom w:w="100" w:type="dxa"/>
            </w:tcMar>
          </w:tcPr>
          <w:p>
            <w:r>
              <w:rPr>
                <w:b w:val="0"/>
                <w:bCs/>
                <w:color w:val="FFFFFF"/>
                <w:sz w:val="22"/>
                <w:szCs w:val="22"/>
                <w:rFonts w:ascii="Lato" w:hAnsi="Lato" w:cs="Lato"/>
              </w:rPr>
              <w:t>LA2: Planificación del SGSI</w:t>
            </w:r>
          </w:p>
        </w:tc>
        <w:tc>
          <w:tcPr>
            <w:tcW w:w="4529" w:type="dxa"/>
            <w:shd w:val="clear" w:color="auto" w:fill="351c75"/>
            <w:tcMar>
              <w:top w:w="100" w:type="dxa"/>
              <w:bottom w:w="100" w:type="dxa"/>
            </w:tcMar>
          </w:tcPr>
          <w:p>
            <w:r>
              <w:rPr>
                <w:b w:val="0"/>
                <w:bCs/>
                <w:color w:val="FFFFFF"/>
                <w:sz w:val="22"/>
                <w:szCs w:val="22"/>
                <w:rFonts w:ascii="Lato" w:hAnsi="Lato" w:cs="Lato"/>
              </w:rPr>
              <w:t>Gap analysis, definición de alcance formal, metodología de riesgos, SOA</w:t>
            </w:r>
          </w:p>
        </w:tc>
        <w:tc>
          <w:tcPr>
            <w:tcW w:w="2000" w:type="dxa"/>
            <w:shd w:val="clear" w:color="auto" w:fill="351c75"/>
            <w:tcMar>
              <w:top w:w="100" w:type="dxa"/>
              <w:bottom w:w="100" w:type="dxa"/>
            </w:tcMar>
          </w:tcPr>
          <w:p>
            <w:r>
              <w:rPr>
                <w:b w:val="0"/>
                <w:bCs/>
                <w:color w:val="FFFFFF"/>
                <w:sz w:val="22"/>
                <w:szCs w:val="22"/>
                <w:rFonts w:ascii="Lato" w:hAnsi="Lato" w:cs="Lato"/>
              </w:rPr>
              <w:t>Sep 2025</w:t>
            </w:r>
          </w:p>
        </w:tc>
      </w:tr>
      <w:tr>
        <w:trPr>
          <w:tblHeader/>
        </w:trPr>
        <w:tc>
          <w:tcPr>
            <w:tcW w:w="2500" w:type="dxa"/>
            <w:shd w:val="clear" w:color="auto" w:fill="351c75"/>
            <w:tcMar>
              <w:top w:w="100" w:type="dxa"/>
              <w:bottom w:w="100" w:type="dxa"/>
            </w:tcMar>
          </w:tcPr>
          <w:p>
            <w:r>
              <w:rPr>
                <w:b w:val="0"/>
                <w:bCs/>
                <w:color w:val="FFFFFF"/>
                <w:sz w:val="22"/>
                <w:szCs w:val="22"/>
                <w:rFonts w:ascii="Lato" w:hAnsi="Lato" w:cs="Lato"/>
              </w:rPr>
              <w:t>LA3: Implementación de controles</w:t>
            </w:r>
          </w:p>
        </w:tc>
        <w:tc>
          <w:tcPr>
            <w:tcW w:w="4529" w:type="dxa"/>
            <w:shd w:val="clear" w:color="auto" w:fill="351c75"/>
            <w:tcMar>
              <w:top w:w="100" w:type="dxa"/>
              <w:bottom w:w="100" w:type="dxa"/>
            </w:tcMar>
          </w:tcPr>
          <w:p>
            <w:r>
              <w:rPr>
                <w:b w:val="0"/>
                <w:bCs/>
                <w:color w:val="FFFFFF"/>
                <w:sz w:val="22"/>
                <w:szCs w:val="22"/>
                <w:rFonts w:ascii="Lato" w:hAnsi="Lato" w:cs="Lato"/>
              </w:rPr>
              <w:t>Controles organizativos, técnicos y de personal. Awareness training. Plan de continuidad de negocio</w:t>
            </w:r>
          </w:p>
        </w:tc>
        <w:tc>
          <w:tcPr>
            <w:tcW w:w="2000" w:type="dxa"/>
            <w:shd w:val="clear" w:color="auto" w:fill="351c75"/>
            <w:tcMar>
              <w:top w:w="100" w:type="dxa"/>
              <w:bottom w:w="100" w:type="dxa"/>
            </w:tcMar>
          </w:tcPr>
          <w:p>
            <w:r>
              <w:rPr>
                <w:b w:val="0"/>
                <w:bCs/>
                <w:color w:val="FFFFFF"/>
                <w:sz w:val="22"/>
                <w:szCs w:val="22"/>
                <w:rFonts w:ascii="Lato" w:hAnsi="Lato" w:cs="Lato"/>
              </w:rPr>
              <w:t>Dic 2025</w:t>
            </w:r>
          </w:p>
        </w:tc>
      </w:tr>
      <w:tr>
        <w:trPr>
          <w:tblHeader/>
        </w:trPr>
        <w:tc>
          <w:tcPr>
            <w:tcW w:w="2500" w:type="dxa"/>
            <w:shd w:val="clear" w:color="auto" w:fill="351c75"/>
            <w:tcMar>
              <w:top w:w="100" w:type="dxa"/>
              <w:bottom w:w="100" w:type="dxa"/>
            </w:tcMar>
          </w:tcPr>
          <w:p>
            <w:r>
              <w:rPr>
                <w:b w:val="0"/>
                <w:bCs/>
                <w:color w:val="FFFFFF"/>
                <w:sz w:val="22"/>
                <w:szCs w:val="22"/>
                <w:rFonts w:ascii="Lato" w:hAnsi="Lato" w:cs="Lato"/>
              </w:rPr>
              <w:t>LA4: Evaluación y auditorías internas</w:t>
            </w:r>
          </w:p>
        </w:tc>
        <w:tc>
          <w:tcPr>
            <w:tcW w:w="4529" w:type="dxa"/>
            <w:shd w:val="clear" w:color="auto" w:fill="351c75"/>
            <w:tcMar>
              <w:top w:w="100" w:type="dxa"/>
              <w:bottom w:w="100" w:type="dxa"/>
            </w:tcMar>
          </w:tcPr>
          <w:p>
            <w:r>
              <w:rPr>
                <w:b w:val="0"/>
                <w:bCs/>
                <w:color w:val="FFFFFF"/>
                <w:sz w:val="22"/>
                <w:szCs w:val="22"/>
                <w:rFonts w:ascii="Lato" w:hAnsi="Lato" w:cs="Lato"/>
              </w:rPr>
              <w:t>Certificación auditor interno, primera auditoría interna, revisión por la dirección, mock audit</w:t>
            </w:r>
          </w:p>
        </w:tc>
        <w:tc>
          <w:tcPr>
            <w:tcW w:w="2000" w:type="dxa"/>
            <w:shd w:val="clear" w:color="auto" w:fill="351c75"/>
            <w:tcMar>
              <w:top w:w="100" w:type="dxa"/>
              <w:bottom w:w="100" w:type="dxa"/>
            </w:tcMar>
          </w:tcPr>
          <w:p>
            <w:r>
              <w:rPr>
                <w:b w:val="0"/>
                <w:bCs/>
                <w:color w:val="FFFFFF"/>
                <w:sz w:val="22"/>
                <w:szCs w:val="22"/>
                <w:rFonts w:ascii="Lato" w:hAnsi="Lato" w:cs="Lato"/>
              </w:rPr>
              <w:t>Feb 2026</w:t>
            </w:r>
          </w:p>
        </w:tc>
      </w:tr>
      <w:tr>
        <w:trPr>
          <w:tblHeader/>
        </w:trPr>
        <w:tc>
          <w:tcPr>
            <w:tcW w:w="2500" w:type="dxa"/>
            <w:shd w:val="clear" w:color="auto" w:fill="351c75"/>
            <w:tcMar>
              <w:top w:w="100" w:type="dxa"/>
              <w:bottom w:w="100" w:type="dxa"/>
            </w:tcMar>
          </w:tcPr>
          <w:p>
            <w:r>
              <w:rPr>
                <w:b w:val="0"/>
                <w:bCs/>
                <w:color w:val="FFFFFF"/>
                <w:sz w:val="22"/>
                <w:szCs w:val="22"/>
                <w:rFonts w:ascii="Lato" w:hAnsi="Lato" w:cs="Lato"/>
              </w:rPr>
              <w:t>LA5: Certificación externa</w:t>
            </w:r>
          </w:p>
        </w:tc>
        <w:tc>
          <w:tcPr>
            <w:tcW w:w="4529" w:type="dxa"/>
            <w:shd w:val="clear" w:color="auto" w:fill="351c75"/>
            <w:tcMar>
              <w:top w:w="100" w:type="dxa"/>
              <w:bottom w:w="100" w:type="dxa"/>
            </w:tcMar>
          </w:tcPr>
          <w:p>
            <w:r>
              <w:rPr>
                <w:b w:val="0"/>
                <w:bCs/>
                <w:color w:val="FFFFFF"/>
                <w:sz w:val="22"/>
                <w:szCs w:val="22"/>
                <w:rFonts w:ascii="Lato" w:hAnsi="Lato" w:cs="Lato"/>
              </w:rPr>
              <w:t>Auditoría Fase 1 (documental) y Fase 2 (operacional). Recepción del certificado ISO 27001</w:t>
            </w:r>
          </w:p>
        </w:tc>
        <w:tc>
          <w:tcPr>
            <w:tcW w:w="2000" w:type="dxa"/>
            <w:shd w:val="clear" w:color="auto" w:fill="351c75"/>
            <w:tcMar>
              <w:top w:w="100" w:type="dxa"/>
              <w:bottom w:w="100" w:type="dxa"/>
            </w:tcMar>
          </w:tcPr>
          <w:p>
            <w:r>
              <w:rPr>
                <w:b w:val="0"/>
                <w:bCs/>
                <w:color w:val="FFFFFF"/>
                <w:sz w:val="22"/>
                <w:szCs w:val="22"/>
                <w:rFonts w:ascii="Lato" w:hAnsi="Lato" w:cs="Lato"/>
              </w:rPr>
              <w:t>Abr 2026</w:t>
            </w:r>
          </w:p>
        </w:tc>
      </w:tr>
      <w:tr>
        <w:trPr>
          <w:tblHeader/>
        </w:trPr>
        <w:tc>
          <w:tcPr>
            <w:tcW w:w="2500" w:type="dxa"/>
            <w:shd w:val="clear" w:color="auto" w:fill="351c75"/>
            <w:tcMar>
              <w:top w:w="100" w:type="dxa"/>
              <w:bottom w:w="100" w:type="dxa"/>
            </w:tcMar>
          </w:tcPr>
          <w:p>
            <w:r>
              <w:rPr>
                <w:b w:val="0"/>
                <w:bCs/>
                <w:color w:val="FFFFFF"/>
                <w:sz w:val="22"/>
                <w:szCs w:val="22"/>
                <w:rFonts w:ascii="Lato" w:hAnsi="Lato" w:cs="Lato"/>
              </w:rPr>
              <w:t>LA6: Comunicación y visibilidad</w:t>
            </w:r>
          </w:p>
        </w:tc>
        <w:tc>
          <w:tcPr>
            <w:tcW w:w="4529" w:type="dxa"/>
            <w:shd w:val="clear" w:color="auto" w:fill="351c75"/>
            <w:tcMar>
              <w:top w:w="100" w:type="dxa"/>
              <w:bottom w:w="100" w:type="dxa"/>
            </w:tcMar>
          </w:tcPr>
          <w:p>
            <w:r>
              <w:rPr>
                <w:b w:val="0"/>
                <w:bCs/>
                <w:color w:val="FFFFFF"/>
                <w:sz w:val="22"/>
                <w:szCs w:val="22"/>
                <w:rFonts w:ascii="Lato" w:hAnsi="Lato" w:cs="Lato"/>
              </w:rPr>
              <w:t>Trust Center en web, publicación del certificado, actualización brochure, optimización SEO</w:t>
            </w:r>
          </w:p>
        </w:tc>
        <w:tc>
          <w:tcPr>
            <w:tcW w:w="2000" w:type="dxa"/>
            <w:shd w:val="clear" w:color="auto" w:fill="351c75"/>
            <w:tcMar>
              <w:top w:w="100" w:type="dxa"/>
              <w:bottom w:w="100" w:type="dxa"/>
            </w:tcMar>
          </w:tcPr>
          <w:p>
            <w:r>
              <w:rPr>
                <w:b w:val="0"/>
                <w:bCs/>
                <w:color w:val="FFFFFF"/>
                <w:sz w:val="22"/>
                <w:szCs w:val="22"/>
                <w:rFonts w:ascii="Lato" w:hAnsi="Lato" w:cs="Lato"/>
              </w:rPr>
              <w:t>May 2026</w:t>
            </w:r>
          </w:p>
        </w:tc>
      </w:tr>
    </w:tbl>
    <w:p>
      <w:pPr>
        <w:spacing w:before="240" w:after="0"/>
      </w:pPr>
    </w:p>
    <w:p>
      <w:pPr>
        <w:pStyle w:val="Heading2"/>
      </w:pPr>
      <w:r>
        <w:t>6. Dependencias</w:t>
      </w:r>
    </w:p>
    <w:p>
      <w:pPr>
        <w:spacing w:before="0" w:after="160"/>
      </w:pPr>
      <w:r>
        <w:rPr>
          <w:i/>
          <w:iCs/>
          <w:color w:val="666666"/>
          <w:sz w:val="22"/>
          <w:szCs w:val="22"/>
          <w:rFonts w:ascii="Lato" w:hAnsi="Lato" w:cs="Lato"/>
        </w:rPr>
        <w:t>¿Qué debe ocurrir primero, o en paralelo, para que esta iniciativa pueda avanzar?</w:t>
      </w:r>
    </w:p>
    <w:tbl>
      <w:tblPr>
        <w:tblW w:w="9029" w:type="dxa"/>
        <w:tblBorders>
          <w:top w:val="single" w:sz="4" w:space="0" w:color="D0C4E8"/>
          <w:left w:val="single" w:sz="4" w:space="0" w:color="D0C4E8"/>
          <w:bottom w:val="single" w:sz="4" w:space="0" w:color="D0C4E8"/>
          <w:right w:val="single" w:sz="4" w:space="0" w:color="D0C4E8"/>
          <w:insideH w:val="single" w:sz="4" w:space="0" w:color="D0C4E8"/>
          <w:insideV w:val="single" w:sz="4" w:space="0" w:color="D0C4E8"/>
        </w:tblBorders>
        <w:tblLayout w:type="fixed"/>
      </w:tblPr>
      <w:tblGrid>
        <w:gridCol w:w="3500"/>
        <w:gridCol w:w="1800"/>
        <w:gridCol w:w="3729"/>
      </w:tblGrid>
      <w:tr>
        <w:trPr>
          <w:tblHeader/>
        </w:trPr>
        <w:tc>
          <w:tcPr>
            <w:tcW w:w="3500" w:type="dxa"/>
            <w:shd w:val="clear" w:color="auto" w:fill="a1218f"/>
            <w:tcMar>
              <w:top w:w="100" w:type="dxa"/>
              <w:bottom w:w="100" w:type="dxa"/>
            </w:tcMar>
          </w:tcPr>
          <w:p>
            <w:r>
              <w:rPr>
                <w:b/>
                <w:bCs/>
                <w:color w:val="FFFFFF"/>
                <w:sz w:val="22"/>
                <w:szCs w:val="22"/>
                <w:rFonts w:ascii="Lato" w:hAnsi="Lato" w:cs="Lato"/>
              </w:rPr>
              <w:t>Dependencia</w:t>
            </w:r>
          </w:p>
        </w:tc>
        <w:tc>
          <w:tcPr>
            <w:tcW w:w="1800" w:type="dxa"/>
            <w:shd w:val="clear" w:color="auto" w:fill="a1218f"/>
            <w:tcMar>
              <w:top w:w="100" w:type="dxa"/>
              <w:bottom w:w="100" w:type="dxa"/>
            </w:tcMar>
          </w:tcPr>
          <w:p>
            <w:r>
              <w:rPr>
                <w:b/>
                <w:bCs/>
                <w:color w:val="FFFFFF"/>
                <w:sz w:val="22"/>
                <w:szCs w:val="22"/>
                <w:rFonts w:ascii="Lato" w:hAnsi="Lato" w:cs="Lato"/>
              </w:rPr>
              <w:t>Tipo</w:t>
            </w:r>
          </w:p>
        </w:tc>
        <w:tc>
          <w:tcPr>
            <w:tcW w:w="3729" w:type="dxa"/>
            <w:shd w:val="clear" w:color="auto" w:fill="a1218f"/>
            <w:tcMar>
              <w:top w:w="100" w:type="dxa"/>
              <w:bottom w:w="100" w:type="dxa"/>
            </w:tcMar>
          </w:tcPr>
          <w:p>
            <w:r>
              <w:rPr>
                <w:b/>
                <w:bCs/>
                <w:color w:val="FFFFFF"/>
                <w:sz w:val="22"/>
                <w:szCs w:val="22"/>
                <w:rFonts w:ascii="Lato" w:hAnsi="Lato" w:cs="Lato"/>
              </w:rPr>
              <w:t>Iniciativa o proyecto relacionado</w:t>
            </w:r>
          </w:p>
        </w:tc>
      </w:tr>
      <w:tr>
        <w:trPr>
          <w:tblHeader/>
        </w:trPr>
        <w:tc>
          <w:tcPr>
            <w:tcW w:w="3500" w:type="dxa"/>
            <w:shd w:val="clear" w:color="auto" w:fill="a1218f"/>
            <w:tcMar>
              <w:top w:w="100" w:type="dxa"/>
              <w:bottom w:w="100" w:type="dxa"/>
            </w:tcMar>
          </w:tcPr>
          <w:p>
            <w:r>
              <w:rPr>
                <w:b w:val="0"/>
                <w:bCs/>
                <w:color w:val="FFFFFF"/>
                <w:sz w:val="22"/>
                <w:szCs w:val="22"/>
                <w:rFonts w:ascii="Lato" w:hAnsi="Lato" w:cs="Lato"/>
              </w:rPr>
              <w:t>Aprobación de presupuesto por la dirección (USD 136,000–160,000 incluyendo tiempo interno)</w:t>
            </w:r>
          </w:p>
        </w:tc>
        <w:tc>
          <w:tcPr>
            <w:tcW w:w="1800" w:type="dxa"/>
            <w:shd w:val="clear" w:color="auto" w:fill="a1218f"/>
            <w:tcMar>
              <w:top w:w="100" w:type="dxa"/>
              <w:bottom w:w="100" w:type="dxa"/>
            </w:tcMar>
          </w:tcPr>
          <w:p>
            <w:r>
              <w:rPr>
                <w:b w:val="0"/>
                <w:bCs/>
                <w:color w:val="FFFFFF"/>
                <w:sz w:val="22"/>
                <w:szCs w:val="22"/>
                <w:rFonts w:ascii="Lato" w:hAnsi="Lato" w:cs="Lato"/>
              </w:rPr>
              <w:t>Bloqueante</w:t>
            </w:r>
          </w:p>
        </w:tc>
        <w:tc>
          <w:tcPr>
            <w:tcW w:w="3729" w:type="dxa"/>
            <w:shd w:val="clear" w:color="auto" w:fill="a1218f"/>
            <w:tcMar>
              <w:top w:w="100" w:type="dxa"/>
              <w:bottom w:w="100" w:type="dxa"/>
            </w:tcMar>
          </w:tcPr>
          <w:p>
            <w:r>
              <w:rPr>
                <w:b w:val="0"/>
                <w:bCs/>
                <w:color w:val="FFFFFF"/>
                <w:sz w:val="22"/>
                <w:szCs w:val="22"/>
                <w:rFonts w:ascii="Lato" w:hAnsi="Lato" w:cs="Lato"/>
              </w:rPr>
              <w:t>Planificación financiera anual 2026</w:t>
            </w:r>
          </w:p>
        </w:tc>
      </w:tr>
      <w:tr>
        <w:trPr>
          <w:tblHeader/>
        </w:trPr>
        <w:tc>
          <w:tcPr>
            <w:tcW w:w="3500" w:type="dxa"/>
            <w:shd w:val="clear" w:color="auto" w:fill="a1218f"/>
            <w:tcMar>
              <w:top w:w="100" w:type="dxa"/>
              <w:bottom w:w="100" w:type="dxa"/>
            </w:tcMar>
          </w:tcPr>
          <w:p>
            <w:r>
              <w:rPr>
                <w:b w:val="0"/>
                <w:bCs/>
                <w:color w:val="FFFFFF"/>
                <w:sz w:val="22"/>
                <w:szCs w:val="22"/>
                <w:rFonts w:ascii="Lato" w:hAnsi="Lato" w:cs="Lato"/>
              </w:rPr>
              <w:t>Designación del CISO/Responsable SGSI con dedicación del 50-70% por 6-9 meses</w:t>
            </w:r>
          </w:p>
        </w:tc>
        <w:tc>
          <w:tcPr>
            <w:tcW w:w="1800" w:type="dxa"/>
            <w:shd w:val="clear" w:color="auto" w:fill="a1218f"/>
            <w:tcMar>
              <w:top w:w="100" w:type="dxa"/>
              <w:bottom w:w="100" w:type="dxa"/>
            </w:tcMar>
          </w:tcPr>
          <w:p>
            <w:r>
              <w:rPr>
                <w:b w:val="0"/>
                <w:bCs/>
                <w:color w:val="FFFFFF"/>
                <w:sz w:val="22"/>
                <w:szCs w:val="22"/>
                <w:rFonts w:ascii="Lato" w:hAnsi="Lato" w:cs="Lato"/>
              </w:rPr>
              <w:t>Bloqueante</w:t>
            </w:r>
          </w:p>
        </w:tc>
        <w:tc>
          <w:tcPr>
            <w:tcW w:w="3729" w:type="dxa"/>
            <w:shd w:val="clear" w:color="auto" w:fill="a1218f"/>
            <w:tcMar>
              <w:top w:w="100" w:type="dxa"/>
              <w:bottom w:w="100" w:type="dxa"/>
            </w:tcMar>
          </w:tcPr>
          <w:p>
            <w:r>
              <w:rPr>
                <w:b w:val="0"/>
                <w:bCs/>
                <w:color w:val="FFFFFF"/>
                <w:sz w:val="22"/>
                <w:szCs w:val="22"/>
                <w:rFonts w:ascii="Lato" w:hAnsi="Lato" w:cs="Lato"/>
              </w:rPr>
              <w:t>Planificación de capacidad interna</w:t>
            </w:r>
          </w:p>
        </w:tc>
      </w:tr>
      <w:tr>
        <w:trPr>
          <w:tblHeader/>
        </w:trPr>
        <w:tc>
          <w:tcPr>
            <w:tcW w:w="3500" w:type="dxa"/>
            <w:shd w:val="clear" w:color="auto" w:fill="a1218f"/>
            <w:tcMar>
              <w:top w:w="100" w:type="dxa"/>
              <w:bottom w:w="100" w:type="dxa"/>
            </w:tcMar>
          </w:tcPr>
          <w:p>
            <w:r>
              <w:rPr>
                <w:b w:val="0"/>
                <w:bCs/>
                <w:color w:val="FFFFFF"/>
                <w:sz w:val="22"/>
                <w:szCs w:val="22"/>
                <w:rFonts w:ascii="Lato" w:hAnsi="Lato" w:cs="Lato"/>
              </w:rPr>
              <w:t>Selección y contratación del consultor externo ISO 27001</w:t>
            </w:r>
          </w:p>
        </w:tc>
        <w:tc>
          <w:tcPr>
            <w:tcW w:w="1800" w:type="dxa"/>
            <w:shd w:val="clear" w:color="auto" w:fill="a1218f"/>
            <w:tcMar>
              <w:top w:w="100" w:type="dxa"/>
              <w:bottom w:w="100" w:type="dxa"/>
            </w:tcMar>
          </w:tcPr>
          <w:p>
            <w:r>
              <w:rPr>
                <w:b w:val="0"/>
                <w:bCs/>
                <w:color w:val="FFFFFF"/>
                <w:sz w:val="22"/>
                <w:szCs w:val="22"/>
                <w:rFonts w:ascii="Lato" w:hAnsi="Lato" w:cs="Lato"/>
              </w:rPr>
              <w:t>Condicional</w:t>
            </w:r>
          </w:p>
        </w:tc>
        <w:tc>
          <w:tcPr>
            <w:tcW w:w="3729" w:type="dxa"/>
            <w:shd w:val="clear" w:color="auto" w:fill="a1218f"/>
            <w:tcMar>
              <w:top w:w="100" w:type="dxa"/>
              <w:bottom w:w="100" w:type="dxa"/>
            </w:tcMar>
          </w:tcPr>
          <w:p>
            <w:r>
              <w:rPr>
                <w:b w:val="0"/>
                <w:bCs/>
                <w:color w:val="FFFFFF"/>
                <w:sz w:val="22"/>
                <w:szCs w:val="22"/>
                <w:rFonts w:ascii="Lato" w:hAnsi="Lato" w:cs="Lato"/>
              </w:rPr>
              <w:t>Proceso de evaluación de proveedores</w:t>
            </w:r>
          </w:p>
        </w:tc>
      </w:tr>
      <w:tr>
        <w:trPr>
          <w:tblHeader/>
        </w:trPr>
        <w:tc>
          <w:tcPr>
            <w:tcW w:w="3500" w:type="dxa"/>
            <w:shd w:val="clear" w:color="auto" w:fill="a1218f"/>
            <w:tcMar>
              <w:top w:w="100" w:type="dxa"/>
              <w:bottom w:w="100" w:type="dxa"/>
            </w:tcMar>
          </w:tcPr>
          <w:p>
            <w:r>
              <w:rPr>
                <w:b w:val="0"/>
                <w:bCs/>
                <w:color w:val="FFFFFF"/>
                <w:sz w:val="22"/>
                <w:szCs w:val="22"/>
                <w:rFonts w:ascii="Lato" w:hAnsi="Lato" w:cs="Lato"/>
              </w:rPr>
              <w:t>Actualización de contratos de trabajo con cláusulas de seguridad</w:t>
            </w:r>
          </w:p>
        </w:tc>
        <w:tc>
          <w:tcPr>
            <w:tcW w:w="1800" w:type="dxa"/>
            <w:shd w:val="clear" w:color="auto" w:fill="a1218f"/>
            <w:tcMar>
              <w:top w:w="100" w:type="dxa"/>
              <w:bottom w:w="100" w:type="dxa"/>
            </w:tcMar>
          </w:tcPr>
          <w:p>
            <w:r>
              <w:rPr>
                <w:b w:val="0"/>
                <w:bCs/>
                <w:color w:val="FFFFFF"/>
                <w:sz w:val="22"/>
                <w:szCs w:val="22"/>
                <w:rFonts w:ascii="Lato" w:hAnsi="Lato" w:cs="Lato"/>
              </w:rPr>
              <w:t>Condicional</w:t>
            </w:r>
          </w:p>
        </w:tc>
        <w:tc>
          <w:tcPr>
            <w:tcW w:w="3729" w:type="dxa"/>
            <w:shd w:val="clear" w:color="auto" w:fill="a1218f"/>
            <w:tcMar>
              <w:top w:w="100" w:type="dxa"/>
              <w:bottom w:w="100" w:type="dxa"/>
            </w:tcMar>
          </w:tcPr>
          <w:p>
            <w:r>
              <w:rPr>
                <w:b w:val="0"/>
                <w:bCs/>
                <w:color w:val="FFFFFF"/>
                <w:sz w:val="22"/>
                <w:szCs w:val="22"/>
                <w:rFonts w:ascii="Lato" w:hAnsi="Lato" w:cs="Lato"/>
              </w:rPr>
              <w:t>Procesos de RRHH y legal</w:t>
            </w:r>
          </w:p>
        </w:tc>
      </w:tr>
    </w:tbl>
    <w:p>
      <w:pPr>
        <w:spacing w:before="240" w:after="0"/>
      </w:pPr>
    </w:p>
    <w:p>
      <w:pPr>
        <w:pStyle w:val="Heading2"/>
      </w:pPr>
      <w:r>
        <w:t>7. Recursos Necesarios</w:t>
      </w:r>
    </w:p>
    <w:p>
      <w:pPr>
        <w:spacing w:before="0" w:after="80"/>
      </w:pPr>
      <w:r>
        <w:rPr>
          <w:b/>
          <w:bCs/>
          <w:color w:val="434343"/>
          <w:sz w:val="22"/>
          <w:szCs w:val="22"/>
          <w:rFonts w:ascii="Lato" w:hAnsi="Lato" w:cs="Lato"/>
        </w:rPr>
        <w:t>Equipo: CISO/Responsable SGSI (50-70% dedicación, 6-9 meses), IT/DevOps (20-30%), Admin/RRHH (10-15%), CEO/Sponsor ejecutivo (5-10%)</w:t>
      </w:r>
      <w:r>
        <w:rPr>
          <w:color w:val="444746"/>
          <w:sz w:val="22"/>
          <w:szCs w:val="22"/>
          <w:rFonts w:ascii="Lato" w:hAnsi="Lato" w:cs="Lato"/>
        </w:rPr>
      </w:r>
    </w:p>
    <w:p>
      <w:pPr>
        <w:spacing w:before="0" w:after="80"/>
      </w:pPr>
      <w:r>
        <w:rPr>
          <w:b/>
          <w:bCs/>
          <w:color w:val="434343"/>
          <w:sz w:val="22"/>
          <w:szCs w:val="22"/>
          <w:rFonts w:ascii="Lato" w:hAnsi="Lato" w:cs="Lato"/>
        </w:rPr>
        <w:t>Presupuesto estimado: USD 136,000–164,000 (capacitaciones USD 8-12k, consultoría USD 35-50k, auditoría USD 8-12k, awareness platform USD 500-700, herramientas USD 5-10k, tiempo interno ~USD 79,400)</w:t>
      </w:r>
      <w:r>
        <w:rPr>
          <w:color w:val="444746"/>
          <w:sz w:val="22"/>
          <w:szCs w:val="22"/>
          <w:rFonts w:ascii="Lato" w:hAnsi="Lato" w:cs="Lato"/>
        </w:rPr>
      </w:r>
    </w:p>
    <w:p>
      <w:pPr>
        <w:spacing w:before="0" w:after="80"/>
      </w:pPr>
      <w:r>
        <w:rPr>
          <w:b/>
          <w:bCs/>
          <w:color w:val="434343"/>
          <w:sz w:val="22"/>
          <w:szCs w:val="22"/>
          <w:rFonts w:ascii="Lato" w:hAnsi="Lato" w:cs="Lato"/>
        </w:rPr>
        <w:t>Herramientas o capacidades requeridas: Plataforma de awareness training (CanIPhish, KnowBe4 o usecure), software de gestión documental SGSI, herramienta de análisis de riesgos, sistema de gestión de incidentes</w:t>
      </w:r>
      <w:r>
        <w:rPr>
          <w:color w:val="444746"/>
          <w:sz w:val="22"/>
          <w:szCs w:val="22"/>
          <w:rFonts w:ascii="Lato" w:hAnsi="Lato" w:cs="Lato"/>
        </w:rPr>
      </w:r>
    </w:p>
    <w:p>
      <w:pPr>
        <w:pStyle w:val="Heading2"/>
      </w:pPr>
      <w:r>
        <w:t>8. Riesgos Principales</w:t>
      </w:r>
    </w:p>
    <w:p>
      <w:pPr>
        <w:spacing w:before="0" w:after="160"/>
      </w:pPr>
      <w:r>
        <w:rPr>
          <w:i/>
          <w:iCs/>
          <w:color w:val="666666"/>
          <w:sz w:val="22"/>
          <w:szCs w:val="22"/>
          <w:rFonts w:ascii="Lato" w:hAnsi="Lato" w:cs="Lato"/>
        </w:rPr>
        <w:t>Identificar entre 1 y 3 riesgos relevantes y cómo se mitigan.</w:t>
      </w:r>
    </w:p>
    <w:tbl>
      <w:tblPr>
        <w:tblW w:w="9029" w:type="dxa"/>
        <w:tblBorders>
          <w:top w:val="single" w:sz="4" w:space="0" w:color="D0C4E8"/>
          <w:left w:val="single" w:sz="4" w:space="0" w:color="D0C4E8"/>
          <w:bottom w:val="single" w:sz="4" w:space="0" w:color="D0C4E8"/>
          <w:right w:val="single" w:sz="4" w:space="0" w:color="D0C4E8"/>
          <w:insideH w:val="single" w:sz="4" w:space="0" w:color="D0C4E8"/>
          <w:insideV w:val="single" w:sz="4" w:space="0" w:color="D0C4E8"/>
        </w:tblBorders>
        <w:tblLayout w:type="fixed"/>
      </w:tblPr>
      <w:tblGrid>
        <w:gridCol w:w="3200"/>
        <w:gridCol w:w="1500"/>
        <w:gridCol w:w="1500"/>
        <w:gridCol w:w="2829"/>
      </w:tblGrid>
      <w:tr>
        <w:trPr>
          <w:tblHeader/>
        </w:trPr>
        <w:tc>
          <w:tcPr>
            <w:tcW w:w="3200" w:type="dxa"/>
            <w:shd w:val="clear" w:color="auto" w:fill="351c75"/>
            <w:tcMar>
              <w:top w:w="100" w:type="dxa"/>
              <w:bottom w:w="100" w:type="dxa"/>
            </w:tcMar>
          </w:tcPr>
          <w:p>
            <w:r>
              <w:rPr>
                <w:b/>
                <w:bCs/>
                <w:color w:val="FFFFFF"/>
                <w:sz w:val="22"/>
                <w:szCs w:val="22"/>
                <w:rFonts w:ascii="Lato" w:hAnsi="Lato" w:cs="Lato"/>
              </w:rPr>
              <w:t>Riesgo</w:t>
            </w:r>
          </w:p>
        </w:tc>
        <w:tc>
          <w:tcPr>
            <w:tcW w:w="1500" w:type="dxa"/>
            <w:shd w:val="clear" w:color="auto" w:fill="351c75"/>
            <w:tcMar>
              <w:top w:w="100" w:type="dxa"/>
              <w:bottom w:w="100" w:type="dxa"/>
            </w:tcMar>
          </w:tcPr>
          <w:p>
            <w:r>
              <w:rPr>
                <w:b/>
                <w:bCs/>
                <w:color w:val="FFFFFF"/>
                <w:sz w:val="22"/>
                <w:szCs w:val="22"/>
                <w:rFonts w:ascii="Lato" w:hAnsi="Lato" w:cs="Lato"/>
              </w:rPr>
              <w:t>Probabilidad</w:t>
            </w:r>
          </w:p>
        </w:tc>
        <w:tc>
          <w:tcPr>
            <w:tcW w:w="1500" w:type="dxa"/>
            <w:shd w:val="clear" w:color="auto" w:fill="351c75"/>
            <w:tcMar>
              <w:top w:w="100" w:type="dxa"/>
              <w:bottom w:w="100" w:type="dxa"/>
            </w:tcMar>
          </w:tcPr>
          <w:p>
            <w:r>
              <w:rPr>
                <w:b/>
                <w:bCs/>
                <w:color w:val="FFFFFF"/>
                <w:sz w:val="22"/>
                <w:szCs w:val="22"/>
                <w:rFonts w:ascii="Lato" w:hAnsi="Lato" w:cs="Lato"/>
              </w:rPr>
              <w:t>Impacto</w:t>
            </w:r>
          </w:p>
        </w:tc>
        <w:tc>
          <w:tcPr>
            <w:tcW w:w="2829" w:type="dxa"/>
            <w:shd w:val="clear" w:color="auto" w:fill="351c75"/>
            <w:tcMar>
              <w:top w:w="100" w:type="dxa"/>
              <w:bottom w:w="100" w:type="dxa"/>
            </w:tcMar>
          </w:tcPr>
          <w:p>
            <w:r>
              <w:rPr>
                <w:b/>
                <w:bCs/>
                <w:color w:val="FFFFFF"/>
                <w:sz w:val="22"/>
                <w:szCs w:val="22"/>
                <w:rFonts w:ascii="Lato" w:hAnsi="Lato" w:cs="Lato"/>
              </w:rPr>
              <w:t>Mitigación</w:t>
            </w:r>
          </w:p>
        </w:tc>
      </w:tr>
      <w:tr>
        <w:trPr>
          <w:tblHeader/>
        </w:trPr>
        <w:tc>
          <w:tcPr>
            <w:tcW w:w="3200" w:type="dxa"/>
            <w:shd w:val="clear" w:color="auto" w:fill="351c75"/>
            <w:tcMar>
              <w:top w:w="100" w:type="dxa"/>
              <w:bottom w:w="100" w:type="dxa"/>
            </w:tcMar>
          </w:tcPr>
          <w:p>
            <w:r>
              <w:rPr>
                <w:b w:val="0"/>
                <w:bCs/>
                <w:color w:val="FFFFFF"/>
                <w:sz w:val="22"/>
                <w:szCs w:val="22"/>
                <w:rFonts w:ascii="Lato" w:hAnsi="Lato" w:cs="Lato"/>
              </w:rPr>
              <w:t>Rotación del CISO durante el proyecto, generando pérdida de continuidad en el SGSI</w:t>
            </w:r>
          </w:p>
        </w:tc>
        <w:tc>
          <w:tcPr>
            <w:tcW w:w="1500" w:type="dxa"/>
            <w:shd w:val="clear" w:color="auto" w:fill="351c75"/>
            <w:tcMar>
              <w:top w:w="100" w:type="dxa"/>
              <w:bottom w:w="100" w:type="dxa"/>
            </w:tcMar>
          </w:tcPr>
          <w:p>
            <w:r>
              <w:rPr>
                <w:b w:val="0"/>
                <w:bCs/>
                <w:color w:val="FFFFFF"/>
                <w:sz w:val="22"/>
                <w:szCs w:val="22"/>
                <w:rFonts w:ascii="Lato" w:hAnsi="Lato" w:cs="Lato"/>
              </w:rPr>
              <w:t>Media</w:t>
            </w:r>
          </w:p>
        </w:tc>
        <w:tc>
          <w:tcPr>
            <w:tcW w:w="1500" w:type="dxa"/>
            <w:shd w:val="clear" w:color="auto" w:fill="351c75"/>
            <w:tcMar>
              <w:top w:w="100" w:type="dxa"/>
              <w:bottom w:w="100" w:type="dxa"/>
            </w:tcMar>
          </w:tcPr>
          <w:p>
            <w:r>
              <w:rPr>
                <w:b w:val="0"/>
                <w:bCs/>
                <w:color w:val="FFFFFF"/>
                <w:sz w:val="22"/>
                <w:szCs w:val="22"/>
                <w:rFonts w:ascii="Lato" w:hAnsi="Lato" w:cs="Lato"/>
              </w:rPr>
              <w:t>Alto</w:t>
            </w:r>
          </w:p>
        </w:tc>
        <w:tc>
          <w:tcPr>
            <w:tcW w:w="2829" w:type="dxa"/>
            <w:shd w:val="clear" w:color="auto" w:fill="351c75"/>
            <w:tcMar>
              <w:top w:w="100" w:type="dxa"/>
              <w:bottom w:w="100" w:type="dxa"/>
            </w:tcMar>
          </w:tcPr>
          <w:p>
            <w:r>
              <w:rPr>
                <w:b w:val="0"/>
                <w:bCs/>
                <w:color w:val="FFFFFF"/>
                <w:sz w:val="22"/>
                <w:szCs w:val="22"/>
                <w:rFonts w:ascii="Lato" w:hAnsi="Lato" w:cs="Lato"/>
              </w:rPr>
              <w:t>Documentar exhaustivamente desde el día 1; capacitar a una segunda persona como respaldo; vincular la continuidad del rol al proyecto en el contrato o acuerdo interno</w:t>
            </w:r>
          </w:p>
        </w:tc>
      </w:tr>
      <w:tr>
        <w:trPr>
          <w:tblHeader/>
        </w:trPr>
        <w:tc>
          <w:tcPr>
            <w:tcW w:w="3200" w:type="dxa"/>
            <w:shd w:val="clear" w:color="auto" w:fill="351c75"/>
            <w:tcMar>
              <w:top w:w="100" w:type="dxa"/>
              <w:bottom w:w="100" w:type="dxa"/>
            </w:tcMar>
          </w:tcPr>
          <w:p>
            <w:r>
              <w:rPr>
                <w:b w:val="0"/>
                <w:bCs/>
                <w:color w:val="FFFFFF"/>
                <w:sz w:val="22"/>
                <w:szCs w:val="22"/>
                <w:rFonts w:ascii="Lato" w:hAnsi="Lato" w:cs="Lato"/>
              </w:rPr>
              <w:t>Falta de compromiso ejecutivo visible en revisiones y entrevistas con el auditor</w:t>
            </w:r>
          </w:p>
        </w:tc>
        <w:tc>
          <w:tcPr>
            <w:tcW w:w="1500" w:type="dxa"/>
            <w:shd w:val="clear" w:color="auto" w:fill="351c75"/>
            <w:tcMar>
              <w:top w:w="100" w:type="dxa"/>
              <w:bottom w:w="100" w:type="dxa"/>
            </w:tcMar>
          </w:tcPr>
          <w:p>
            <w:r>
              <w:rPr>
                <w:b w:val="0"/>
                <w:bCs/>
                <w:color w:val="FFFFFF"/>
                <w:sz w:val="22"/>
                <w:szCs w:val="22"/>
                <w:rFonts w:ascii="Lato" w:hAnsi="Lato" w:cs="Lato"/>
              </w:rPr>
              <w:t>Baja</w:t>
            </w:r>
          </w:p>
        </w:tc>
        <w:tc>
          <w:tcPr>
            <w:tcW w:w="1500" w:type="dxa"/>
            <w:shd w:val="clear" w:color="auto" w:fill="351c75"/>
            <w:tcMar>
              <w:top w:w="100" w:type="dxa"/>
              <w:bottom w:w="100" w:type="dxa"/>
            </w:tcMar>
          </w:tcPr>
          <w:p>
            <w:r>
              <w:rPr>
                <w:b w:val="0"/>
                <w:bCs/>
                <w:color w:val="FFFFFF"/>
                <w:sz w:val="22"/>
                <w:szCs w:val="22"/>
                <w:rFonts w:ascii="Lato" w:hAnsi="Lato" w:cs="Lato"/>
              </w:rPr>
              <w:t>Alto</w:t>
            </w:r>
          </w:p>
        </w:tc>
        <w:tc>
          <w:tcPr>
            <w:tcW w:w="2829" w:type="dxa"/>
            <w:shd w:val="clear" w:color="auto" w:fill="351c75"/>
            <w:tcMar>
              <w:top w:w="100" w:type="dxa"/>
              <w:bottom w:w="100" w:type="dxa"/>
            </w:tcMar>
          </w:tcPr>
          <w:p>
            <w:r>
              <w:rPr>
                <w:b w:val="0"/>
                <w:bCs/>
                <w:color w:val="FFFFFF"/>
                <w:sz w:val="22"/>
                <w:szCs w:val="22"/>
                <w:rFonts w:ascii="Lato" w:hAnsi="Lato" w:cs="Lato"/>
              </w:rPr>
              <w:t>Bloquear en agenda del CEO las revisiones trimestrales y la auditoría desde el inicio del proyecto; hacer el kickoff con participación formal de la dirección</w:t>
            </w:r>
          </w:p>
        </w:tc>
      </w:tr>
      <w:tr>
        <w:trPr>
          <w:tblHeader/>
        </w:trPr>
        <w:tc>
          <w:tcPr>
            <w:tcW w:w="3200" w:type="dxa"/>
            <w:shd w:val="clear" w:color="auto" w:fill="351c75"/>
            <w:tcMar>
              <w:top w:w="100" w:type="dxa"/>
              <w:bottom w:w="100" w:type="dxa"/>
            </w:tcMar>
          </w:tcPr>
          <w:p>
            <w:r>
              <w:rPr>
                <w:b w:val="0"/>
                <w:bCs/>
                <w:color w:val="FFFFFF"/>
                <w:sz w:val="22"/>
                <w:szCs w:val="22"/>
                <w:rFonts w:ascii="Lato" w:hAnsi="Lato" w:cs="Lato"/>
              </w:rPr>
              <w:t>No conformidades mayores en la auditoría de certificación Fase 2 por brechas no detectadas</w:t>
            </w:r>
          </w:p>
        </w:tc>
        <w:tc>
          <w:tcPr>
            <w:tcW w:w="1500" w:type="dxa"/>
            <w:shd w:val="clear" w:color="auto" w:fill="351c75"/>
            <w:tcMar>
              <w:top w:w="100" w:type="dxa"/>
              <w:bottom w:w="100" w:type="dxa"/>
            </w:tcMar>
          </w:tcPr>
          <w:p>
            <w:r>
              <w:rPr>
                <w:b w:val="0"/>
                <w:bCs/>
                <w:color w:val="FFFFFF"/>
                <w:sz w:val="22"/>
                <w:szCs w:val="22"/>
                <w:rFonts w:ascii="Lato" w:hAnsi="Lato" w:cs="Lato"/>
              </w:rPr>
              <w:t>Media</w:t>
            </w:r>
          </w:p>
        </w:tc>
        <w:tc>
          <w:tcPr>
            <w:tcW w:w="1500" w:type="dxa"/>
            <w:shd w:val="clear" w:color="auto" w:fill="351c75"/>
            <w:tcMar>
              <w:top w:w="100" w:type="dxa"/>
              <w:bottom w:w="100" w:type="dxa"/>
            </w:tcMar>
          </w:tcPr>
          <w:p>
            <w:r>
              <w:rPr>
                <w:b w:val="0"/>
                <w:bCs/>
                <w:color w:val="FFFFFF"/>
                <w:sz w:val="22"/>
                <w:szCs w:val="22"/>
                <w:rFonts w:ascii="Lato" w:hAnsi="Lato" w:cs="Lato"/>
              </w:rPr>
              <w:t>Alto</w:t>
            </w:r>
          </w:p>
        </w:tc>
        <w:tc>
          <w:tcPr>
            <w:tcW w:w="2829" w:type="dxa"/>
            <w:shd w:val="clear" w:color="auto" w:fill="351c75"/>
            <w:tcMar>
              <w:top w:w="100" w:type="dxa"/>
              <w:bottom w:w="100" w:type="dxa"/>
            </w:tcMar>
          </w:tcPr>
          <w:p>
            <w:r>
              <w:rPr>
                <w:b w:val="0"/>
                <w:bCs/>
                <w:color w:val="FFFFFF"/>
                <w:sz w:val="22"/>
                <w:szCs w:val="22"/>
                <w:rFonts w:ascii="Lato" w:hAnsi="Lato" w:cs="Lato"/>
              </w:rPr>
              <w:t>Realizar mock audit completo con el consultor al menos 6 semanas antes de la Fase 2; ejecutar auditoría interna formal previa y cerrar todas las observaciones</w:t>
            </w:r>
          </w:p>
        </w:tc>
      </w:tr>
    </w:tbl>
    <w:p>
      <w:pPr>
        <w:spacing w:before="240" w:after="0"/>
      </w:pPr>
    </w:p>
    <w:p>
      <w:pPr>
        <w:pStyle w:val="Heading2"/>
      </w:pPr>
      <w:r>
        <w:t>9. Registro de Cambios</w:t>
      </w:r>
    </w:p>
    <w:tbl>
      <w:tblPr>
        <w:tblW w:w="9029" w:type="dxa"/>
        <w:tblBorders>
          <w:top w:val="single" w:sz="4" w:space="0" w:color="D0C4E8"/>
          <w:left w:val="single" w:sz="4" w:space="0" w:color="D0C4E8"/>
          <w:bottom w:val="single" w:sz="4" w:space="0" w:color="D0C4E8"/>
          <w:right w:val="single" w:sz="4" w:space="0" w:color="D0C4E8"/>
          <w:insideH w:val="single" w:sz="4" w:space="0" w:color="D0C4E8"/>
          <w:insideV w:val="single" w:sz="4" w:space="0" w:color="D0C4E8"/>
        </w:tblBorders>
        <w:tblLayout w:type="fixed"/>
      </w:tblPr>
      <w:tblGrid>
        <w:gridCol w:w="1800"/>
        <w:gridCol w:w="5429"/>
        <w:gridCol w:w="1800"/>
      </w:tblGrid>
      <w:tr>
        <w:trPr>
          <w:tblHeader/>
        </w:trPr>
        <w:tc>
          <w:tcPr>
            <w:tcW w:w="1800" w:type="dxa"/>
            <w:shd w:val="clear" w:color="auto" w:fill="a1218f"/>
            <w:tcMar>
              <w:top w:w="100" w:type="dxa"/>
              <w:bottom w:w="100" w:type="dxa"/>
            </w:tcMar>
          </w:tcPr>
          <w:p>
            <w:r>
              <w:rPr>
                <w:b/>
                <w:bCs/>
                <w:color w:val="FFFFFF"/>
                <w:sz w:val="22"/>
                <w:szCs w:val="22"/>
                <w:rFonts w:ascii="Lato" w:hAnsi="Lato" w:cs="Lato"/>
              </w:rPr>
              <w:t>Fecha</w:t>
            </w:r>
          </w:p>
        </w:tc>
        <w:tc>
          <w:tcPr>
            <w:tcW w:w="5429" w:type="dxa"/>
            <w:shd w:val="clear" w:color="auto" w:fill="a1218f"/>
            <w:tcMar>
              <w:top w:w="100" w:type="dxa"/>
              <w:bottom w:w="100" w:type="dxa"/>
            </w:tcMar>
          </w:tcPr>
          <w:p>
            <w:r>
              <w:rPr>
                <w:b/>
                <w:bCs/>
                <w:color w:val="FFFFFF"/>
                <w:sz w:val="22"/>
                <w:szCs w:val="22"/>
                <w:rFonts w:ascii="Lato" w:hAnsi="Lato" w:cs="Lato"/>
              </w:rPr>
              <w:t>Cambio</w:t>
            </w:r>
          </w:p>
        </w:tc>
        <w:tc>
          <w:tcPr>
            <w:tcW w:w="1800" w:type="dxa"/>
            <w:shd w:val="clear" w:color="auto" w:fill="a1218f"/>
            <w:tcMar>
              <w:top w:w="100" w:type="dxa"/>
              <w:bottom w:w="100" w:type="dxa"/>
            </w:tcMar>
          </w:tcPr>
          <w:p>
            <w:r>
              <w:rPr>
                <w:b/>
                <w:bCs/>
                <w:color w:val="FFFFFF"/>
                <w:sz w:val="22"/>
                <w:szCs w:val="22"/>
                <w:rFonts w:ascii="Lato" w:hAnsi="Lato" w:cs="Lato"/>
              </w:rPr>
              <w:t>Autor</w:t>
            </w:r>
          </w:p>
        </w:tc>
      </w:tr>
      <w:tr>
        <w:trPr>
          <w:tblHeader/>
        </w:trPr>
        <w:tc>
          <w:tcPr>
            <w:tcW w:w="1800" w:type="dxa"/>
            <w:shd w:val="clear" w:color="auto" w:fill="a1218f"/>
            <w:tcMar>
              <w:top w:w="100" w:type="dxa"/>
              <w:bottom w:w="100" w:type="dxa"/>
            </w:tcMar>
          </w:tcPr>
          <w:p>
            <w:r>
              <w:rPr>
                <w:b w:val="0"/>
                <w:bCs/>
                <w:color w:val="FFFFFF"/>
                <w:sz w:val="22"/>
                <w:szCs w:val="22"/>
                <w:rFonts w:ascii="Lato" w:hAnsi="Lato" w:cs="Lato"/>
              </w:rPr>
              <w:t>2025-03-01</w:t>
            </w:r>
          </w:p>
        </w:tc>
        <w:tc>
          <w:tcPr>
            <w:tcW w:w="5429" w:type="dxa"/>
            <w:shd w:val="clear" w:color="auto" w:fill="a1218f"/>
            <w:tcMar>
              <w:top w:w="100" w:type="dxa"/>
              <w:bottom w:w="100" w:type="dxa"/>
            </w:tcMar>
          </w:tcPr>
          <w:p>
            <w:r>
              <w:rPr>
                <w:b w:val="0"/>
                <w:bCs/>
                <w:color w:val="FFFFFF"/>
                <w:sz w:val="22"/>
                <w:szCs w:val="22"/>
                <w:rFonts w:ascii="Lato" w:hAnsi="Lato" w:cs="Lato"/>
              </w:rPr>
              <w:t>Creación del documento</w:t>
            </w:r>
          </w:p>
        </w:tc>
        <w:tc>
          <w:tcPr>
            <w:tcW w:w="1800" w:type="dxa"/>
            <w:shd w:val="clear" w:color="auto" w:fill="a1218f"/>
            <w:tcMar>
              <w:top w:w="100" w:type="dxa"/>
              <w:bottom w:w="100" w:type="dxa"/>
            </w:tcMar>
          </w:tcPr>
          <w:p>
            <w:r>
              <w:rPr>
                <w:b w:val="0"/>
                <w:bCs/>
                <w:color w:val="FFFFFF"/>
                <w:sz w:val="22"/>
                <w:szCs w:val="22"/>
                <w:rFonts w:ascii="Lato" w:hAnsi="Lato" w:cs="Lato"/>
              </w:rPr>
              <w:t>Director de Operaciones</w:t>
            </w:r>
          </w:p>
        </w:tc>
      </w:tr>
    </w:tbl>
    <w:p>
      <w:pPr>
        <w:spacing w:before="240" w:after="0"/>
      </w:pP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pageBreakBefore w:val="0"/>
      <w:jc w:val="right"/>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b w:val="1"/>
        <w:bCs w:val="1"/>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spacing w:line="240" w:lineRule="auto"/>
      <w:ind w:right="-720"/>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640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spacing w:line="240" w:lineRule="auto"/>
      <w:ind w:right="-7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jc w:val="left"/>
      <w:rPr>
        <w:color w:val="00000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36.4599999999999"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2">
          <w:pPr>
            <w:jc w:val="left"/>
            <w:rPr>
              <w:color w:val="000000"/>
            </w:rPr>
          </w:pPr>
          <w:r w:rsidDel="00000000" w:rsidR="00000000" w:rsidRPr="00000000">
            <w:rPr>
              <w:color w:val="000000"/>
            </w:rPr>
            <w:drawing>
              <wp:inline distB="114300" distT="114300" distL="114300" distR="114300">
                <wp:extent cx="1252538" cy="249374"/>
                <wp:effectExtent b="0" l="0" r="0" t="0"/>
                <wp:docPr id="2" name="image1.png"/>
                <a:graphic>
                  <a:graphicData uri="http://schemas.openxmlformats.org/drawingml/2006/picture">
                    <pic:pic>
                      <pic:nvPicPr>
                        <pic:cNvPr id="0" name="image1.png"/>
                        <pic:cNvPicPr preferRelativeResize="0"/>
                      </pic:nvPicPr>
                      <pic:blipFill>
                        <a:blip r:embed="rId1"/>
                        <a:srcRect b="23881" l="6146" r="5150" t="23383"/>
                        <a:stretch>
                          <a:fillRect/>
                        </a:stretch>
                      </pic:blipFill>
                      <pic:spPr>
                        <a:xfrm>
                          <a:off x="0" y="0"/>
                          <a:ext cx="1252538" cy="24937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3">
          <w:pPr>
            <w:pStyle w:val="Subtitle"/>
            <w:spacing w:line="240" w:lineRule="auto"/>
            <w:jc w:val="right"/>
            <w:rPr>
              <w:color w:val="000000"/>
              <w:sz w:val="20"/>
              <w:szCs w:val="20"/>
            </w:rPr>
          </w:pPr>
          <w:bookmarkStart w:colFirst="0" w:colLast="0" w:name="_xlsjwmibheho" w:id="7"/>
          <w:bookmarkEnd w:id="7"/>
          <w:r w:rsidDel="00000000" w:rsidR="00000000" w:rsidRPr="00000000">
            <w:rPr>
              <w:sz w:val="20"/>
              <w:szCs w:val="20"/>
              <w:rtl w:val="0"/>
            </w:rPr>
            <w:t xml:space="preserve">INICIATIVA ESTRATÉGICA</w:t>
          </w:r>
          <w:r w:rsidDel="00000000" w:rsidR="00000000" w:rsidRPr="00000000">
            <w:rPr>
              <w:rtl w:val="0"/>
            </w:rPr>
          </w:r>
        </w:p>
      </w:tc>
    </w:tr>
  </w:tbl>
  <w:p w:rsidR="00000000" w:rsidDel="00000000" w:rsidP="00000000" w:rsidRDefault="00000000" w:rsidRPr="00000000" w14:paraId="00000014">
    <w:pPr>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Style w:val="Title"/>
      <w:spacing w:after="0" w:line="360" w:lineRule="auto"/>
      <w:jc w:val="right"/>
      <w:rPr/>
    </w:pPr>
    <w:bookmarkStart w:colFirst="0" w:colLast="0" w:name="_hjlm47inr9q5" w:id="8"/>
    <w:bookmarkEnd w:id="8"/>
    <w:r w:rsidDel="00000000" w:rsidR="00000000" w:rsidRPr="00000000">
      <w:rPr>
        <w:b w:val="1"/>
        <w:bCs w:val="1"/>
      </w:rPr>
      <w:drawing>
        <wp:inline distB="114300" distT="114300" distL="114300" distR="114300">
          <wp:extent cx="1630688" cy="520914"/>
          <wp:effectExtent b="0" l="0" r="0" t="0"/>
          <wp:docPr id="1" name="image3.jpg"/>
          <a:graphic>
            <a:graphicData uri="http://schemas.openxmlformats.org/drawingml/2006/picture">
              <pic:pic>
                <pic:nvPicPr>
                  <pic:cNvPr id="0" name="image3.jpg"/>
                  <pic:cNvPicPr preferRelativeResize="0"/>
                </pic:nvPicPr>
                <pic:blipFill>
                  <a:blip r:embed="rId1"/>
                  <a:srcRect b="33954" l="10419" r="10803" t="32298"/>
                  <a:stretch>
                    <a:fillRect/>
                  </a:stretch>
                </pic:blipFill>
                <pic:spPr>
                  <a:xfrm>
                    <a:off x="0" y="0"/>
                    <a:ext cx="1630688" cy="520914"/>
                  </a:xfrm>
                  <a:prstGeom prst="rect"/>
                  <a:ln/>
                </pic:spPr>
              </pic:pic>
            </a:graphicData>
          </a:graphic>
        </wp:inline>
      </w:drawing>
    </w:r>
    <w:r w:rsidDel="00000000" w:rsidR="00000000" w:rsidRPr="00000000">
      <w:rPr>
        <w:rtl w:val="0"/>
      </w:rPr>
    </w:r>
  </w:p>
</w:hdr>
</file>

<file path=word/numbering.xml><?xml version="1.0" encoding="utf-8"?>
<w:numbering xmlns:w="http://schemas.openxmlformats.org/wordprocessingml/2006/main">
  <w:abstractNum w:abstractNumId="1">
    <w:lvl w:ilvl="0">
      <w:start w:val="1"/>
      <w:numFmt w:val="bullet"/>
      <w:lvlText w:val="•"/>
      <w:lvlJc w:val="left"/>
      <w:pPr>
        <w:ind w:left="720" w:hanging="360"/>
      </w:pPr>
      <w:rPr>
        <w:rFonts w:ascii="Lato" w:hAnsi="Lato" w:cs="Lato"/>
        <w:color w:val="444746"/>
        <w:sz w:val="22"/>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444746"/>
        <w:sz w:val="22"/>
        <w:szCs w:val="22"/>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00" w:before="400" w:lineRule="auto"/>
    </w:pPr>
    <w:rPr>
      <w:b w:val="1"/>
      <w:bCs w:val="1"/>
      <w:color w:val="351c75"/>
      <w:sz w:val="40"/>
      <w:szCs w:val="40"/>
    </w:rPr>
  </w:style>
  <w:style w:type="paragraph" w:styleId="Heading2">
    <w:name w:val="heading 2"/>
    <w:basedOn w:val="Normal"/>
    <w:next w:val="Normal"/>
    <w:pPr>
      <w:keepNext w:val="1"/>
      <w:keepLines w:val="1"/>
      <w:spacing w:after="240" w:before="240" w:lineRule="auto"/>
    </w:pPr>
    <w:rPr>
      <w:b w:val="1"/>
      <w:bCs w:val="1"/>
      <w:color w:val="a1218f"/>
      <w:sz w:val="34"/>
      <w:szCs w:val="34"/>
    </w:rPr>
  </w:style>
  <w:style w:type="paragraph" w:styleId="Heading3">
    <w:name w:val="heading 3"/>
    <w:basedOn w:val="Normal"/>
    <w:next w:val="Normal"/>
    <w:pPr>
      <w:keepNext w:val="1"/>
      <w:keepLines w:val="1"/>
      <w:spacing w:after="140" w:before="300" w:lineRule="auto"/>
      <w:jc w:val="left"/>
    </w:pPr>
    <w:rPr>
      <w:color w:val="351c75"/>
      <w:sz w:val="28"/>
      <w:szCs w:val="28"/>
    </w:rPr>
  </w:style>
  <w:style w:type="paragraph" w:styleId="Heading4">
    <w:name w:val="heading 4"/>
    <w:basedOn w:val="Normal"/>
    <w:next w:val="Normal"/>
    <w:pPr>
      <w:keepNext w:val="1"/>
      <w:keepLines w:val="1"/>
      <w:spacing w:after="140" w:before="300" w:lineRule="auto"/>
      <w:jc w:val="left"/>
    </w:pPr>
    <w:rPr>
      <w:color w:val="434343"/>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left"/>
    </w:pPr>
    <w:rPr>
      <w:b w:val="1"/>
      <w:bCs w:val="1"/>
      <w:color w:val="351c75"/>
      <w:sz w:val="44"/>
      <w:szCs w:val="44"/>
    </w:rPr>
  </w:style>
  <w:style w:type="paragraph" w:styleId="Subtitle">
    <w:name w:val="Subtitle"/>
    <w:basedOn w:val="Normal"/>
    <w:next w:val="Normal"/>
    <w:pPr>
      <w:keepNext w:val="1"/>
      <w:keepLines w:val="1"/>
      <w:pageBreakBefore w:val="0"/>
    </w:pPr>
    <w:rPr>
      <w:color w:val="666666"/>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manuel@23people.io" TargetMode="External"/><Relationship Id="rId7" Type="http://schemas.openxmlformats.org/officeDocument/2006/relationships/hyperlink" Target="mailto:jcsoto@23people.io"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