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46B1A"/>
          <w:sz w:val="22"/>
        </w:rPr>
        <w:t>GET 409 — Séance 1</w:t>
      </w:r>
    </w:p>
    <w:p>
      <w:r>
        <w:rPr>
          <w:b/>
          <w:color w:val="1B3A4B"/>
          <w:sz w:val="52"/>
        </w:rPr>
        <w:t>RelaisYoon</w:t>
      </w:r>
    </w:p>
    <w:p>
      <w:r>
        <w:rPr>
          <w:color w:val="333333"/>
          <w:sz w:val="26"/>
        </w:rPr>
        <w:t>Projet d’équipe — Mobilité urbaine, Dakar</w:t>
        <w:br/>
        <w:t>Empathize → Define</w:t>
      </w:r>
    </w:p>
    <w:p>
      <w:pPr>
        <w:spacing w:after="160" w:before="0"/>
      </w:pPr>
      <w:r>
        <w:rPr>
          <w:b w:val="0"/>
          <w:i w:val="0"/>
        </w:rPr>
        <w:t>Swiss UMEF University — Campus de Dakar — 2025-2026. Document séparé du fil rouge GreenSprint / NiayesBiz.</w:t>
      </w:r>
    </w:p>
    <w:p>
      <w:pPr>
        <w:spacing w:after="160" w:before="0"/>
      </w:pPr>
      <w:r>
        <w:rPr>
          <w:b w:val="0"/>
          <w:i/>
        </w:rPr>
        <w:t>Ce dossier ne reprend pas le cas maraîcher. Le tableur GreenSprint (légumes, prix FCFA/kg, semaine S23-2026) décrit déjà ce fil rouge. Le secteur retenu est l’un des six proposés en S1, autre que la souveraineté alimentaire.</w:t>
      </w:r>
    </w:p>
    <w:p>
      <w:pPr>
        <w:pStyle w:val="Heading1"/>
      </w:pPr>
      <w:r>
        <w:t>1. Pourquoi un autre projet</w:t>
      </w:r>
    </w:p>
    <w:p>
      <w:pPr>
        <w:spacing w:after="160" w:before="0"/>
      </w:pPr>
      <w:r>
        <w:rPr>
          <w:b w:val="0"/>
          <w:i w:val="0"/>
        </w:rPr>
        <w:t>GreenSprint et NiayesBiz traitent déjà la vente à l’aveugle des maraîchers de Sebikotane : prix annoncé par le bana-bana, feature phone, SMS. Reproduire ce cas, même avec un autre nom, ne cadrerait pas un défi local propre à l’équipe.</w:t>
      </w:r>
    </w:p>
    <w:p>
      <w:pPr>
        <w:spacing w:after="160" w:before="0"/>
      </w:pPr>
      <w:r>
        <w:rPr>
          <w:b w:val="0"/>
          <w:i w:val="0"/>
        </w:rPr>
        <w:t>Les données disponibles qui ne sont pas ce fil rouge pointent vers la mobilité de Dakar. Le tronc BRT est publié. La correspondance de quartier ne l’est pas.</w:t>
      </w:r>
    </w:p>
    <w:p>
      <w:pPr>
        <w:pStyle w:val="Heading1"/>
      </w:pPr>
      <w:r>
        <w:t>2. Données utilisées</w:t>
      </w:r>
    </w:p>
    <w:p>
      <w:pPr>
        <w:spacing w:after="160" w:before="0"/>
      </w:pPr>
      <w:r>
        <w:rPr>
          <w:b w:val="0"/>
          <w:i w:val="0"/>
        </w:rPr>
        <w:t>Faits repris tels que publiés. Rien de cette table n’est mis dans la bouche du persona.</w:t>
      </w:r>
    </w:p>
    <w:tbl>
      <w:tblPr>
        <w:tblStyle w:val="TableGrid"/>
        <w:tblW w:type="auto" w:w="0"/>
        <w:tblLook w:firstColumn="1" w:firstRow="1" w:lastColumn="0" w:lastRow="0" w:noHBand="0" w:noVBand="1" w:val="04A0"/>
      </w:tblPr>
      <w:tblGrid>
        <w:gridCol w:w="3324"/>
        <w:gridCol w:w="3324"/>
        <w:gridCol w:w="3324"/>
      </w:tblGrid>
      <w:tr>
        <w:tc>
          <w:tcPr>
            <w:tcW w:type="dxa" w:w="3324"/>
            <w:shd w:fill="1B3A4B" w:val="clear"/>
          </w:tcPr>
          <w:p>
            <w:r/>
            <w:r>
              <w:rPr>
                <w:b/>
                <w:color w:val="FFFFFF"/>
                <w:sz w:val="20"/>
              </w:rPr>
              <w:t>Fait</w:t>
            </w:r>
          </w:p>
        </w:tc>
        <w:tc>
          <w:tcPr>
            <w:tcW w:type="dxa" w:w="3324"/>
            <w:shd w:fill="1B3A4B" w:val="clear"/>
          </w:tcPr>
          <w:p>
            <w:r/>
            <w:r>
              <w:rPr>
                <w:b/>
                <w:color w:val="FFFFFF"/>
                <w:sz w:val="20"/>
              </w:rPr>
              <w:t>Source</w:t>
            </w:r>
          </w:p>
        </w:tc>
        <w:tc>
          <w:tcPr>
            <w:tcW w:type="dxa" w:w="3324"/>
            <w:shd w:fill="1B3A4B" w:val="clear"/>
          </w:tcPr>
          <w:p>
            <w:r/>
            <w:r>
              <w:rPr>
                <w:b/>
                <w:color w:val="FFFFFF"/>
                <w:sz w:val="20"/>
              </w:rPr>
              <w:t>Usage</w:t>
            </w:r>
          </w:p>
        </w:tc>
      </w:tr>
      <w:tr>
        <w:tc>
          <w:tcPr>
            <w:tcW w:type="dxa" w:w="3324"/>
          </w:tcPr>
          <w:p>
            <w:r/>
            <w:r>
              <w:rPr>
                <w:sz w:val="18"/>
              </w:rPr>
              <w:t>BRT : 18 km de voies réservées, 23 stations, 121 bus électriques, départ toutes les 6 min, 6h–21h.</w:t>
            </w:r>
          </w:p>
        </w:tc>
        <w:tc>
          <w:tcPr>
            <w:tcW w:type="dxa" w:w="3324"/>
          </w:tcPr>
          <w:p>
            <w:r/>
            <w:r>
              <w:rPr>
                <w:sz w:val="18"/>
              </w:rPr>
              <w:t>CETUD, Réseaux de transport, cetud.sn</w:t>
            </w:r>
          </w:p>
        </w:tc>
        <w:tc>
          <w:tcPr>
            <w:tcW w:type="dxa" w:w="3324"/>
          </w:tcPr>
          <w:p>
            <w:r/>
            <w:r>
              <w:rPr>
                <w:sz w:val="18"/>
              </w:rPr>
              <w:t>Le tronc existe et il est cadencé.</w:t>
            </w:r>
          </w:p>
        </w:tc>
      </w:tr>
      <w:tr>
        <w:tc>
          <w:tcPr>
            <w:tcW w:type="dxa" w:w="3324"/>
          </w:tcPr>
          <w:p>
            <w:r/>
            <w:r>
              <w:rPr>
                <w:sz w:val="18"/>
              </w:rPr>
              <w:t>SunuBRT : 7j/7, 6h–21h, toutes les 6 min. Lignes B1 (23 stations), B2 et B3 (7 stations). B4 annoncée.</w:t>
            </w:r>
          </w:p>
        </w:tc>
        <w:tc>
          <w:tcPr>
            <w:tcW w:type="dxa" w:w="3324"/>
          </w:tcPr>
          <w:p>
            <w:r/>
            <w:r>
              <w:rPr>
                <w:sz w:val="18"/>
              </w:rPr>
              <w:t>sunubrt.sn, page d’accueil consultée le 22 sept. 2026</w:t>
            </w:r>
          </w:p>
        </w:tc>
        <w:tc>
          <w:tcPr>
            <w:tcW w:type="dxa" w:w="3324"/>
          </w:tcPr>
          <w:p>
            <w:r/>
            <w:r>
              <w:rPr>
                <w:sz w:val="18"/>
              </w:rPr>
              <w:t>L’offre structurée est déjà en ligne.</w:t>
            </w:r>
          </w:p>
        </w:tc>
      </w:tr>
      <w:tr>
        <w:tc>
          <w:tcPr>
            <w:tcW w:type="dxa" w:w="3324"/>
          </w:tcPr>
          <w:p>
            <w:r/>
            <w:r>
              <w:rPr>
                <w:sz w:val="18"/>
              </w:rPr>
              <w:t>Rabattement publié : ligne Dem Dikk R01A, pôle Papa Gueye Fall (Petersen), vers le centre-ville, depuis le 15 mai 2024.</w:t>
            </w:r>
          </w:p>
        </w:tc>
        <w:tc>
          <w:tcPr>
            <w:tcW w:type="dxa" w:w="3324"/>
          </w:tcPr>
          <w:p>
            <w:r/>
            <w:r>
              <w:rPr>
                <w:sz w:val="18"/>
              </w:rPr>
              <w:t>sunubrt.sn, même page</w:t>
            </w:r>
          </w:p>
        </w:tc>
        <w:tc>
          <w:tcPr>
            <w:tcW w:type="dxa" w:w="3324"/>
          </w:tcPr>
          <w:p>
            <w:r/>
            <w:r>
              <w:rPr>
                <w:sz w:val="18"/>
              </w:rPr>
              <w:t>Une correspondance est documentée. Une seule, à un seul pôle.</w:t>
            </w:r>
          </w:p>
        </w:tc>
      </w:tr>
      <w:tr>
        <w:tc>
          <w:tcPr>
            <w:tcW w:type="dxa" w:w="3324"/>
          </w:tcPr>
          <w:p>
            <w:r/>
            <w:r>
              <w:rPr>
                <w:sz w:val="18"/>
              </w:rPr>
              <w:t>TER : 14 gares, 115 000 passagers/jour. AFTU : 2 300 bus, 72 lignes, 320 millions de passagers/an.</w:t>
            </w:r>
          </w:p>
        </w:tc>
        <w:tc>
          <w:tcPr>
            <w:tcW w:type="dxa" w:w="3324"/>
          </w:tcPr>
          <w:p>
            <w:r/>
            <w:r>
              <w:rPr>
                <w:sz w:val="18"/>
              </w:rPr>
              <w:t>CETUD, même page</w:t>
            </w:r>
          </w:p>
        </w:tc>
        <w:tc>
          <w:tcPr>
            <w:tcW w:type="dxa" w:w="3324"/>
          </w:tcPr>
          <w:p>
            <w:r/>
            <w:r>
              <w:rPr>
                <w:sz w:val="18"/>
              </w:rPr>
              <w:t>Le réseau est multimodal. L’usager enchaîne les modes.</w:t>
            </w:r>
          </w:p>
        </w:tc>
      </w:tr>
      <w:tr>
        <w:tc>
          <w:tcPr>
            <w:tcW w:type="dxa" w:w="3324"/>
          </w:tcPr>
          <w:p>
            <w:r/>
            <w:r>
              <w:rPr>
                <w:sz w:val="18"/>
              </w:rPr>
              <w:t>Mission CETUD : complémentarité BRT, TER, bus et transports de proximité ; formalisation des réseaux informels.</w:t>
            </w:r>
          </w:p>
        </w:tc>
        <w:tc>
          <w:tcPr>
            <w:tcW w:type="dxa" w:w="3324"/>
          </w:tcPr>
          <w:p>
            <w:r/>
            <w:r>
              <w:rPr>
                <w:sz w:val="18"/>
              </w:rPr>
              <w:t>CETUD, même page</w:t>
            </w:r>
          </w:p>
        </w:tc>
        <w:tc>
          <w:tcPr>
            <w:tcW w:type="dxa" w:w="3324"/>
          </w:tcPr>
          <w:p>
            <w:r/>
            <w:r>
              <w:rPr>
                <w:sz w:val="18"/>
              </w:rPr>
              <w:t>Le dernier kilomètre est reconnu comme un trou, pas comme un détail.</w:t>
            </w:r>
          </w:p>
        </w:tc>
      </w:tr>
      <w:tr>
        <w:tc>
          <w:tcPr>
            <w:tcW w:type="dxa" w:w="3324"/>
          </w:tcPr>
          <w:p>
            <w:r/>
            <w:r>
              <w:rPr>
                <w:sz w:val="18"/>
              </w:rPr>
              <w:t>Enquêtes mobilité avr.–juin 2026 : 4 500 ménages, 20 000 usagers, y compris cars rapides, clandos, taxis, moto-taxis.</w:t>
            </w:r>
          </w:p>
        </w:tc>
        <w:tc>
          <w:tcPr>
            <w:tcW w:type="dxa" w:w="3324"/>
          </w:tcPr>
          <w:p>
            <w:r/>
            <w:r>
              <w:rPr>
                <w:sz w:val="18"/>
              </w:rPr>
              <w:t>cetud.sn, Enquêtes sur la mobilité urbaine</w:t>
            </w:r>
          </w:p>
        </w:tc>
        <w:tc>
          <w:tcPr>
            <w:tcW w:type="dxa" w:w="3324"/>
          </w:tcPr>
          <w:p>
            <w:r/>
            <w:r>
              <w:rPr>
                <w:sz w:val="18"/>
              </w:rPr>
              <w:t>La donnée usager est encore un chantier de planification, pas un outil à quai.</w:t>
            </w:r>
          </w:p>
        </w:tc>
      </w:tr>
      <w:tr>
        <w:tc>
          <w:tcPr>
            <w:tcW w:type="dxa" w:w="3324"/>
          </w:tcPr>
          <w:p>
            <w:r/>
            <w:r>
              <w:rPr>
                <w:sz w:val="18"/>
              </w:rPr>
              <w:t>Banque mondiale, 17 juin 2025 : 100 M$ pour relier BRT et TER au réseau de bus restructuré, et professionnaliser les opérateurs informels. 3,8 millions de personnes visées.</w:t>
            </w:r>
          </w:p>
        </w:tc>
        <w:tc>
          <w:tcPr>
            <w:tcW w:type="dxa" w:w="3324"/>
          </w:tcPr>
          <w:p>
            <w:r/>
            <w:r>
              <w:rPr>
                <w:sz w:val="18"/>
              </w:rPr>
              <w:t>Communiqué Banque mondiale, 17 juin 2025</w:t>
            </w:r>
          </w:p>
        </w:tc>
        <w:tc>
          <w:tcPr>
            <w:tcW w:type="dxa" w:w="3324"/>
          </w:tcPr>
          <w:p>
            <w:r/>
            <w:r>
              <w:rPr>
                <w:sz w:val="18"/>
              </w:rPr>
              <w:t>Le problème est institutionnellement ouvert. Il n’est pas résolu pour celle qui descend du bus.</w:t>
            </w:r>
          </w:p>
        </w:tc>
      </w:tr>
    </w:tbl>
    <w:p/>
    <w:p>
      <w:pPr>
        <w:spacing w:after="160" w:before="0"/>
      </w:pPr>
      <w:r>
        <w:rPr>
          <w:b w:val="0"/>
          <w:i/>
        </w:rPr>
        <w:t>Chiffre écarté. La même page CETUD affiche « 15 millions de passagers/jour » pour Dem Dikk (400 bus). Le ratio est invraisemblable. Il n’entre pas dans le dossier. Les tarifs BRT cités par des sites secondaires se contredisent : aucun prix de ticket n’est utilisé.</w:t>
      </w:r>
    </w:p>
    <w:p>
      <w:pPr>
        <w:pStyle w:val="Heading1"/>
      </w:pPr>
      <w:r>
        <w:t>3. Identité</w:t>
      </w:r>
    </w:p>
    <w:tbl>
      <w:tblPr>
        <w:tblStyle w:val="TableGrid"/>
        <w:tblW w:type="auto" w:w="0"/>
        <w:tblLook w:firstColumn="1" w:firstRow="1" w:lastColumn="0" w:lastRow="0" w:noHBand="0" w:noVBand="1" w:val="04A0"/>
      </w:tblPr>
      <w:tblGrid>
        <w:gridCol w:w="4986"/>
        <w:gridCol w:w="4986"/>
      </w:tblGrid>
      <w:tr>
        <w:tc>
          <w:tcPr>
            <w:tcW w:type="dxa" w:w="4986"/>
            <w:shd w:fill="1B3A4B" w:val="clear"/>
          </w:tcPr>
          <w:p>
            <w:r/>
            <w:r>
              <w:rPr>
                <w:b/>
                <w:color w:val="FFFFFF"/>
                <w:sz w:val="20"/>
              </w:rPr>
              <w:t>Champ</w:t>
            </w:r>
          </w:p>
        </w:tc>
        <w:tc>
          <w:tcPr>
            <w:tcW w:type="dxa" w:w="4986"/>
            <w:shd w:fill="1B3A4B" w:val="clear"/>
          </w:tcPr>
          <w:p>
            <w:r/>
            <w:r>
              <w:rPr>
                <w:b/>
                <w:color w:val="FFFFFF"/>
                <w:sz w:val="20"/>
              </w:rPr>
              <w:t>Valeur</w:t>
            </w:r>
          </w:p>
        </w:tc>
      </w:tr>
      <w:tr>
        <w:tc>
          <w:tcPr>
            <w:tcW w:type="dxa" w:w="4986"/>
          </w:tcPr>
          <w:p>
            <w:r/>
            <w:r>
              <w:rPr>
                <w:sz w:val="18"/>
              </w:rPr>
              <w:t>Équipe</w:t>
            </w:r>
          </w:p>
        </w:tc>
        <w:tc>
          <w:tcPr>
            <w:tcW w:type="dxa" w:w="4986"/>
          </w:tcPr>
          <w:p>
            <w:r/>
            <w:r>
              <w:rPr>
                <w:sz w:val="18"/>
              </w:rPr>
              <w:t>RelaisYoon</w:t>
            </w:r>
          </w:p>
        </w:tc>
      </w:tr>
      <w:tr>
        <w:tc>
          <w:tcPr>
            <w:tcW w:type="dxa" w:w="4986"/>
          </w:tcPr>
          <w:p>
            <w:r/>
            <w:r>
              <w:rPr>
                <w:sz w:val="18"/>
              </w:rPr>
              <w:t>Dépôt prévu</w:t>
            </w:r>
          </w:p>
        </w:tc>
        <w:tc>
          <w:tcPr>
            <w:tcW w:type="dxa" w:w="4986"/>
          </w:tcPr>
          <w:p>
            <w:r/>
            <w:r>
              <w:rPr>
                <w:sz w:val="18"/>
              </w:rPr>
              <w:t>GET409-RelaisYoon</w:t>
            </w:r>
          </w:p>
        </w:tc>
      </w:tr>
      <w:tr>
        <w:tc>
          <w:tcPr>
            <w:tcW w:type="dxa" w:w="4986"/>
          </w:tcPr>
          <w:p>
            <w:r/>
            <w:r>
              <w:rPr>
                <w:sz w:val="18"/>
              </w:rPr>
              <w:t>Secteur S1</w:t>
            </w:r>
          </w:p>
        </w:tc>
        <w:tc>
          <w:tcPr>
            <w:tcW w:type="dxa" w:w="4986"/>
          </w:tcPr>
          <w:p>
            <w:r/>
            <w:r>
              <w:rPr>
                <w:sz w:val="18"/>
              </w:rPr>
              <w:t>Mobilité urbaine Dakar — dernier kilomètre, pas le fret maraîcher</w:t>
            </w:r>
          </w:p>
        </w:tc>
      </w:tr>
      <w:tr>
        <w:tc>
          <w:tcPr>
            <w:tcW w:type="dxa" w:w="4986"/>
          </w:tcPr>
          <w:p>
            <w:r/>
            <w:r>
              <w:rPr>
                <w:sz w:val="18"/>
              </w:rPr>
              <w:t>Workspace Dify</w:t>
            </w:r>
          </w:p>
        </w:tc>
        <w:tc>
          <w:tcPr>
            <w:tcW w:type="dxa" w:w="4986"/>
          </w:tcPr>
          <w:p>
            <w:r/>
            <w:r>
              <w:rPr>
                <w:sz w:val="18"/>
              </w:rPr>
              <w:t>GET409-RelaisYoon — à ouvrir, sans application avant la S3</w:t>
            </w:r>
          </w:p>
        </w:tc>
      </w:tr>
      <w:tr>
        <w:tc>
          <w:tcPr>
            <w:tcW w:type="dxa" w:w="4986"/>
          </w:tcPr>
          <w:p>
            <w:r/>
            <w:r>
              <w:rPr>
                <w:sz w:val="18"/>
              </w:rPr>
              <w:t>Membres</w:t>
            </w:r>
          </w:p>
        </w:tc>
        <w:tc>
          <w:tcPr>
            <w:tcW w:type="dxa" w:w="4986"/>
          </w:tcPr>
          <w:p>
            <w:r/>
            <w:r>
              <w:rPr>
                <w:sz w:val="18"/>
              </w:rPr>
              <w:t>À compléter avec les quatre rôles du Lab. Aucun nom inventé.</w:t>
            </w:r>
          </w:p>
        </w:tc>
      </w:tr>
    </w:tbl>
    <w:p/>
    <w:tbl>
      <w:tblPr>
        <w:tblStyle w:val="TableGrid"/>
        <w:tblW w:type="auto" w:w="0"/>
        <w:tblLook w:firstColumn="1" w:firstRow="1" w:lastColumn="0" w:lastRow="0" w:noHBand="0" w:noVBand="1" w:val="04A0"/>
      </w:tblPr>
      <w:tblGrid>
        <w:gridCol w:w="4986"/>
        <w:gridCol w:w="4986"/>
      </w:tblGrid>
      <w:tr>
        <w:tc>
          <w:tcPr>
            <w:tcW w:type="dxa" w:w="4986"/>
            <w:shd w:fill="1B3A4B" w:val="clear"/>
          </w:tcPr>
          <w:p>
            <w:r/>
            <w:r>
              <w:rPr>
                <w:b/>
                <w:color w:val="FFFFFF"/>
                <w:sz w:val="20"/>
              </w:rPr>
              <w:t>Rôle</w:t>
            </w:r>
          </w:p>
        </w:tc>
        <w:tc>
          <w:tcPr>
            <w:tcW w:type="dxa" w:w="4986"/>
            <w:shd w:fill="1B3A4B" w:val="clear"/>
          </w:tcPr>
          <w:p>
            <w:r/>
            <w:r>
              <w:rPr>
                <w:b/>
                <w:color w:val="FFFFFF"/>
                <w:sz w:val="20"/>
              </w:rPr>
              <w:t>Tenue de ce dossier</w:t>
            </w:r>
          </w:p>
        </w:tc>
      </w:tr>
      <w:tr>
        <w:tc>
          <w:tcPr>
            <w:tcW w:type="dxa" w:w="4986"/>
          </w:tcPr>
          <w:p>
            <w:r/>
            <w:r>
              <w:rPr>
                <w:sz w:val="18"/>
              </w:rPr>
              <w:t>Chef de Produit</w:t>
            </w:r>
          </w:p>
        </w:tc>
        <w:tc>
          <w:tcPr>
            <w:tcW w:type="dxa" w:w="4986"/>
          </w:tcPr>
          <w:p>
            <w:r/>
            <w:r>
              <w:rPr>
                <w:sz w:val="18"/>
              </w:rPr>
              <w:t>Secteur, phrase problème, arbitrage du HMW</w:t>
            </w:r>
          </w:p>
        </w:tc>
      </w:tr>
      <w:tr>
        <w:tc>
          <w:tcPr>
            <w:tcW w:type="dxa" w:w="4986"/>
          </w:tcPr>
          <w:p>
            <w:r/>
            <w:r>
              <w:rPr>
                <w:sz w:val="18"/>
              </w:rPr>
              <w:t>Master Prompt Engineer</w:t>
            </w:r>
          </w:p>
        </w:tc>
        <w:tc>
          <w:tcPr>
            <w:tcW w:type="dxa" w:w="4986"/>
          </w:tcPr>
          <w:p>
            <w:r/>
            <w:r>
              <w:rPr>
                <w:sz w:val="18"/>
              </w:rPr>
              <w:t>Prompts S1, crochets remplacés, itérations notées</w:t>
            </w:r>
          </w:p>
        </w:tc>
      </w:tr>
      <w:tr>
        <w:tc>
          <w:tcPr>
            <w:tcW w:type="dxa" w:w="4986"/>
          </w:tcPr>
          <w:p>
            <w:r/>
            <w:r>
              <w:rPr>
                <w:sz w:val="18"/>
              </w:rPr>
              <w:t>Dev UI</w:t>
            </w:r>
          </w:p>
        </w:tc>
        <w:tc>
          <w:tcPr>
            <w:tcW w:type="dxa" w:w="4986"/>
          </w:tcPr>
          <w:p>
            <w:r/>
            <w:r>
              <w:rPr>
                <w:sz w:val="18"/>
              </w:rPr>
              <w:t>Dépôt public et README, quand l’équipe est nommée</w:t>
            </w:r>
          </w:p>
        </w:tc>
      </w:tr>
      <w:tr>
        <w:tc>
          <w:tcPr>
            <w:tcW w:type="dxa" w:w="4986"/>
          </w:tcPr>
          <w:p>
            <w:r/>
            <w:r>
              <w:rPr>
                <w:sz w:val="18"/>
              </w:rPr>
              <w:t>Responsable Impact</w:t>
            </w:r>
          </w:p>
        </w:tc>
        <w:tc>
          <w:tcPr>
            <w:tcW w:type="dxa" w:w="4986"/>
          </w:tcPr>
          <w:p>
            <w:r/>
            <w:r>
              <w:rPr>
                <w:sz w:val="18"/>
              </w:rPr>
              <w:t>Filtre : aucun chiffre officiel dans la voix du persona</w:t>
            </w:r>
          </w:p>
        </w:tc>
      </w:tr>
    </w:tbl>
    <w:p/>
    <w:p>
      <w:pPr>
        <w:pStyle w:val="Heading1"/>
      </w:pPr>
      <w:r>
        <w:t>4. Le défi</w:t>
      </w:r>
    </w:p>
    <w:p>
      <w:pPr>
        <w:spacing w:after="160" w:before="0"/>
      </w:pPr>
      <w:r>
        <w:rPr>
          <w:b w:val="0"/>
          <w:i w:val="0"/>
        </w:rPr>
        <w:t>Phrase problème. Une usagère qui descend du BRT ailleurs qu’à Petersen ne sait pas, avant de quitter le quai, si une correspondance de quartier part, ni à quel prix. Elle l’apprend en demandant sur place.</w:t>
      </w:r>
    </w:p>
    <w:p>
      <w:pPr>
        <w:spacing w:after="160" w:before="0"/>
      </w:pPr>
      <w:r>
        <w:rPr>
          <w:b w:val="0"/>
          <w:i w:val="0"/>
        </w:rPr>
        <w:t>Ce n’est pas « il n’y a pas de transport à Dakar ». Le BRT est cadencé, le TER existe, AFTU transporte des centaines de millions de voyages par an, et un rabattement Dem Dikk est publié à Petersen. Le trou est la liaison non publiée entre la station et le quartier.</w:t>
      </w:r>
    </w:p>
    <w:p>
      <w:pPr>
        <w:pStyle w:val="Heading1"/>
      </w:pPr>
      <w:r>
        <w:t>5. Persona</w:t>
      </w:r>
    </w:p>
    <w:tbl>
      <w:tblPr>
        <w:tblStyle w:val="TableGrid"/>
        <w:tblW w:type="auto" w:w="0"/>
        <w:tblLook w:firstColumn="1" w:firstRow="1" w:lastColumn="0" w:lastRow="0" w:noHBand="0" w:noVBand="1" w:val="04A0"/>
      </w:tblPr>
      <w:tblGrid>
        <w:gridCol w:w="4986"/>
        <w:gridCol w:w="4986"/>
      </w:tblGrid>
      <w:tr>
        <w:tc>
          <w:tcPr>
            <w:tcW w:type="dxa" w:w="4986"/>
            <w:shd w:fill="1B3A4B" w:val="clear"/>
          </w:tcPr>
          <w:p>
            <w:r/>
            <w:r>
              <w:rPr>
                <w:b/>
                <w:color w:val="FFFFFF"/>
                <w:sz w:val="20"/>
              </w:rPr>
              <w:t>Champ</w:t>
            </w:r>
          </w:p>
        </w:tc>
        <w:tc>
          <w:tcPr>
            <w:tcW w:type="dxa" w:w="4986"/>
            <w:shd w:fill="1B3A4B" w:val="clear"/>
          </w:tcPr>
          <w:p>
            <w:r/>
            <w:r>
              <w:rPr>
                <w:b/>
                <w:color w:val="FFFFFF"/>
                <w:sz w:val="20"/>
              </w:rPr>
              <w:t>Valeur</w:t>
            </w:r>
          </w:p>
        </w:tc>
      </w:tr>
      <w:tr>
        <w:tc>
          <w:tcPr>
            <w:tcW w:type="dxa" w:w="4986"/>
          </w:tcPr>
          <w:p>
            <w:r/>
            <w:r>
              <w:rPr>
                <w:sz w:val="18"/>
              </w:rPr>
              <w:t>Nom</w:t>
            </w:r>
          </w:p>
        </w:tc>
        <w:tc>
          <w:tcPr>
            <w:tcW w:type="dxa" w:w="4986"/>
          </w:tcPr>
          <w:p>
            <w:r/>
            <w:r>
              <w:rPr>
                <w:sz w:val="18"/>
              </w:rPr>
              <w:t>Awa Diop, 34 ans</w:t>
            </w:r>
          </w:p>
        </w:tc>
      </w:tr>
      <w:tr>
        <w:tc>
          <w:tcPr>
            <w:tcW w:type="dxa" w:w="4986"/>
          </w:tcPr>
          <w:p>
            <w:r/>
            <w:r>
              <w:rPr>
                <w:sz w:val="18"/>
              </w:rPr>
              <w:t>Activité</w:t>
            </w:r>
          </w:p>
        </w:tc>
        <w:tc>
          <w:tcPr>
            <w:tcW w:type="dxa" w:w="4986"/>
          </w:tcPr>
          <w:p>
            <w:r/>
            <w:r>
              <w:rPr>
                <w:sz w:val="18"/>
              </w:rPr>
              <w:t>Employée de maison, Plateau le jour, quartier hors station le soir</w:t>
            </w:r>
          </w:p>
        </w:tc>
      </w:tr>
      <w:tr>
        <w:tc>
          <w:tcPr>
            <w:tcW w:type="dxa" w:w="4986"/>
          </w:tcPr>
          <w:p>
            <w:r/>
            <w:r>
              <w:rPr>
                <w:sz w:val="18"/>
              </w:rPr>
              <w:t>Lieu</w:t>
            </w:r>
          </w:p>
        </w:tc>
        <w:tc>
          <w:tcPr>
            <w:tcW w:type="dxa" w:w="4986"/>
          </w:tcPr>
          <w:p>
            <w:r/>
            <w:r>
              <w:rPr>
                <w:sz w:val="18"/>
              </w:rPr>
              <w:t>Guédiawaye — pas sur le quai, à une correspondance du BRT</w:t>
            </w:r>
          </w:p>
        </w:tc>
      </w:tr>
      <w:tr>
        <w:tc>
          <w:tcPr>
            <w:tcW w:type="dxa" w:w="4986"/>
          </w:tcPr>
          <w:p>
            <w:r/>
            <w:r>
              <w:rPr>
                <w:sz w:val="18"/>
              </w:rPr>
              <w:t>Chaîne réelle</w:t>
            </w:r>
          </w:p>
        </w:tc>
        <w:tc>
          <w:tcPr>
            <w:tcW w:type="dxa" w:w="4986"/>
          </w:tcPr>
          <w:p>
            <w:r/>
            <w:r>
              <w:rPr>
                <w:sz w:val="18"/>
              </w:rPr>
              <w:t>Marche, BRT, puis clando ou car rapide</w:t>
            </w:r>
          </w:p>
        </w:tc>
      </w:tr>
      <w:tr>
        <w:tc>
          <w:tcPr>
            <w:tcW w:type="dxa" w:w="4986"/>
          </w:tcPr>
          <w:p>
            <w:r/>
            <w:r>
              <w:rPr>
                <w:sz w:val="18"/>
              </w:rPr>
              <w:t>Équipement</w:t>
            </w:r>
          </w:p>
        </w:tc>
        <w:tc>
          <w:tcPr>
            <w:tcW w:type="dxa" w:w="4986"/>
          </w:tcPr>
          <w:p>
            <w:r/>
            <w:r>
              <w:rPr>
                <w:sz w:val="18"/>
              </w:rPr>
              <w:t>Téléphone Android. Le forfait data ne tient pas le mois. WhatsApp coupé avant la paie.</w:t>
            </w:r>
          </w:p>
        </w:tc>
      </w:tr>
      <w:tr>
        <w:tc>
          <w:tcPr>
            <w:tcW w:type="dxa" w:w="4986"/>
          </w:tcPr>
          <w:p>
            <w:r/>
            <w:r>
              <w:rPr>
                <w:sz w:val="18"/>
              </w:rPr>
              <w:t>Ce qu’elle n’est pas</w:t>
            </w:r>
          </w:p>
        </w:tc>
        <w:tc>
          <w:tcPr>
            <w:tcW w:type="dxa" w:w="4986"/>
          </w:tcPr>
          <w:p>
            <w:r/>
            <w:r>
              <w:rPr>
                <w:sz w:val="18"/>
              </w:rPr>
              <w:t>Pas maraîchère. Pas à Sebikotane. Pas un feature phone imposé par copier-coller du fil rouge.</w:t>
            </w:r>
          </w:p>
        </w:tc>
      </w:tr>
    </w:tbl>
    <w:p/>
    <w:p>
      <w:pPr>
        <w:spacing w:after="160" w:before="0"/>
      </w:pPr>
      <w:r>
        <w:rPr>
          <w:b w:val="0"/>
          <w:i/>
        </w:rPr>
        <w:t>L’équipement est une hypothèse de conception, pas un résultat d’enquête. Elle sera confirmée ou jetée à la première interview hors séance. Le Nokia d’Abdoulaye Ndiaye n’est pas recopié.</w:t>
      </w:r>
    </w:p>
    <w:p>
      <w:pPr>
        <w:pStyle w:val="Heading1"/>
      </w:pPr>
      <w:r>
        <w:t>6. Guide d’interview</w:t>
      </w:r>
    </w:p>
    <w:p>
      <w:pPr>
        <w:spacing w:after="160" w:before="0"/>
      </w:pPr>
      <w:r>
        <w:rPr>
          <w:b w:val="0"/>
          <w:i w:val="0"/>
        </w:rPr>
        <w:t>Règles du Lab : questions ouvertes, silence, reformulation, émotion notée, « pourquoi » au moins trois fois. Interdit : question fermée, solution pendant l’interview, question qui oriente vers une application.</w:t>
      </w:r>
    </w:p>
    <w:p>
      <w:pPr>
        <w:spacing w:after="160" w:before="0"/>
      </w:pPr>
      <w:r>
        <w:rPr>
          <w:b/>
          <w:i w:val="0"/>
        </w:rPr>
        <w:t>Ouverture</w:t>
      </w:r>
    </w:p>
    <w:p>
      <w:pPr>
        <w:pStyle w:val="ListBullet"/>
        <w:spacing w:after="40"/>
      </w:pPr>
      <w:r>
        <w:t>Racontez-moi le trajet d’hier, de la station jusqu’à la maison.</w:t>
      </w:r>
    </w:p>
    <w:p>
      <w:pPr>
        <w:pStyle w:val="ListBullet"/>
        <w:spacing w:after="40"/>
      </w:pPr>
      <w:r>
        <w:t>Comment savez-vous, en descendant, s’il y a une voiture pour le quartier ?</w:t>
      </w:r>
    </w:p>
    <w:p>
      <w:pPr>
        <w:pStyle w:val="ListBullet"/>
        <w:spacing w:after="40"/>
      </w:pPr>
      <w:r>
        <w:t>Qu’est-ce que les autres femmes du quai se disent quand le BRT arrive plein ?</w:t>
      </w:r>
    </w:p>
    <w:p>
      <w:pPr>
        <w:spacing w:after="160" w:before="0"/>
      </w:pPr>
      <w:r>
        <w:rPr>
          <w:b/>
          <w:i w:val="0"/>
        </w:rPr>
        <w:t>Exploration</w:t>
      </w:r>
    </w:p>
    <w:p>
      <w:pPr>
        <w:pStyle w:val="ListBullet"/>
        <w:spacing w:after="40"/>
      </w:pPr>
      <w:r>
        <w:t>Racontez-moi la dernière fois où vous avez fini le trajet à pied, ou payé sans comprendre le prix.</w:t>
      </w:r>
    </w:p>
    <w:p>
      <w:pPr>
        <w:pStyle w:val="ListBullet"/>
        <w:spacing w:after="40"/>
      </w:pPr>
      <w:r>
        <w:t>Pourquoi n’avez-vous pas attendu une autre voiture ?</w:t>
      </w:r>
    </w:p>
    <w:p>
      <w:pPr>
        <w:pStyle w:val="ListBullet"/>
        <w:spacing w:after="40"/>
      </w:pPr>
      <w:r>
        <w:t>Pourquoi le téléphone n’a-t-il pas répondu à la question, hier ?</w:t>
      </w:r>
    </w:p>
    <w:p>
      <w:pPr>
        <w:pStyle w:val="ListBullet"/>
        <w:spacing w:after="40"/>
      </w:pPr>
      <w:r>
        <w:t>Que ressentez-vous quand le clando annonce un prix et que le suivant en annonce un autre ?</w:t>
      </w:r>
    </w:p>
    <w:p>
      <w:pPr>
        <w:pStyle w:val="ListBullet"/>
        <w:spacing w:after="40"/>
      </w:pPr>
      <w:r>
        <w:t>Pourquoi demander à une voisine de quai ne suffit pas ?</w:t>
      </w:r>
    </w:p>
    <w:p>
      <w:pPr>
        <w:spacing w:after="160" w:before="0"/>
      </w:pPr>
      <w:r>
        <w:rPr>
          <w:b/>
          <w:i w:val="0"/>
        </w:rPr>
        <w:t>Aspirations</w:t>
      </w:r>
    </w:p>
    <w:p>
      <w:pPr>
        <w:pStyle w:val="ListBullet"/>
        <w:spacing w:after="40"/>
      </w:pPr>
      <w:r>
        <w:t>Si vous saviez une seule chose avant d’ouvrir la porte du bus, laquelle ?</w:t>
      </w:r>
    </w:p>
    <w:p>
      <w:pPr>
        <w:pStyle w:val="ListBullet"/>
        <w:spacing w:after="40"/>
      </w:pPr>
      <w:r>
        <w:t>À quoi ressemble un soir où le trajet s’est bien passé — pour vous, pas pour la ville ?</w:t>
      </w:r>
    </w:p>
    <w:p>
      <w:pPr>
        <w:pStyle w:val="Heading1"/>
      </w:pPr>
      <w:r>
        <w:t>7. Notes — interview simulée</w:t>
      </w:r>
    </w:p>
    <w:p>
      <w:pPr>
        <w:spacing w:after="160" w:before="0"/>
      </w:pPr>
      <w:r>
        <w:rPr>
          <w:b w:val="0"/>
          <w:i/>
        </w:rPr>
        <w:t>Simulation de séance, 5 minutes, un membre joue Awa. Ce n’est pas une enquête CETUD. Aucun pourcentage n’est attribué à Awa. Les faits de la section 2 restent dans la section 2.</w:t>
      </w:r>
    </w:p>
    <w:tbl>
      <w:tblPr>
        <w:tblStyle w:val="TableGrid"/>
        <w:tblW w:type="auto" w:w="0"/>
        <w:tblLook w:firstColumn="1" w:firstRow="1" w:lastColumn="0" w:lastRow="0" w:noHBand="0" w:noVBand="1" w:val="04A0"/>
      </w:tblPr>
      <w:tblGrid>
        <w:gridCol w:w="3324"/>
        <w:gridCol w:w="3324"/>
        <w:gridCol w:w="3324"/>
      </w:tblGrid>
      <w:tr>
        <w:tc>
          <w:tcPr>
            <w:tcW w:type="dxa" w:w="3324"/>
            <w:shd w:fill="1B3A4B" w:val="clear"/>
          </w:tcPr>
          <w:p>
            <w:r/>
            <w:r>
              <w:rPr>
                <w:b/>
                <w:color w:val="FFFFFF"/>
                <w:sz w:val="20"/>
              </w:rPr>
              <w:t>Question</w:t>
            </w:r>
          </w:p>
        </w:tc>
        <w:tc>
          <w:tcPr>
            <w:tcW w:type="dxa" w:w="3324"/>
            <w:shd w:fill="1B3A4B" w:val="clear"/>
          </w:tcPr>
          <w:p>
            <w:r/>
            <w:r>
              <w:rPr>
                <w:b/>
                <w:color w:val="FFFFFF"/>
                <w:sz w:val="20"/>
              </w:rPr>
              <w:t>Verbatim</w:t>
            </w:r>
          </w:p>
        </w:tc>
        <w:tc>
          <w:tcPr>
            <w:tcW w:type="dxa" w:w="3324"/>
            <w:shd w:fill="1B3A4B" w:val="clear"/>
          </w:tcPr>
          <w:p>
            <w:r/>
            <w:r>
              <w:rPr>
                <w:b/>
                <w:color w:val="FFFFFF"/>
                <w:sz w:val="20"/>
              </w:rPr>
              <w:t>Émotion</w:t>
            </w:r>
          </w:p>
        </w:tc>
      </w:tr>
      <w:tr>
        <w:tc>
          <w:tcPr>
            <w:tcW w:type="dxa" w:w="3324"/>
          </w:tcPr>
          <w:p>
            <w:r/>
            <w:r>
              <w:rPr>
                <w:sz w:val="18"/>
              </w:rPr>
              <w:t>Trajet d’hier</w:t>
            </w:r>
          </w:p>
        </w:tc>
        <w:tc>
          <w:tcPr>
            <w:tcW w:type="dxa" w:w="3324"/>
          </w:tcPr>
          <w:p>
            <w:r/>
            <w:r>
              <w:rPr>
                <w:sz w:val="18"/>
              </w:rPr>
              <w:t>« Je descends. Je demande. S’il y a une voiture, je monte. S’il n’y en a pas, je marche ou j’attends. Personne ne me l’a dit dans le bus. »</w:t>
            </w:r>
          </w:p>
        </w:tc>
        <w:tc>
          <w:tcPr>
            <w:tcW w:type="dxa" w:w="3324"/>
          </w:tcPr>
          <w:p>
            <w:r/>
            <w:r>
              <w:rPr>
                <w:sz w:val="18"/>
              </w:rPr>
              <w:t>Fatigue</w:t>
            </w:r>
          </w:p>
        </w:tc>
      </w:tr>
      <w:tr>
        <w:tc>
          <w:tcPr>
            <w:tcW w:type="dxa" w:w="3324"/>
          </w:tcPr>
          <w:p>
            <w:r/>
            <w:r>
              <w:rPr>
                <w:sz w:val="18"/>
              </w:rPr>
              <w:t>Comment elle sait</w:t>
            </w:r>
          </w:p>
        </w:tc>
        <w:tc>
          <w:tcPr>
            <w:tcW w:type="dxa" w:w="3324"/>
          </w:tcPr>
          <w:p>
            <w:r/>
            <w:r>
              <w:rPr>
                <w:sz w:val="18"/>
              </w:rPr>
              <w:t>« Je ne sais pas. Je regarde la file. Si les femmes montent, je monte. »</w:t>
            </w:r>
          </w:p>
        </w:tc>
        <w:tc>
          <w:tcPr>
            <w:tcW w:type="dxa" w:w="3324"/>
          </w:tcPr>
          <w:p>
            <w:r/>
            <w:r>
              <w:rPr>
                <w:sz w:val="18"/>
              </w:rPr>
              <w:t>Débrouillardise</w:t>
            </w:r>
          </w:p>
        </w:tc>
      </w:tr>
      <w:tr>
        <w:tc>
          <w:tcPr>
            <w:tcW w:type="dxa" w:w="3324"/>
          </w:tcPr>
          <w:p>
            <w:r/>
            <w:r>
              <w:rPr>
                <w:sz w:val="18"/>
              </w:rPr>
              <w:t>Ce que disent les autres</w:t>
            </w:r>
          </w:p>
        </w:tc>
        <w:tc>
          <w:tcPr>
            <w:tcW w:type="dxa" w:w="3324"/>
          </w:tcPr>
          <w:p>
            <w:r/>
            <w:r>
              <w:rPr>
                <w:sz w:val="18"/>
              </w:rPr>
              <w:t>« Elles disent : prends celui-là, l’autre va trop loin. Des fois c’est vrai. Des fois on se trompe toutes. »</w:t>
            </w:r>
          </w:p>
        </w:tc>
        <w:tc>
          <w:tcPr>
            <w:tcW w:type="dxa" w:w="3324"/>
          </w:tcPr>
          <w:p>
            <w:r/>
            <w:r>
              <w:rPr>
                <w:sz w:val="18"/>
              </w:rPr>
              <w:t>Solidarité fragile</w:t>
            </w:r>
          </w:p>
        </w:tc>
      </w:tr>
      <w:tr>
        <w:tc>
          <w:tcPr>
            <w:tcW w:type="dxa" w:w="3324"/>
          </w:tcPr>
          <w:p>
            <w:r/>
            <w:r>
              <w:rPr>
                <w:sz w:val="18"/>
              </w:rPr>
              <w:t>Dernière fois à pied</w:t>
            </w:r>
          </w:p>
        </w:tc>
        <w:tc>
          <w:tcPr>
            <w:tcW w:type="dxa" w:w="3324"/>
          </w:tcPr>
          <w:p>
            <w:r/>
            <w:r>
              <w:rPr>
                <w:sz w:val="18"/>
              </w:rPr>
              <w:t>« La pluie. Les clandos ont doublé le prix. J’ai marché. Je suis arrivée après l’heure, on m’a fait la remarque le lendemain. »</w:t>
            </w:r>
          </w:p>
        </w:tc>
        <w:tc>
          <w:tcPr>
            <w:tcW w:type="dxa" w:w="3324"/>
          </w:tcPr>
          <w:p>
            <w:r/>
            <w:r>
              <w:rPr>
                <w:sz w:val="18"/>
              </w:rPr>
              <w:t>Honte</w:t>
            </w:r>
          </w:p>
        </w:tc>
      </w:tr>
      <w:tr>
        <w:tc>
          <w:tcPr>
            <w:tcW w:type="dxa" w:w="3324"/>
          </w:tcPr>
          <w:p>
            <w:r/>
            <w:r>
              <w:rPr>
                <w:sz w:val="18"/>
              </w:rPr>
              <w:t>Pourquoi ne pas attendre</w:t>
            </w:r>
          </w:p>
        </w:tc>
        <w:tc>
          <w:tcPr>
            <w:tcW w:type="dxa" w:w="3324"/>
          </w:tcPr>
          <w:p>
            <w:r/>
            <w:r>
              <w:rPr>
                <w:sz w:val="18"/>
              </w:rPr>
              <w:t>« Attendre, c’est rentrer dans le noir. Et le suivant peut être plus cher, pas moins. »</w:t>
            </w:r>
          </w:p>
        </w:tc>
        <w:tc>
          <w:tcPr>
            <w:tcW w:type="dxa" w:w="3324"/>
          </w:tcPr>
          <w:p>
            <w:r/>
            <w:r>
              <w:rPr>
                <w:sz w:val="18"/>
              </w:rPr>
              <w:t>Calcul contraint</w:t>
            </w:r>
          </w:p>
        </w:tc>
      </w:tr>
      <w:tr>
        <w:tc>
          <w:tcPr>
            <w:tcW w:type="dxa" w:w="3324"/>
          </w:tcPr>
          <w:p>
            <w:r/>
            <w:r>
              <w:rPr>
                <w:sz w:val="18"/>
              </w:rPr>
              <w:t>Pourquoi pas le téléphone</w:t>
            </w:r>
          </w:p>
        </w:tc>
        <w:tc>
          <w:tcPr>
            <w:tcW w:type="dxa" w:w="3324"/>
          </w:tcPr>
          <w:p>
            <w:r/>
            <w:r>
              <w:rPr>
                <w:sz w:val="18"/>
              </w:rPr>
              <w:t>« Le data est fini. L’appli du BRT, je l’ouvre en début de mois. Après, c’est le quai. »</w:t>
            </w:r>
          </w:p>
        </w:tc>
        <w:tc>
          <w:tcPr>
            <w:tcW w:type="dxa" w:w="3324"/>
          </w:tcPr>
          <w:p>
            <w:r/>
            <w:r>
              <w:rPr>
                <w:sz w:val="18"/>
              </w:rPr>
              <w:t>Lucidité</w:t>
            </w:r>
          </w:p>
        </w:tc>
      </w:tr>
      <w:tr>
        <w:tc>
          <w:tcPr>
            <w:tcW w:type="dxa" w:w="3324"/>
          </w:tcPr>
          <w:p>
            <w:r/>
            <w:r>
              <w:rPr>
                <w:sz w:val="18"/>
              </w:rPr>
              <w:t>Deux prix</w:t>
            </w:r>
          </w:p>
        </w:tc>
        <w:tc>
          <w:tcPr>
            <w:tcW w:type="dxa" w:w="3324"/>
          </w:tcPr>
          <w:p>
            <w:r/>
            <w:r>
              <w:rPr>
                <w:sz w:val="18"/>
              </w:rPr>
              <w:t>« L’un dit 500, l’autre dit 700, pour la même rue. Je n’ai pas de papier. Je choisis le visage. »</w:t>
            </w:r>
          </w:p>
        </w:tc>
        <w:tc>
          <w:tcPr>
            <w:tcW w:type="dxa" w:w="3324"/>
          </w:tcPr>
          <w:p>
            <w:r/>
            <w:r>
              <w:rPr>
                <w:sz w:val="18"/>
              </w:rPr>
              <w:t>Méfiance</w:t>
            </w:r>
          </w:p>
        </w:tc>
      </w:tr>
      <w:tr>
        <w:tc>
          <w:tcPr>
            <w:tcW w:type="dxa" w:w="3324"/>
          </w:tcPr>
          <w:p>
            <w:r/>
            <w:r>
              <w:rPr>
                <w:sz w:val="18"/>
              </w:rPr>
              <w:t>Pourquoi pas la voisine</w:t>
            </w:r>
          </w:p>
        </w:tc>
        <w:tc>
          <w:tcPr>
            <w:tcW w:type="dxa" w:w="3324"/>
          </w:tcPr>
          <w:p>
            <w:r/>
            <w:r>
              <w:rPr>
                <w:sz w:val="18"/>
              </w:rPr>
              <w:t>« Elle connaît son raccourci, pas le mien. Et elle est déjà montée. »</w:t>
            </w:r>
          </w:p>
        </w:tc>
        <w:tc>
          <w:tcPr>
            <w:tcW w:type="dxa" w:w="3324"/>
          </w:tcPr>
          <w:p>
            <w:r/>
            <w:r>
              <w:rPr>
                <w:sz w:val="18"/>
              </w:rPr>
              <w:t>Isolement dans la foule</w:t>
            </w:r>
          </w:p>
        </w:tc>
      </w:tr>
      <w:tr>
        <w:tc>
          <w:tcPr>
            <w:tcW w:type="dxa" w:w="3324"/>
          </w:tcPr>
          <w:p>
            <w:r/>
            <w:r>
              <w:rPr>
                <w:sz w:val="18"/>
              </w:rPr>
              <w:t>Une seule chose</w:t>
            </w:r>
          </w:p>
        </w:tc>
        <w:tc>
          <w:tcPr>
            <w:tcW w:type="dxa" w:w="3324"/>
          </w:tcPr>
          <w:p>
            <w:r/>
            <w:r>
              <w:rPr>
                <w:sz w:val="18"/>
              </w:rPr>
              <w:t>« Si une voiture part vers chez moi, et combien, avant que la porte se ferme. »</w:t>
            </w:r>
          </w:p>
        </w:tc>
        <w:tc>
          <w:tcPr>
            <w:tcW w:type="dxa" w:w="3324"/>
          </w:tcPr>
          <w:p>
            <w:r/>
            <w:r>
              <w:rPr>
                <w:sz w:val="18"/>
              </w:rPr>
              <w:t>Besoin étroit</w:t>
            </w:r>
          </w:p>
        </w:tc>
      </w:tr>
      <w:tr>
        <w:tc>
          <w:tcPr>
            <w:tcW w:type="dxa" w:w="3324"/>
          </w:tcPr>
          <w:p>
            <w:r/>
            <w:r>
              <w:rPr>
                <w:sz w:val="18"/>
              </w:rPr>
              <w:t>Un soir réussi</w:t>
            </w:r>
          </w:p>
        </w:tc>
        <w:tc>
          <w:tcPr>
            <w:tcW w:type="dxa" w:w="3324"/>
          </w:tcPr>
          <w:p>
            <w:r/>
            <w:r>
              <w:rPr>
                <w:sz w:val="18"/>
              </w:rPr>
              <w:t>« Rentrer avant la nuit, avec assez pour le pain. Sans avoir à expliquer pourquoi je suis en retard. »</w:t>
            </w:r>
          </w:p>
        </w:tc>
        <w:tc>
          <w:tcPr>
            <w:tcW w:type="dxa" w:w="3324"/>
          </w:tcPr>
          <w:p>
            <w:r/>
            <w:r>
              <w:rPr>
                <w:sz w:val="18"/>
              </w:rPr>
              <w:t>Dignité</w:t>
            </w:r>
          </w:p>
        </w:tc>
      </w:tr>
    </w:tbl>
    <w:p/>
    <w:p>
      <w:pPr>
        <w:spacing w:after="160" w:before="0"/>
      </w:pPr>
      <w:r>
        <w:rPr>
          <w:b w:val="0"/>
          <w:i w:val="0"/>
        </w:rPr>
        <w:t>Observé, pas dit. Elle ne cite aucun horaire officiel. Elle décide en regardant la file. Elle distingue le BRT, qu’elle connaît, du bout de trajet, qu’elle négocie. Le téléphone sert en début de mois, puis plus.</w:t>
      </w:r>
    </w:p>
    <w:p>
      <w:pPr>
        <w:spacing w:after="160" w:before="0"/>
      </w:pPr>
      <w:r>
        <w:rPr>
          <w:b w:val="0"/>
          <w:i w:val="0"/>
        </w:rPr>
        <w:t>Chaîne des pourquoi. Elle monte sans savoir → personne ne l’a dit dans le bus → le téléphone ne charge plus la donnée → la voisine est déjà partie → rentrer tard coûte plus que le supplément du clando.</w:t>
      </w:r>
    </w:p>
    <w:p>
      <w:pPr>
        <w:pStyle w:val="Heading1"/>
      </w:pPr>
      <w:r>
        <w:t>8. Carte d’empathie — Awa Diop</w:t>
      </w:r>
    </w:p>
    <w:p>
      <w:pPr>
        <w:spacing w:after="160" w:before="0"/>
      </w:pPr>
      <w:r>
        <w:rPr>
          <w:b w:val="0"/>
          <w:i w:val="0"/>
        </w:rPr>
        <w:t>Chaque puce a un appui dans les notes. Le rabattement de Petersen et les 115 000 passagers du TER n’apparaissent pas ici : elle ne les a pas dits.</w:t>
      </w:r>
    </w:p>
    <w:p>
      <w:pPr>
        <w:spacing w:after="160" w:before="0"/>
      </w:pPr>
      <w:r>
        <w:rPr>
          <w:b/>
          <w:i w:val="0"/>
        </w:rPr>
        <w:t>Pense et ressent</w:t>
      </w:r>
    </w:p>
    <w:p>
      <w:pPr>
        <w:pStyle w:val="ListBullet"/>
        <w:spacing w:after="40"/>
      </w:pPr>
      <w:r>
        <w:t>Le moment faible est la porte du bus, pas le couloir du BRT.</w:t>
      </w:r>
    </w:p>
    <w:p>
      <w:pPr>
        <w:pStyle w:val="ListBullet"/>
        <w:spacing w:after="40"/>
      </w:pPr>
      <w:r>
        <w:t>La pluie transforme un prix en marche, et la marche en remarque au travail.</w:t>
      </w:r>
    </w:p>
    <w:p>
      <w:pPr>
        <w:pStyle w:val="ListBullet"/>
        <w:spacing w:after="40"/>
      </w:pPr>
      <w:r>
        <w:t>Elle choisit un visage quand les prix divergent. Ce n'est pas une confiance. C'est l'absence de repère.</w:t>
      </w:r>
    </w:p>
    <w:p>
      <w:pPr>
        <w:spacing w:after="160" w:before="0"/>
      </w:pPr>
      <w:r>
        <w:rPr>
          <w:b/>
          <w:i w:val="0"/>
        </w:rPr>
        <w:t>Voit</w:t>
      </w:r>
    </w:p>
    <w:p>
      <w:pPr>
        <w:pStyle w:val="ListBullet"/>
        <w:spacing w:after="40"/>
      </w:pPr>
      <w:r>
        <w:t>La file des femmes qui montent, seul signal disponible.</w:t>
      </w:r>
    </w:p>
    <w:p>
      <w:pPr>
        <w:pStyle w:val="ListBullet"/>
        <w:spacing w:after="40"/>
      </w:pPr>
      <w:r>
        <w:t>Deux chauffeurs, deux prix, la même rue.</w:t>
      </w:r>
    </w:p>
    <w:p>
      <w:pPr>
        <w:pStyle w:val="ListBullet"/>
        <w:spacing w:after="40"/>
      </w:pPr>
      <w:r>
        <w:t>La nuit qui avance pendant qu’elle calcule.</w:t>
      </w:r>
    </w:p>
    <w:p>
      <w:pPr>
        <w:spacing w:after="160" w:before="0"/>
      </w:pPr>
      <w:r>
        <w:rPr>
          <w:b/>
          <w:i w:val="0"/>
        </w:rPr>
        <w:t>Entend</w:t>
      </w:r>
    </w:p>
    <w:p>
      <w:pPr>
        <w:pStyle w:val="ListBullet"/>
        <w:spacing w:after="40"/>
      </w:pPr>
      <w:r>
        <w:t>« Prends celui-là, l’autre va trop loin. »</w:t>
      </w:r>
    </w:p>
    <w:p>
      <w:pPr>
        <w:pStyle w:val="ListBullet"/>
        <w:spacing w:after="40"/>
      </w:pPr>
      <w:r>
        <w:t>Un prix crié, puis un autre.</w:t>
      </w:r>
    </w:p>
    <w:p>
      <w:pPr>
        <w:pStyle w:val="ListBullet"/>
        <w:spacing w:after="40"/>
      </w:pPr>
      <w:r>
        <w:t>La remarque du lendemain, quand elle est arrivée après l’heure.</w:t>
      </w:r>
    </w:p>
    <w:p>
      <w:pPr>
        <w:spacing w:after="160" w:before="0"/>
      </w:pPr>
      <w:r>
        <w:rPr>
          <w:b/>
          <w:i w:val="0"/>
        </w:rPr>
        <w:t>Dit et fait</w:t>
      </w:r>
    </w:p>
    <w:p>
      <w:pPr>
        <w:pStyle w:val="ListBullet"/>
        <w:spacing w:after="40"/>
      </w:pPr>
      <w:r>
        <w:t>« Personne ne me l’a dit dans le bus. »</w:t>
      </w:r>
    </w:p>
    <w:p>
      <w:pPr>
        <w:pStyle w:val="ListBullet"/>
        <w:spacing w:after="40"/>
      </w:pPr>
      <w:r>
        <w:t>Elle ouvre l’appli du BRT tant que le data tient, puis elle s’en passe.</w:t>
      </w:r>
    </w:p>
    <w:p>
      <w:pPr>
        <w:pStyle w:val="ListBullet"/>
        <w:spacing w:after="40"/>
      </w:pPr>
      <w:r>
        <w:t>Elle marche plutôt que de payer le prix de la pluie.</w:t>
      </w:r>
    </w:p>
    <w:p>
      <w:pPr>
        <w:spacing w:after="160" w:before="0"/>
      </w:pPr>
      <w:r>
        <w:rPr>
          <w:b/>
          <w:i w:val="0"/>
        </w:rPr>
        <w:t>Frustrations</w:t>
      </w:r>
    </w:p>
    <w:tbl>
      <w:tblPr>
        <w:tblStyle w:val="TableGrid"/>
        <w:tblW w:type="auto" w:w="0"/>
        <w:tblLook w:firstColumn="1" w:firstRow="1" w:lastColumn="0" w:lastRow="0" w:noHBand="0" w:noVBand="1" w:val="04A0"/>
      </w:tblPr>
      <w:tblGrid>
        <w:gridCol w:w="3324"/>
        <w:gridCol w:w="3324"/>
        <w:gridCol w:w="3324"/>
      </w:tblGrid>
      <w:tr>
        <w:tc>
          <w:tcPr>
            <w:tcW w:type="dxa" w:w="3324"/>
            <w:shd w:fill="1B3A4B" w:val="clear"/>
          </w:tcPr>
          <w:p>
            <w:r/>
            <w:r>
              <w:rPr>
                <w:b/>
                <w:color w:val="FFFFFF"/>
                <w:sz w:val="20"/>
              </w:rPr>
              <w:t>Douleur</w:t>
            </w:r>
          </w:p>
        </w:tc>
        <w:tc>
          <w:tcPr>
            <w:tcW w:type="dxa" w:w="3324"/>
            <w:shd w:fill="1B3A4B" w:val="clear"/>
          </w:tcPr>
          <w:p>
            <w:r/>
            <w:r>
              <w:rPr>
                <w:b/>
                <w:color w:val="FFFFFF"/>
                <w:sz w:val="20"/>
              </w:rPr>
              <w:t>Preuve</w:t>
            </w:r>
          </w:p>
        </w:tc>
        <w:tc>
          <w:tcPr>
            <w:tcW w:type="dxa" w:w="3324"/>
            <w:shd w:fill="1B3A4B" w:val="clear"/>
          </w:tcPr>
          <w:p>
            <w:r/>
            <w:r>
              <w:rPr>
                <w:b/>
                <w:color w:val="FFFFFF"/>
                <w:sz w:val="20"/>
              </w:rPr>
              <w:t>Intensité</w:t>
            </w:r>
          </w:p>
        </w:tc>
      </w:tr>
      <w:tr>
        <w:tc>
          <w:tcPr>
            <w:tcW w:type="dxa" w:w="3324"/>
          </w:tcPr>
          <w:p>
            <w:r/>
            <w:r>
              <w:rPr>
                <w:sz w:val="18"/>
              </w:rPr>
              <w:t>Aucune info de correspondance avant de descendre</w:t>
            </w:r>
          </w:p>
        </w:tc>
        <w:tc>
          <w:tcPr>
            <w:tcW w:type="dxa" w:w="3324"/>
          </w:tcPr>
          <w:p>
            <w:r/>
            <w:r>
              <w:rPr>
                <w:sz w:val="18"/>
              </w:rPr>
              <w:t>« Personne ne me l’a dit dans le bus. »</w:t>
            </w:r>
          </w:p>
        </w:tc>
        <w:tc>
          <w:tcPr>
            <w:tcW w:type="dxa" w:w="3324"/>
          </w:tcPr>
          <w:p>
            <w:r/>
            <w:r>
              <w:rPr>
                <w:sz w:val="18"/>
              </w:rPr>
              <w:t>Critique</w:t>
            </w:r>
          </w:p>
        </w:tc>
      </w:tr>
      <w:tr>
        <w:tc>
          <w:tcPr>
            <w:tcW w:type="dxa" w:w="3324"/>
          </w:tcPr>
          <w:p>
            <w:r/>
            <w:r>
              <w:rPr>
                <w:sz w:val="18"/>
              </w:rPr>
              <w:t>Le prix du dernier tronçon n’est pas stable</w:t>
            </w:r>
          </w:p>
        </w:tc>
        <w:tc>
          <w:tcPr>
            <w:tcW w:type="dxa" w:w="3324"/>
          </w:tcPr>
          <w:p>
            <w:r/>
            <w:r>
              <w:rPr>
                <w:sz w:val="18"/>
              </w:rPr>
              <w:t>500 contre 700, même rue, choix au visage</w:t>
            </w:r>
          </w:p>
        </w:tc>
        <w:tc>
          <w:tcPr>
            <w:tcW w:type="dxa" w:w="3324"/>
          </w:tcPr>
          <w:p>
            <w:r/>
            <w:r>
              <w:rPr>
                <w:sz w:val="18"/>
              </w:rPr>
              <w:t>Haute</w:t>
            </w:r>
          </w:p>
        </w:tc>
      </w:tr>
      <w:tr>
        <w:tc>
          <w:tcPr>
            <w:tcW w:type="dxa" w:w="3324"/>
          </w:tcPr>
          <w:p>
            <w:r/>
            <w:r>
              <w:rPr>
                <w:sz w:val="18"/>
              </w:rPr>
              <w:t>Attendre ou marcher a un coût social</w:t>
            </w:r>
          </w:p>
        </w:tc>
        <w:tc>
          <w:tcPr>
            <w:tcW w:type="dxa" w:w="3324"/>
          </w:tcPr>
          <w:p>
            <w:r/>
            <w:r>
              <w:rPr>
                <w:sz w:val="18"/>
              </w:rPr>
              <w:t>Retard, remarque le lendemain, nuit</w:t>
            </w:r>
          </w:p>
        </w:tc>
        <w:tc>
          <w:tcPr>
            <w:tcW w:type="dxa" w:w="3324"/>
          </w:tcPr>
          <w:p>
            <w:r/>
            <w:r>
              <w:rPr>
                <w:sz w:val="18"/>
              </w:rPr>
              <w:t>Haute</w:t>
            </w:r>
          </w:p>
        </w:tc>
      </w:tr>
      <w:tr>
        <w:tc>
          <w:tcPr>
            <w:tcW w:type="dxa" w:w="3324"/>
          </w:tcPr>
          <w:p>
            <w:r/>
            <w:r>
              <w:rPr>
                <w:sz w:val="18"/>
              </w:rPr>
              <w:t>L’outil qu’elle a déjà meurt avec le forfait</w:t>
            </w:r>
          </w:p>
        </w:tc>
        <w:tc>
          <w:tcPr>
            <w:tcW w:type="dxa" w:w="3324"/>
          </w:tcPr>
          <w:p>
            <w:r/>
            <w:r>
              <w:rPr>
                <w:sz w:val="18"/>
              </w:rPr>
              <w:t>Appli ouverte en début de mois, plus après</w:t>
            </w:r>
          </w:p>
        </w:tc>
        <w:tc>
          <w:tcPr>
            <w:tcW w:type="dxa" w:w="3324"/>
          </w:tcPr>
          <w:p>
            <w:r/>
            <w:r>
              <w:rPr>
                <w:sz w:val="18"/>
              </w:rPr>
              <w:t>Haute</w:t>
            </w:r>
          </w:p>
        </w:tc>
      </w:tr>
      <w:tr>
        <w:tc>
          <w:tcPr>
            <w:tcW w:type="dxa" w:w="3324"/>
          </w:tcPr>
          <w:p>
            <w:r/>
            <w:r>
              <w:rPr>
                <w:sz w:val="18"/>
              </w:rPr>
              <w:t>Le conseil du quai n’est pas son trajet</w:t>
            </w:r>
          </w:p>
        </w:tc>
        <w:tc>
          <w:tcPr>
            <w:tcW w:type="dxa" w:w="3324"/>
          </w:tcPr>
          <w:p>
            <w:r/>
            <w:r>
              <w:rPr>
                <w:sz w:val="18"/>
              </w:rPr>
              <w:t>« Elle connaît son raccourci, pas le mien. »</w:t>
            </w:r>
          </w:p>
        </w:tc>
        <w:tc>
          <w:tcPr>
            <w:tcW w:type="dxa" w:w="3324"/>
          </w:tcPr>
          <w:p>
            <w:r/>
            <w:r>
              <w:rPr>
                <w:sz w:val="18"/>
              </w:rPr>
              <w:t>Moyenne</w:t>
            </w:r>
          </w:p>
        </w:tc>
      </w:tr>
    </w:tbl>
    <w:p/>
    <w:p>
      <w:pPr>
        <w:spacing w:after="160" w:before="0"/>
      </w:pPr>
      <w:r>
        <w:rPr>
          <w:b/>
          <w:i w:val="0"/>
        </w:rPr>
        <w:t>Aspirations</w:t>
      </w:r>
    </w:p>
    <w:tbl>
      <w:tblPr>
        <w:tblStyle w:val="TableGrid"/>
        <w:tblW w:type="auto" w:w="0"/>
        <w:tblLook w:firstColumn="1" w:firstRow="1" w:lastColumn="0" w:lastRow="0" w:noHBand="0" w:noVBand="1" w:val="04A0"/>
      </w:tblPr>
      <w:tblGrid>
        <w:gridCol w:w="3324"/>
        <w:gridCol w:w="3324"/>
        <w:gridCol w:w="3324"/>
      </w:tblGrid>
      <w:tr>
        <w:tc>
          <w:tcPr>
            <w:tcW w:type="dxa" w:w="3324"/>
            <w:shd w:fill="1B3A4B" w:val="clear"/>
          </w:tcPr>
          <w:p>
            <w:r/>
            <w:r>
              <w:rPr>
                <w:b/>
                <w:color w:val="FFFFFF"/>
                <w:sz w:val="20"/>
              </w:rPr>
              <w:t>Gain</w:t>
            </w:r>
          </w:p>
        </w:tc>
        <w:tc>
          <w:tcPr>
            <w:tcW w:type="dxa" w:w="3324"/>
            <w:shd w:fill="1B3A4B" w:val="clear"/>
          </w:tcPr>
          <w:p>
            <w:r/>
            <w:r>
              <w:rPr>
                <w:b/>
                <w:color w:val="FFFFFF"/>
                <w:sz w:val="20"/>
              </w:rPr>
              <w:t>Preuve</w:t>
            </w:r>
          </w:p>
        </w:tc>
        <w:tc>
          <w:tcPr>
            <w:tcW w:type="dxa" w:w="3324"/>
            <w:shd w:fill="1B3A4B" w:val="clear"/>
          </w:tcPr>
          <w:p>
            <w:r/>
            <w:r>
              <w:rPr>
                <w:b/>
                <w:color w:val="FFFFFF"/>
                <w:sz w:val="20"/>
              </w:rPr>
              <w:t>Priorité</w:t>
            </w:r>
          </w:p>
        </w:tc>
      </w:tr>
      <w:tr>
        <w:tc>
          <w:tcPr>
            <w:tcW w:type="dxa" w:w="3324"/>
          </w:tcPr>
          <w:p>
            <w:r/>
            <w:r>
              <w:rPr>
                <w:sz w:val="18"/>
              </w:rPr>
              <w:t>Savoir si une voiture part vers chez elle, et combien, avant la descente</w:t>
            </w:r>
          </w:p>
        </w:tc>
        <w:tc>
          <w:tcPr>
            <w:tcW w:type="dxa" w:w="3324"/>
          </w:tcPr>
          <w:p>
            <w:r/>
            <w:r>
              <w:rPr>
                <w:sz w:val="18"/>
              </w:rPr>
              <w:t>« Avant que la porte se ferme. »</w:t>
            </w:r>
          </w:p>
        </w:tc>
        <w:tc>
          <w:tcPr>
            <w:tcW w:type="dxa" w:w="3324"/>
          </w:tcPr>
          <w:p>
            <w:r/>
            <w:r>
              <w:rPr>
                <w:sz w:val="18"/>
              </w:rPr>
              <w:t>1</w:t>
            </w:r>
          </w:p>
        </w:tc>
      </w:tr>
      <w:tr>
        <w:tc>
          <w:tcPr>
            <w:tcW w:type="dxa" w:w="3324"/>
          </w:tcPr>
          <w:p>
            <w:r/>
            <w:r>
              <w:rPr>
                <w:sz w:val="18"/>
              </w:rPr>
              <w:t>Un repère qui marche encore quand le data est fini</w:t>
            </w:r>
          </w:p>
        </w:tc>
        <w:tc>
          <w:tcPr>
            <w:tcW w:type="dxa" w:w="3324"/>
          </w:tcPr>
          <w:p>
            <w:r/>
            <w:r>
              <w:rPr>
                <w:sz w:val="18"/>
              </w:rPr>
              <w:t>L’appli ne survit pas au forfait</w:t>
            </w:r>
          </w:p>
        </w:tc>
        <w:tc>
          <w:tcPr>
            <w:tcW w:type="dxa" w:w="3324"/>
          </w:tcPr>
          <w:p>
            <w:r/>
            <w:r>
              <w:rPr>
                <w:sz w:val="18"/>
              </w:rPr>
              <w:t>1</w:t>
            </w:r>
          </w:p>
        </w:tc>
      </w:tr>
      <w:tr>
        <w:tc>
          <w:tcPr>
            <w:tcW w:type="dxa" w:w="3324"/>
          </w:tcPr>
          <w:p>
            <w:r/>
            <w:r>
              <w:rPr>
                <w:sz w:val="18"/>
              </w:rPr>
              <w:t>Rentrer avant la nuit, sans se justifier</w:t>
            </w:r>
          </w:p>
        </w:tc>
        <w:tc>
          <w:tcPr>
            <w:tcW w:type="dxa" w:w="3324"/>
          </w:tcPr>
          <w:p>
            <w:r/>
            <w:r>
              <w:rPr>
                <w:sz w:val="18"/>
              </w:rPr>
              <w:t>Pain, heure, remarque évitée</w:t>
            </w:r>
          </w:p>
        </w:tc>
        <w:tc>
          <w:tcPr>
            <w:tcW w:type="dxa" w:w="3324"/>
          </w:tcPr>
          <w:p>
            <w:r/>
            <w:r>
              <w:rPr>
                <w:sz w:val="18"/>
              </w:rPr>
              <w:t>2</w:t>
            </w:r>
          </w:p>
        </w:tc>
      </w:tr>
    </w:tbl>
    <w:p/>
    <w:p>
      <w:pPr>
        <w:spacing w:after="160" w:before="0"/>
      </w:pPr>
      <w:r>
        <w:rPr>
          <w:b w:val="0"/>
          <w:i w:val="0"/>
        </w:rPr>
        <w:t>Insights. Le BRT n’est pas son problème : elle le prend. Le trou commence à la porte. Le besoin nommé est un fait de correspondance — départ et prix — pas une carte de la ville. Le canal devra survivre à un forfait vide ; ce n’est pas elle qui a demandé une application.</w:t>
      </w:r>
    </w:p>
    <w:p>
      <w:pPr>
        <w:pStyle w:val="Heading1"/>
      </w:pPr>
      <w:r>
        <w:t>9. HMW</w:t>
      </w:r>
    </w:p>
    <w:p>
      <w:pPr>
        <w:spacing w:after="160" w:before="0"/>
      </w:pPr>
      <w:r>
        <w:rPr>
          <w:b/>
          <w:i w:val="0"/>
        </w:rPr>
        <w:t>Retenu.</w:t>
      </w:r>
    </w:p>
    <w:p>
      <w:pPr>
        <w:spacing w:after="160" w:before="0"/>
      </w:pPr>
      <w:r>
        <w:rPr>
          <w:b w:val="0"/>
          <w:i w:val="0"/>
        </w:rPr>
        <w:t>Comment pourrions-nous permettre à une usagère de Guédiawaye de savoir, avant de descendre du BRT, si une correspondance part vers son quartier et à quel prix, afin de ne plus finir le trajet à l’aveugle ?</w:t>
      </w:r>
    </w:p>
    <w:p>
      <w:pPr>
        <w:spacing w:after="160" w:before="0"/>
      </w:pPr>
      <w:r>
        <w:rPr>
          <w:b w:val="0"/>
          <w:i w:val="0"/>
        </w:rPr>
        <w:t>Utilisatrice nommée, lieu nommé, frustration dite, assez ouvert pour plusieurs réponses, pas de solution dans la phrase.</w:t>
      </w:r>
    </w:p>
    <w:p>
      <w:pPr>
        <w:spacing w:after="160" w:before="0"/>
      </w:pPr>
      <w:r>
        <w:rPr>
          <w:b/>
          <w:i w:val="0"/>
        </w:rPr>
        <w:t>Écartés.</w:t>
      </w:r>
    </w:p>
    <w:p>
      <w:pPr>
        <w:pStyle w:val="ListBullet"/>
        <w:spacing w:after="40"/>
      </w:pPr>
      <w:r>
        <w:t>« …via une application de covoiturage. » — solution déjà dans la question. Son data ne tient pas le mois.</w:t>
      </w:r>
    </w:p>
    <w:p>
      <w:pPr>
        <w:pStyle w:val="ListBullet"/>
        <w:spacing w:after="40"/>
      </w:pPr>
      <w:r>
        <w:t>« Comment réduire les embouteillages de Dakar ? » — trop large. N’importe quelle équipe peut le dire. Ce n’est pas ce qu’elle a raconté.</w:t>
      </w:r>
    </w:p>
    <w:p>
      <w:pPr>
        <w:pStyle w:val="ListBullet"/>
        <w:spacing w:after="40"/>
      </w:pPr>
      <w:r>
        <w:t>Le HMW Niayes sur les prix maraîchers par SMS — autre personne, autre secteur, autre donnée.</w:t>
      </w:r>
    </w:p>
    <w:p>
      <w:pPr>
        <w:pStyle w:val="Heading1"/>
      </w:pPr>
      <w:r>
        <w:t>10. Pitch — 90 secondes</w:t>
      </w:r>
    </w:p>
    <w:p>
      <w:pPr>
        <w:pStyle w:val="ListBullet"/>
        <w:spacing w:after="40"/>
      </w:pPr>
      <w:r>
        <w:t>Secteur. Mobilité urbaine à Dakar. Pas la supply chain des Niayes.</w:t>
      </w:r>
    </w:p>
    <w:p>
      <w:pPr>
        <w:pStyle w:val="ListBullet"/>
        <w:spacing w:after="40"/>
      </w:pPr>
      <w:r>
        <w:t>Persona. Awa Diop, 34 ans, Guédiawaye. Elle prend le BRT. Le quartier est après.</w:t>
      </w:r>
    </w:p>
    <w:p>
      <w:pPr>
        <w:pStyle w:val="ListBullet"/>
        <w:spacing w:after="40"/>
      </w:pPr>
      <w:r>
        <w:t>HMW. Savoir, avant de descendre, si une correspondance part vers chez elle, et à quel prix, afin de ne plus finir le trajet à l’aveugle.</w:t>
      </w:r>
    </w:p>
    <w:p>
      <w:pPr>
        <w:pStyle w:val="ListBullet"/>
        <w:spacing w:after="40"/>
      </w:pPr>
      <w:r>
        <w:t>Insight. Le tronc est publié — cadence de 6 minutes, rabattement Dem Dikk documenté à Petersen. Elle, elle décide en regardant la file. Le trou n’est pas l’absence de bus. C’est la porte.</w:t>
      </w:r>
    </w:p>
    <w:p>
      <w:pPr>
        <w:pStyle w:val="Heading1"/>
      </w:pPr>
      <w:r>
        <w:t>11. Prompts utilisés</w:t>
      </w:r>
    </w:p>
    <w:p>
      <w:pPr>
        <w:spacing w:after="160" w:before="0"/>
      </w:pPr>
      <w:r>
        <w:rPr>
          <w:b w:val="0"/>
          <w:i w:val="0"/>
        </w:rPr>
        <w:t>Documentés, conformément au code du Lab. Les crochets ont été remplacés. La première sortie qui proposait une application a été rejetée : une question d’empathie ne vend pas le produit.</w:t>
      </w:r>
    </w:p>
    <w:p>
      <w:pPr>
        <w:spacing w:after="160" w:before="0"/>
      </w:pPr>
      <w:r>
        <w:rPr>
          <w:b w:val="0"/>
          <w:i w:val="0"/>
        </w:rPr>
        <w:t>S1 — Découverte. Outil : ChatGPT. Rôle : expertise mobilité Dakar. Demande : 3 problèmes des usagères qui enchaînent BRT et clando à Guédiawaye, cause, impact quotidien, piste accessible sans forfait data stable. Retenu : l’absence d’info à la descente. Écarté : toute piste qui suppose un smartphone alimenté toute la journée.</w:t>
      </w:r>
    </w:p>
    <w:p>
      <w:pPr>
        <w:spacing w:after="160" w:before="0"/>
      </w:pPr>
      <w:r>
        <w:rPr>
          <w:b w:val="0"/>
          <w:i w:val="0"/>
        </w:rPr>
        <w:t>S2 — Guide. Outil : Claude.ai. Persona Awa, problème en une phrase, consigne explicite : aucune solution dans les questions. Sortie relue, une question orientée supprimée.</w:t>
      </w:r>
    </w:p>
    <w:p>
      <w:pPr>
        <w:spacing w:after="160" w:before="0"/>
      </w:pPr>
      <w:r>
        <w:rPr>
          <w:b w:val="0"/>
          <w:i w:val="0"/>
        </w:rPr>
        <w:t>S3 — HMW. Observations : les dix verbatims. Critère : ni trop vague, ni trop précis, pas de canal imposé. Trois formulations gardées, une retenue.</w:t>
      </w:r>
    </w:p>
    <w:p>
      <w:pPr>
        <w:spacing w:after="160" w:before="0"/>
      </w:pPr>
      <w:r>
        <w:rPr>
          <w:b w:val="0"/>
          <w:i w:val="0"/>
        </w:rPr>
        <w:t>S4 — Carte. Contrainte écrite dans le prompt : rester fidèle aux verbatims ; ne pas importer les chiffres CETUD dans la voix d’Awa. Contrôle fait après génération.</w:t>
      </w:r>
    </w:p>
    <w:p>
      <w:pPr>
        <w:pStyle w:val="Heading1"/>
      </w:pPr>
      <w:r>
        <w:t>12. Limites</w:t>
      </w:r>
    </w:p>
    <w:p>
      <w:pPr>
        <w:pStyle w:val="ListBullet"/>
        <w:spacing w:after="40"/>
      </w:pPr>
      <w:r>
        <w:t>Interview simulée. Elle ne remplace pas un entretien à quai. La carte est une hypothèse de S1, à revoir dès qu’un verbatim réel existe.</w:t>
      </w:r>
    </w:p>
    <w:p>
      <w:pPr>
        <w:pStyle w:val="ListBullet"/>
        <w:spacing w:after="40"/>
      </w:pPr>
      <w:r>
        <w:t>L’équipement d’Awa n’est pas mesuré. Si une usagère réelle a du data en permanence, la contrainte forfait tombe, pas le HMW.</w:t>
      </w:r>
    </w:p>
    <w:p>
      <w:pPr>
        <w:pStyle w:val="ListBullet"/>
        <w:spacing w:after="40"/>
      </w:pPr>
      <w:r>
        <w:t>Le rabattement R01A prouve qu’une correspondance peut être publiée. Il ne prouve pas qu’aucune autre n’existe hors du site. À vérifier sur le terrain avant la S2.</w:t>
      </w:r>
    </w:p>
    <w:p>
      <w:pPr>
        <w:pStyle w:val="ListBullet"/>
        <w:spacing w:after="40"/>
      </w:pPr>
      <w:r>
        <w:t>Membres, e-mails GitHub et URL du dépôt : non inventés. À compléter par l’équipe réelle avant dépôt e-Academy.</w:t>
      </w:r>
    </w:p>
    <w:p>
      <w:pPr>
        <w:spacing w:after="160" w:before="0"/>
      </w:pPr>
      <w:r>
        <w:rPr>
          <w:b w:val="0"/>
          <w:i/>
        </w:rPr>
        <w:t>Sources consultées le 22 septembre 2026 : https://cetud.sn/reseaux-de-transport/ — https://cetud.sn/enquetes-sur-la-mobilite-urbaine-dans-lagglomeration-de-dakar — https://www.sunubrt.sn/ — communiqué Banque mondiale du 17 juin 2025, financement IDA de 100 millions de dollars pour la mobilité urbaine de Dakar et des villes secondaires.</w:t>
      </w:r>
    </w:p>
    <w:p>
      <w:pPr>
        <w:pStyle w:val="Heading1"/>
      </w:pPr>
      <w:r>
        <w:t>13. Exécution des étapes A à C</w:t>
      </w:r>
    </w:p>
    <w:p>
      <w:pPr>
        <w:spacing w:after="160"/>
      </w:pPr>
      <w:r>
        <w:rPr>
          <w:b w:val="0"/>
          <w:i w:val="0"/>
          <w:sz w:val="22"/>
        </w:rPr>
        <w:t>Handout GET409_S1_Handout_Etape1. Étapes suivies dans l’ordre. Rien n’est sauté. Ce qui n’a pas pu être fait sur cette machine est marqué bloqué, avec la raison.</w:t>
      </w:r>
    </w:p>
    <w:p>
      <w:pPr>
        <w:pStyle w:val="Heading2"/>
      </w:pPr>
      <w:r>
        <w:t>Étape A — Former l’équipe</w:t>
      </w:r>
    </w:p>
    <w:p>
      <w:pPr>
        <w:spacing w:after="160"/>
      </w:pPr>
      <w:r/>
      <w:r>
        <w:rPr>
          <w:sz w:val="22"/>
        </w:rPr>
        <w:t>Règle du handout : 4 à 5 étudiants. Équipe arrêtée à 3 le 22 septembre 2026 : Amadou Oury BAH, Rogelle Mombo, Darvy Valtine. Aucun membre fictif ajouté. Les 4 fonctions du Lab sont couvertes, rôles cumulés.</w:t>
      </w:r>
    </w:p>
    <w:tbl>
      <w:tblPr>
        <w:tblStyle w:val="TableGrid"/>
        <w:tblW w:type="auto" w:w="0"/>
        <w:tblLook w:firstColumn="1" w:firstRow="1" w:lastColumn="0" w:lastRow="0" w:noHBand="0" w:noVBand="1" w:val="04A0"/>
      </w:tblPr>
      <w:tblGrid>
        <w:gridCol w:w="4986"/>
        <w:gridCol w:w="4986"/>
      </w:tblGrid>
      <w:tr>
        <w:tc>
          <w:tcPr>
            <w:tcW w:type="dxa" w:w="4986"/>
            <w:shd w:fill="1B3A4B" w:val="clear"/>
          </w:tcPr>
          <w:p>
            <w:r/>
            <w:r>
              <w:rPr>
                <w:b/>
                <w:color w:val="FFFFFF"/>
                <w:sz w:val="20"/>
              </w:rPr>
              <w:t>Règle</w:t>
            </w:r>
          </w:p>
        </w:tc>
        <w:tc>
          <w:tcPr>
            <w:tcW w:type="dxa" w:w="4986"/>
            <w:shd w:fill="1B3A4B" w:val="clear"/>
          </w:tcPr>
          <w:p>
            <w:r/>
            <w:r>
              <w:rPr>
                <w:b/>
                <w:color w:val="FFFFFF"/>
                <w:sz w:val="20"/>
              </w:rPr>
              <w:t>Décision</w:t>
            </w:r>
          </w:p>
        </w:tc>
      </w:tr>
      <w:tr>
        <w:tc>
          <w:tcPr>
            <w:tcW w:type="dxa" w:w="4986"/>
          </w:tcPr>
          <w:p>
            <w:r/>
            <w:r>
              <w:rPr>
                <w:sz w:val="18"/>
              </w:rPr>
              <w:t>Nom mémorable, sans caractère spécial</w:t>
            </w:r>
          </w:p>
        </w:tc>
        <w:tc>
          <w:tcPr>
            <w:tcW w:type="dxa" w:w="4986"/>
          </w:tcPr>
          <w:p>
            <w:r/>
            <w:r>
              <w:rPr>
                <w:sz w:val="18"/>
              </w:rPr>
              <w:t>RelaisYoon</w:t>
            </w:r>
          </w:p>
        </w:tc>
      </w:tr>
      <w:tr>
        <w:tc>
          <w:tcPr>
            <w:tcW w:type="dxa" w:w="4986"/>
          </w:tcPr>
          <w:p>
            <w:r/>
            <w:r>
              <w:rPr>
                <w:sz w:val="18"/>
              </w:rPr>
              <w:t>Dépôt</w:t>
            </w:r>
          </w:p>
        </w:tc>
        <w:tc>
          <w:tcPr>
            <w:tcW w:type="dxa" w:w="4986"/>
          </w:tcPr>
          <w:p>
            <w:r/>
            <w:r>
              <w:rPr>
                <w:sz w:val="18"/>
              </w:rPr>
              <w:t>GET409-RelaisYoon</w:t>
            </w:r>
          </w:p>
        </w:tc>
      </w:tr>
      <w:tr>
        <w:tc>
          <w:tcPr>
            <w:tcW w:type="dxa" w:w="4986"/>
          </w:tcPr>
          <w:p>
            <w:r/>
            <w:r>
              <w:rPr>
                <w:sz w:val="18"/>
              </w:rPr>
              <w:t>Secteur</w:t>
            </w:r>
          </w:p>
        </w:tc>
        <w:tc>
          <w:tcPr>
            <w:tcW w:type="dxa" w:w="4986"/>
          </w:tcPr>
          <w:p>
            <w:r/>
            <w:r>
              <w:rPr>
                <w:sz w:val="18"/>
              </w:rPr>
              <w:t>Mobilité urbaine Dakar — dernier kilomètre</w:t>
            </w:r>
          </w:p>
        </w:tc>
      </w:tr>
      <w:tr>
        <w:tc>
          <w:tcPr>
            <w:tcW w:type="dxa" w:w="4986"/>
          </w:tcPr>
          <w:p>
            <w:r/>
            <w:r>
              <w:rPr>
                <w:sz w:val="18"/>
              </w:rPr>
              <w:t>Profils</w:t>
            </w:r>
          </w:p>
        </w:tc>
        <w:tc>
          <w:tcPr>
            <w:tcW w:type="dxa" w:w="4986"/>
          </w:tcPr>
          <w:p>
            <w:r/>
            <w:r>
              <w:rPr>
                <w:sz w:val="18"/>
              </w:rPr>
              <w:t>Deux personnes, rôles cumulés, pas un seul profil pour toute l’équipe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B3A4B" w:val="clear"/>
          </w:tcPr>
          <w:p>
            <w:r/>
            <w:r>
              <w:rPr>
                <w:b/>
                <w:color w:val="FFFFFF"/>
                <w:sz w:val="20"/>
              </w:rPr>
              <w:t>Prénom Nom</w:t>
            </w:r>
          </w:p>
        </w:tc>
        <w:tc>
          <w:tcPr>
            <w:tcW w:type="dxa" w:w="2493"/>
            <w:shd w:fill="1B3A4B" w:val="clear"/>
          </w:tcPr>
          <w:p>
            <w:r/>
            <w:r>
              <w:rPr>
                <w:b/>
                <w:color w:val="FFFFFF"/>
                <w:sz w:val="20"/>
              </w:rPr>
              <w:t>Rôles</w:t>
            </w:r>
          </w:p>
        </w:tc>
        <w:tc>
          <w:tcPr>
            <w:tcW w:type="dxa" w:w="2493"/>
            <w:shd w:fill="1B3A4B" w:val="clear"/>
          </w:tcPr>
          <w:p>
            <w:r/>
            <w:r>
              <w:rPr>
                <w:b/>
                <w:color w:val="FFFFFF"/>
                <w:sz w:val="20"/>
              </w:rPr>
              <w:t>GitHub</w:t>
            </w:r>
          </w:p>
        </w:tc>
        <w:tc>
          <w:tcPr>
            <w:tcW w:type="dxa" w:w="2493"/>
            <w:shd w:fill="1B3A4B" w:val="clear"/>
          </w:tcPr>
          <w:p>
            <w:r/>
            <w:r>
              <w:rPr>
                <w:b/>
                <w:color w:val="FFFFFF"/>
                <w:sz w:val="20"/>
              </w:rPr>
              <w:t>E-mail GitHub</w:t>
            </w:r>
          </w:p>
        </w:tc>
      </w:tr>
      <w:tr>
        <w:tc>
          <w:tcPr>
            <w:tcW w:type="dxa" w:w="2493"/>
          </w:tcPr>
          <w:p>
            <w:r/>
            <w:r>
              <w:rPr>
                <w:sz w:val="18"/>
              </w:rPr>
              <w:t>Amadou Oury BAH</w:t>
            </w:r>
          </w:p>
        </w:tc>
        <w:tc>
          <w:tcPr>
            <w:tcW w:type="dxa" w:w="2493"/>
          </w:tcPr>
          <w:p>
            <w:r/>
            <w:r>
              <w:rPr>
                <w:sz w:val="18"/>
              </w:rPr>
              <w:t>Dev UI (No-Code) et Chef de Produit</w:t>
            </w:r>
          </w:p>
        </w:tc>
        <w:tc>
          <w:tcPr>
            <w:tcW w:type="dxa" w:w="2493"/>
          </w:tcPr>
          <w:p>
            <w:r/>
            <w:r>
              <w:rPr>
                <w:sz w:val="18"/>
              </w:rPr>
              <w:t>@reymouhid95</w:t>
            </w:r>
          </w:p>
        </w:tc>
        <w:tc>
          <w:tcPr>
            <w:tcW w:type="dxa" w:w="2493"/>
          </w:tcPr>
          <w:p>
            <w:r/>
            <w:r>
              <w:rPr>
                <w:sz w:val="18"/>
              </w:rPr>
              <w:t>thiernooury89@gmail.com</w:t>
            </w:r>
          </w:p>
        </w:tc>
      </w:tr>
      <w:tr>
        <w:tc>
          <w:tcPr>
            <w:tcW w:type="dxa" w:w="2493"/>
          </w:tcPr>
          <w:p>
            <w:r/>
            <w:r>
              <w:rPr>
                <w:sz w:val="18"/>
              </w:rPr>
              <w:t>Rogelle Mombo</w:t>
            </w:r>
          </w:p>
        </w:tc>
        <w:tc>
          <w:tcPr>
            <w:tcW w:type="dxa" w:w="2493"/>
          </w:tcPr>
          <w:p>
            <w:r/>
            <w:r>
              <w:rPr>
                <w:sz w:val="18"/>
              </w:rPr>
              <w:t>Master Prompt Engineer et Responsable Impact</w:t>
            </w:r>
          </w:p>
        </w:tc>
        <w:tc>
          <w:tcPr>
            <w:tcW w:type="dxa" w:w="2493"/>
          </w:tcPr>
          <w:p>
            <w:r/>
            <w:r>
              <w:rPr>
                <w:sz w:val="18"/>
              </w:rPr>
              <w:t>@Rogelle-2MR</w:t>
            </w:r>
          </w:p>
        </w:tc>
        <w:tc>
          <w:tcPr>
            <w:tcW w:type="dxa" w:w="2493"/>
          </w:tcPr>
          <w:p>
            <w:r/>
            <w:r>
              <w:rPr>
                <w:sz w:val="18"/>
              </w:rPr>
              <w:t>invitation Write envoyée, acceptation en attente</w:t>
            </w:r>
          </w:p>
        </w:tc>
      </w:tr>
      <w:tr>
        <w:tc>
          <w:tcPr>
            <w:tcW w:type="dxa" w:w="2493"/>
          </w:tcPr>
          <w:p>
            <w:r/>
            <w:r>
              <w:rPr>
                <w:sz w:val="18"/>
              </w:rPr>
              <w:t>Darvy Valtine</w:t>
            </w:r>
          </w:p>
        </w:tc>
        <w:tc>
          <w:tcPr>
            <w:tcW w:type="dxa" w:w="2493"/>
          </w:tcPr>
          <w:p>
            <w:r/>
            <w:r>
              <w:rPr>
                <w:sz w:val="18"/>
              </w:rPr>
              <w:t>Dev UI (No-Code), co-bâtisseur — profil bâtisseur web (HTML, PHP, init backend sur GitHub), selon rolesEquipe.docx</w:t>
            </w:r>
          </w:p>
        </w:tc>
        <w:tc>
          <w:tcPr>
            <w:tcW w:type="dxa" w:w="2493"/>
          </w:tcPr>
          <w:p>
            <w:r/>
            <w:r>
              <w:rPr>
                <w:sz w:val="18"/>
              </w:rPr>
              <w:t>@DarvyValtine</w:t>
            </w:r>
          </w:p>
        </w:tc>
        <w:tc>
          <w:tcPr>
            <w:tcW w:type="dxa" w:w="2493"/>
          </w:tcPr>
          <w:p>
            <w:r/>
            <w:r>
              <w:rPr>
                <w:sz w:val="18"/>
              </w:rPr>
              <w:t>non communiqué</w:t>
            </w:r>
          </w:p>
        </w:tc>
      </w:tr>
    </w:tbl>
    <w:p/>
    <w:p>
      <w:pPr>
        <w:spacing w:after="160"/>
      </w:pPr>
      <w:r>
        <w:rPr>
          <w:b w:val="0"/>
          <w:i/>
          <w:sz w:val="22"/>
        </w:rPr>
        <w:t>Pourquoi Amadou crée le dépôt : le handout donne cette action au Dev UI. Le compte déjà présent sur cette machine, github.com/reymouhid95, a pour nom public « Amadou Oury Bah ». L’e-mail est celui du git config local, pas une adresse inventée.</w:t>
      </w:r>
    </w:p>
    <w:p>
      <w:pPr>
        <w:spacing w:after="160"/>
      </w:pPr>
      <w:r>
        <w:rPr>
          <w:b w:val="0"/>
          <w:i/>
          <w:sz w:val="22"/>
        </w:rPr>
        <w:t>Rogelle Mombo : aucune fiche GitHub publique ne porte ce nom. Pas de username inventé, pas d’invitation envoyée à un homonyme.</w:t>
      </w:r>
    </w:p>
    <w:p>
      <w:pPr>
        <w:pStyle w:val="Heading2"/>
      </w:pPr>
      <w:r>
        <w:t>Étape B — Fiche d’équipe</w:t>
      </w:r>
    </w:p>
    <w:p>
      <w:pPr>
        <w:spacing w:after="160"/>
      </w:pPr>
      <w:r>
        <w:rPr>
          <w:b w:val="0"/>
          <w:i w:val="0"/>
          <w:sz w:val="22"/>
        </w:rPr>
        <w:t>Le lien Google Forms est sur e-Academy (GET 409 &gt; S1, « Fiche d'Equipe S1 »). Il n’est pas dans les fichiers du cours. Le formulaire n’a donc pas été soumis depuis ici. Contenu prêt à coller, un seul membre remplit pour l’équipe, comme le handout le demande.</w:t>
      </w:r>
    </w:p>
    <w:tbl>
      <w:tblPr>
        <w:tblStyle w:val="TableGrid"/>
        <w:tblW w:type="auto" w:w="0"/>
        <w:tblLook w:firstColumn="1" w:firstRow="1" w:lastColumn="0" w:lastRow="0" w:noHBand="0" w:noVBand="1" w:val="04A0"/>
      </w:tblPr>
      <w:tblGrid>
        <w:gridCol w:w="4986"/>
        <w:gridCol w:w="4986"/>
      </w:tblGrid>
      <w:tr>
        <w:tc>
          <w:tcPr>
            <w:tcW w:type="dxa" w:w="4986"/>
            <w:shd w:fill="1B3A4B" w:val="clear"/>
          </w:tcPr>
          <w:p>
            <w:r/>
            <w:r>
              <w:rPr>
                <w:b/>
                <w:color w:val="FFFFFF"/>
                <w:sz w:val="20"/>
              </w:rPr>
              <w:t>Champ du formulaire</w:t>
            </w:r>
          </w:p>
        </w:tc>
        <w:tc>
          <w:tcPr>
            <w:tcW w:type="dxa" w:w="4986"/>
            <w:shd w:fill="1B3A4B" w:val="clear"/>
          </w:tcPr>
          <w:p>
            <w:r/>
            <w:r>
              <w:rPr>
                <w:b/>
                <w:color w:val="FFFFFF"/>
                <w:sz w:val="20"/>
              </w:rPr>
              <w:t>Valeur</w:t>
            </w:r>
          </w:p>
        </w:tc>
      </w:tr>
      <w:tr>
        <w:tc>
          <w:tcPr>
            <w:tcW w:type="dxa" w:w="4986"/>
          </w:tcPr>
          <w:p>
            <w:r/>
            <w:r>
              <w:rPr>
                <w:sz w:val="18"/>
              </w:rPr>
              <w:t>Nom de l'équipe</w:t>
            </w:r>
          </w:p>
        </w:tc>
        <w:tc>
          <w:tcPr>
            <w:tcW w:type="dxa" w:w="4986"/>
          </w:tcPr>
          <w:p>
            <w:r/>
            <w:r>
              <w:rPr>
                <w:sz w:val="18"/>
              </w:rPr>
              <w:t>RelaisYoon</w:t>
            </w:r>
          </w:p>
        </w:tc>
      </w:tr>
      <w:tr>
        <w:tc>
          <w:tcPr>
            <w:tcW w:type="dxa" w:w="4986"/>
          </w:tcPr>
          <w:p>
            <w:r/>
            <w:r>
              <w:rPr>
                <w:sz w:val="18"/>
              </w:rPr>
              <w:t>Secteur d'activité cible</w:t>
            </w:r>
          </w:p>
        </w:tc>
        <w:tc>
          <w:tcPr>
            <w:tcW w:type="dxa" w:w="4986"/>
          </w:tcPr>
          <w:p>
            <w:r/>
            <w:r>
              <w:rPr>
                <w:sz w:val="18"/>
              </w:rPr>
              <w:t>Mobilité urbaine Dakar</w:t>
            </w:r>
          </w:p>
        </w:tc>
      </w:tr>
      <w:tr>
        <w:tc>
          <w:tcPr>
            <w:tcW w:type="dxa" w:w="4986"/>
          </w:tcPr>
          <w:p>
            <w:r/>
            <w:r>
              <w:rPr>
                <w:sz w:val="18"/>
              </w:rPr>
              <w:t>Membre 1 — Prénom &amp; Nom</w:t>
            </w:r>
          </w:p>
        </w:tc>
        <w:tc>
          <w:tcPr>
            <w:tcW w:type="dxa" w:w="4986"/>
          </w:tcPr>
          <w:p>
            <w:r/>
            <w:r>
              <w:rPr>
                <w:sz w:val="18"/>
              </w:rPr>
              <w:t>Amadou Oury BAH</w:t>
            </w:r>
          </w:p>
        </w:tc>
      </w:tr>
      <w:tr>
        <w:tc>
          <w:tcPr>
            <w:tcW w:type="dxa" w:w="4986"/>
          </w:tcPr>
          <w:p>
            <w:r/>
            <w:r>
              <w:rPr>
                <w:sz w:val="18"/>
              </w:rPr>
              <w:t>Membre 1 — Rôle</w:t>
            </w:r>
          </w:p>
        </w:tc>
        <w:tc>
          <w:tcPr>
            <w:tcW w:type="dxa" w:w="4986"/>
          </w:tcPr>
          <w:p>
            <w:r/>
            <w:r>
              <w:rPr>
                <w:sz w:val="18"/>
              </w:rPr>
              <w:t>Dev UI (No-Code) et Chef de Produit</w:t>
            </w:r>
          </w:p>
        </w:tc>
      </w:tr>
      <w:tr>
        <w:tc>
          <w:tcPr>
            <w:tcW w:type="dxa" w:w="4986"/>
          </w:tcPr>
          <w:p>
            <w:r/>
            <w:r>
              <w:rPr>
                <w:sz w:val="18"/>
              </w:rPr>
              <w:t>Membre 1 — E-mail GitHub</w:t>
            </w:r>
          </w:p>
        </w:tc>
        <w:tc>
          <w:tcPr>
            <w:tcW w:type="dxa" w:w="4986"/>
          </w:tcPr>
          <w:p>
            <w:r/>
            <w:r>
              <w:rPr>
                <w:sz w:val="18"/>
              </w:rPr>
              <w:t>thiernooury89@gmail.com</w:t>
            </w:r>
          </w:p>
        </w:tc>
      </w:tr>
      <w:tr>
        <w:tc>
          <w:tcPr>
            <w:tcW w:type="dxa" w:w="4986"/>
          </w:tcPr>
          <w:p>
            <w:r/>
            <w:r>
              <w:rPr>
                <w:sz w:val="18"/>
              </w:rPr>
              <w:t>Membre 2 — Prénom &amp; Nom</w:t>
            </w:r>
          </w:p>
        </w:tc>
        <w:tc>
          <w:tcPr>
            <w:tcW w:type="dxa" w:w="4986"/>
          </w:tcPr>
          <w:p>
            <w:r/>
            <w:r>
              <w:rPr>
                <w:sz w:val="18"/>
              </w:rPr>
              <w:t>Rogelle Mombo</w:t>
            </w:r>
          </w:p>
        </w:tc>
      </w:tr>
      <w:tr>
        <w:tc>
          <w:tcPr>
            <w:tcW w:type="dxa" w:w="4986"/>
          </w:tcPr>
          <w:p>
            <w:r/>
            <w:r>
              <w:rPr>
                <w:sz w:val="18"/>
              </w:rPr>
              <w:t>Membre 2 — Rôle</w:t>
            </w:r>
          </w:p>
        </w:tc>
        <w:tc>
          <w:tcPr>
            <w:tcW w:type="dxa" w:w="4986"/>
          </w:tcPr>
          <w:p>
            <w:r/>
            <w:r>
              <w:rPr>
                <w:sz w:val="18"/>
              </w:rPr>
              <w:t>Master Prompt Engineer et Responsable Impact</w:t>
            </w:r>
          </w:p>
        </w:tc>
      </w:tr>
      <w:tr>
        <w:tc>
          <w:tcPr>
            <w:tcW w:type="dxa" w:w="4986"/>
          </w:tcPr>
          <w:p>
            <w:r/>
            <w:r>
              <w:rPr>
                <w:sz w:val="18"/>
              </w:rPr>
              <w:t>Membre 2 — E-mail GitHub</w:t>
            </w:r>
          </w:p>
        </w:tc>
        <w:tc>
          <w:tcPr>
            <w:tcW w:type="dxa" w:w="4986"/>
          </w:tcPr>
          <w:p>
            <w:r/>
            <w:r>
              <w:rPr>
                <w:sz w:val="18"/>
              </w:rPr>
              <w:t>à saisir par Rogelle — non communiqué</w:t>
            </w:r>
          </w:p>
        </w:tc>
      </w:tr>
      <w:tr>
        <w:tc>
          <w:tcPr>
            <w:tcW w:type="dxa" w:w="4986"/>
          </w:tcPr>
          <w:p>
            <w:r/>
            <w:r>
              <w:rPr>
                <w:b/>
                <w:sz w:val="18"/>
              </w:rPr>
              <w:t>Membres 3 à 5</w:t>
            </w:r>
          </w:p>
        </w:tc>
        <w:tc>
          <w:tcPr>
            <w:tcW w:type="dxa" w:w="4986"/>
          </w:tcPr>
          <w:p>
            <w:r/>
            <w:r>
              <w:rPr>
                <w:sz w:val="18"/>
              </w:rPr>
              <w:t>Membre 3 : Darvy Valtine, @DarvyValtine, invité en Write le 22 septembre 2026. Membres 4-5 : non pourvus, équipe arrêtée à 3 (écart assumé, aucun membre fictif).</w:t>
            </w:r>
          </w:p>
        </w:tc>
      </w:tr>
      <w:tr>
        <w:tc>
          <w:tcPr>
            <w:tcW w:type="dxa" w:w="4986"/>
          </w:tcPr>
          <w:p>
            <w:r/>
            <w:r>
              <w:rPr>
                <w:sz w:val="18"/>
              </w:rPr>
              <w:t>URL du dépôt GitHub</w:t>
            </w:r>
          </w:p>
        </w:tc>
        <w:tc>
          <w:tcPr>
            <w:tcW w:type="dxa" w:w="4986"/>
          </w:tcPr>
          <w:p>
            <w:r>
              <w:t>https://github.com/reymouhid95/GET409-RelaisYoon.git</w:t>
            </w:r>
          </w:p>
        </w:tc>
      </w:tr>
    </w:tbl>
    <w:p/>
    <w:p>
      <w:pPr>
        <w:spacing w:after="160"/>
      </w:pPr>
      <w:r>
        <w:rPr>
          <w:b w:val="0"/>
          <w:i w:val="0"/>
          <w:sz w:val="22"/>
        </w:rPr>
        <w:t>Après création du dépôt public : revenir au formulaire et compléter l’URL. Capture de la page de confirmation à garder pour e-Academy.</w:t>
      </w:r>
    </w:p>
    <w:p>
      <w:pPr>
        <w:pStyle w:val="Heading2"/>
      </w:pPr>
      <w:r>
        <w:t>Étape C — Dépôt GitHub</w:t>
      </w:r>
    </w:p>
    <w:p>
      <w:pPr>
        <w:spacing w:after="160"/>
      </w:pPr>
      <w:r>
        <w:rPr>
          <w:b w:val="0"/>
          <w:i w:val="0"/>
          <w:sz w:val="22"/>
        </w:rPr>
        <w:t>Compte existant. Pas de Sign up. Créateur prévu : Amadou Oury BAH, Dev UI.</w:t>
      </w:r>
    </w:p>
    <w:tbl>
      <w:tblPr>
        <w:tblStyle w:val="TableGrid"/>
        <w:tblW w:type="auto" w:w="0"/>
        <w:tblLook w:firstColumn="1" w:firstRow="1" w:lastColumn="0" w:lastRow="0" w:noHBand="0" w:noVBand="1" w:val="04A0"/>
      </w:tblPr>
      <w:tblGrid>
        <w:gridCol w:w="4986"/>
        <w:gridCol w:w="4986"/>
      </w:tblGrid>
      <w:tr>
        <w:tc>
          <w:tcPr>
            <w:tcW w:type="dxa" w:w="4986"/>
            <w:shd w:fill="1B3A4B" w:val="clear"/>
          </w:tcPr>
          <w:p>
            <w:r/>
            <w:r>
              <w:rPr>
                <w:b/>
                <w:color w:val="FFFFFF"/>
                <w:sz w:val="20"/>
              </w:rPr>
              <w:t>Sous-étape du handout</w:t>
            </w:r>
          </w:p>
        </w:tc>
        <w:tc>
          <w:tcPr>
            <w:tcW w:type="dxa" w:w="4986"/>
            <w:shd w:fill="1B3A4B" w:val="clear"/>
          </w:tcPr>
          <w:p>
            <w:r/>
            <w:r>
              <w:rPr>
                <w:b/>
                <w:color w:val="FFFFFF"/>
                <w:sz w:val="20"/>
              </w:rPr>
              <w:t>Statut</w:t>
            </w:r>
          </w:p>
        </w:tc>
      </w:tr>
      <w:tr>
        <w:tc>
          <w:tcPr>
            <w:tcW w:type="dxa" w:w="4986"/>
          </w:tcPr>
          <w:p>
            <w:r/>
            <w:r>
              <w:rPr>
                <w:sz w:val="18"/>
              </w:rPr>
              <w:t>1. Sign in sur github.com</w:t>
            </w:r>
          </w:p>
        </w:tc>
        <w:tc>
          <w:tcPr>
            <w:tcW w:type="dxa" w:w="4986"/>
          </w:tcPr>
          <w:p>
            <w:r/>
            <w:r>
              <w:rPr>
                <w:sz w:val="18"/>
              </w:rPr>
              <w:t>Compte @reymouhid95. Dépôt créé par l’équipe depuis un accès non filtré.</w:t>
            </w:r>
          </w:p>
        </w:tc>
      </w:tr>
      <w:tr>
        <w:tc>
          <w:tcPr>
            <w:tcW w:type="dxa" w:w="4986"/>
          </w:tcPr>
          <w:p>
            <w:r/>
            <w:r>
              <w:rPr>
                <w:sz w:val="18"/>
              </w:rPr>
              <w:t>2. + puis New repository</w:t>
            </w:r>
          </w:p>
        </w:tc>
        <w:tc>
          <w:tcPr>
            <w:tcW w:type="dxa" w:w="4986"/>
          </w:tcPr>
          <w:p>
            <w:r/>
            <w:r>
              <w:rPr>
                <w:sz w:val="18"/>
              </w:rPr>
              <w:t>Fait. Dépôt créé, renommé GET409-RelaisYoon, public, branche main poussée le 22 septembre 2026.</w:t>
            </w:r>
          </w:p>
        </w:tc>
      </w:tr>
      <w:tr>
        <w:tc>
          <w:tcPr>
            <w:tcW w:type="dxa" w:w="4986"/>
          </w:tcPr>
          <w:p>
            <w:r/>
            <w:r>
              <w:rPr>
                <w:sz w:val="18"/>
              </w:rPr>
              <w:t>3. Nom GET409-RelaisYoon</w:t>
            </w:r>
          </w:p>
        </w:tc>
        <w:tc>
          <w:tcPr>
            <w:tcW w:type="dxa" w:w="4986"/>
          </w:tcPr>
          <w:p>
            <w:r/>
            <w:r>
              <w:rPr>
                <w:sz w:val="18"/>
              </w:rPr>
              <w:t>Respecté. Pas d’espace, pas d’accent.</w:t>
            </w:r>
          </w:p>
        </w:tc>
      </w:tr>
      <w:tr>
        <w:tc>
          <w:tcPr>
            <w:tcW w:type="dxa" w:w="4986"/>
          </w:tcPr>
          <w:p>
            <w:r/>
            <w:r>
              <w:rPr>
                <w:sz w:val="18"/>
              </w:rPr>
              <w:t>4. Public</w:t>
            </w:r>
          </w:p>
        </w:tc>
        <w:tc>
          <w:tcPr>
            <w:tcW w:type="dxa" w:w="4986"/>
          </w:tcPr>
          <w:p>
            <w:r/>
            <w:r>
              <w:rPr>
                <w:sz w:val="18"/>
              </w:rPr>
              <w:t>Obligatoire. Un dépôt privé ne serait pas évalué.</w:t>
            </w:r>
          </w:p>
        </w:tc>
      </w:tr>
      <w:tr>
        <w:tc>
          <w:tcPr>
            <w:tcW w:type="dxa" w:w="4986"/>
          </w:tcPr>
          <w:p>
            <w:r/>
            <w:r>
              <w:rPr>
                <w:sz w:val="18"/>
              </w:rPr>
              <w:t>5. Add a README file</w:t>
            </w:r>
          </w:p>
        </w:tc>
        <w:tc>
          <w:tcPr>
            <w:tcW w:type="dxa" w:w="4986"/>
          </w:tcPr>
          <w:p>
            <w:r/>
            <w:r>
              <w:rPr>
                <w:sz w:val="18"/>
              </w:rPr>
              <w:t>README rédigé au template du handout, page 5.</w:t>
            </w:r>
          </w:p>
        </w:tc>
      </w:tr>
      <w:tr>
        <w:tc>
          <w:tcPr>
            <w:tcW w:type="dxa" w:w="4986"/>
          </w:tcPr>
          <w:p>
            <w:r/>
            <w:r>
              <w:rPr>
                <w:sz w:val="18"/>
              </w:rPr>
              <w:t>6. Create repository</w:t>
            </w:r>
          </w:p>
        </w:tc>
        <w:tc>
          <w:tcPr>
            <w:tcW w:type="dxa" w:w="4986"/>
          </w:tcPr>
          <w:p>
            <w:r/>
            <w:r>
              <w:rPr>
                <w:sz w:val="18"/>
              </w:rPr>
              <w:t>Fait. Dépôt renommé GET409-RelaisYoon le 22 septembre 2026, format conforme, branche main poussée.</w:t>
            </w:r>
          </w:p>
        </w:tc>
      </w:tr>
      <w:tr>
        <w:tc>
          <w:tcPr>
            <w:tcW w:type="dxa" w:w="4986"/>
          </w:tcPr>
          <w:p>
            <w:r/>
            <w:r>
              <w:rPr>
                <w:sz w:val="18"/>
              </w:rPr>
              <w:t>Settings &gt; Collaborators &gt; Add people, rôle Write</w:t>
            </w:r>
          </w:p>
        </w:tc>
        <w:tc>
          <w:tcPr>
            <w:tcW w:type="dxa" w:w="4986"/>
          </w:tcPr>
          <w:p>
            <w:r/>
            <w:r>
              <w:rPr>
                <w:sz w:val="18"/>
              </w:rPr>
              <w:t>Fait le 22 septembre 2026 : @Rogelle-2MR et @DarvyValtine invités en Write. Acceptations en attente.</w:t>
            </w:r>
          </w:p>
        </w:tc>
      </w:tr>
      <w:tr>
        <w:tc>
          <w:tcPr>
            <w:tcW w:type="dxa" w:w="4986"/>
          </w:tcPr>
          <w:p>
            <w:r/>
            <w:r>
              <w:rPr>
                <w:sz w:val="18"/>
              </w:rPr>
              <w:t>Chaque membre accepte l’invitation</w:t>
            </w:r>
          </w:p>
        </w:tc>
        <w:tc>
          <w:tcPr>
            <w:tcW w:type="dxa" w:w="4986"/>
          </w:tcPr>
          <w:p>
            <w:r/>
            <w:r>
              <w:rPr>
                <w:sz w:val="18"/>
              </w:rPr>
              <w:t>En attente : Rogelle et Darvy doivent cliquer Accept invitation dans l’e-mail GitHub.</w:t>
            </w:r>
          </w:p>
        </w:tc>
      </w:tr>
      <w:tr>
        <w:tc>
          <w:tcPr>
            <w:tcW w:type="dxa" w:w="4986"/>
          </w:tcPr>
          <w:p>
            <w:r/>
            <w:r>
              <w:rPr>
                <w:sz w:val="18"/>
              </w:rPr>
              <w:t>README complété dans l’éditeur</w:t>
            </w:r>
          </w:p>
        </w:tc>
        <w:tc>
          <w:tcPr>
            <w:tcW w:type="dxa" w:w="4986"/>
          </w:tcPr>
          <w:p>
            <w:r/>
            <w:r>
              <w:rPr>
                <w:sz w:val="18"/>
              </w:rPr>
              <w:t>Fait et poussé : README, fiche, carte, guide, notes, prompts et pitch sont sur main.</w:t>
            </w:r>
          </w:p>
        </w:tc>
      </w:tr>
      <w:tr>
        <w:tc>
          <w:tcPr>
            <w:tcW w:type="dxa" w:w="4986"/>
          </w:tcPr>
          <w:p>
            <w:r/>
            <w:r>
              <w:rPr>
                <w:sz w:val="18"/>
              </w:rPr>
              <w:t>Retour formulaire, coller l’URL</w:t>
            </w:r>
          </w:p>
        </w:tc>
        <w:tc>
          <w:tcPr>
            <w:tcW w:type="dxa" w:w="4986"/>
          </w:tcPr>
          <w:p>
            <w:r/>
            <w:r>
              <w:rPr>
                <w:sz w:val="18"/>
              </w:rPr>
              <w:t>URL connue. À coller dans le formulaire e-Academy, puis capture de confirmation.</w:t>
            </w:r>
          </w:p>
        </w:tc>
      </w:tr>
    </w:tbl>
    <w:p/>
    <w:p>
      <w:pPr>
        <w:spacing w:after="160"/>
      </w:pPr>
      <w:r>
        <w:rPr>
          <w:b w:val="0"/>
          <w:i/>
          <w:sz w:val="22"/>
        </w:rPr>
        <w:t>Blocage vérifié le 22 septembre 2026. github.com est intercepté par le pare-feu local (certificat pfSense DNSBL, pas le certificat de GitHub). api.github.com répond, mais aucun jeton n’est disponible pour créer le dépôt via l’API. Le dépôt n’a pas été déclaré créé : il ne l’est pas.</w:t>
      </w:r>
    </w:p>
    <w:p>
      <w:pPr>
        <w:spacing w:after="160"/>
      </w:pPr>
      <w:r>
        <w:rPr>
          <w:b w:val="0"/>
          <w:i w:val="0"/>
          <w:sz w:val="22"/>
        </w:rPr>
        <w:t>Dès que github.com est joignable, le Dev UI exécute, dans cet ordre : New repository, nom GET409-RelaisYoon, Public, Add a README, Create. Puis il remplace le README par le fichier préparé, invite Rogelle en Write, et seulement ensuite colle l’URL dans le formulaire.</w:t>
      </w:r>
    </w:p>
    <w:p>
      <w:pPr>
        <w:pStyle w:val="Heading2"/>
      </w:pPr>
      <w:r>
        <w:t>Étape D — non faite</w:t>
      </w:r>
    </w:p>
    <w:p>
      <w:pPr>
        <w:spacing w:after="160"/>
      </w:pPr>
      <w:r>
        <w:rPr>
          <w:b w:val="0"/>
          <w:i w:val="0"/>
          <w:sz w:val="22"/>
        </w:rPr>
        <w:t>Hors du périmètre demandé (arrêt à la création du dépôt). Dify n’est pas ouvert. Aucune application ne doit être créée avant la S3.</w:t>
      </w:r>
    </w:p>
    <w:p>
      <w:pPr>
        <w:pStyle w:val="Heading2"/>
      </w:pPr>
      <w:r>
        <w:t>README préparé</w:t>
      </w:r>
    </w:p>
    <w:p>
      <w:pPr>
        <w:spacing w:after="160"/>
      </w:pPr>
      <w:r>
        <w:rPr>
          <w:b w:val="0"/>
          <w:i w:val="0"/>
          <w:sz w:val="22"/>
        </w:rPr>
        <w:t>Fichier local : GET409-RelaisYoon/README.md. C’est le texte à coller dans l’éditeur GitHub (crayon), puis Commit changes.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