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5C4A7">
      <w:pPr>
        <w:pStyle w:val="2"/>
      </w:pPr>
      <w:bookmarkStart w:id="0" w:name="Xc91a2c374d1a115e40886f577dee0fd8682c46b"/>
      <w:r>
        <w:t>Proyecto de Investigación: Sistema Unificado de Identidad Digital Universitaria (UniSalamanca Digital)</w:t>
      </w:r>
    </w:p>
    <w:p w14:paraId="03845A4E">
      <w:pPr>
        <w:pStyle w:val="23"/>
      </w:pPr>
      <w:r>
        <w:rPr>
          <w:b/>
          <w:bCs/>
        </w:rPr>
        <w:t>Estándar de Documentación:</w:t>
      </w:r>
      <w:r>
        <w:t xml:space="preserve"> APA 7ma Edición </w:t>
      </w:r>
      <w:r>
        <w:rPr>
          <w:b/>
          <w:bCs/>
        </w:rPr>
        <w:t>Área:</w:t>
      </w:r>
      <w:r>
        <w:t xml:space="preserve"> Ingeniería de Software / Seguridad Informática</w:t>
      </w:r>
    </w:p>
    <w:p w14:paraId="2198E79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486E45">
      <w:pPr>
        <w:pStyle w:val="4"/>
      </w:pPr>
      <w:bookmarkStart w:id="1" w:name="introducción"/>
      <w:r>
        <w:t>Introducción</w:t>
      </w:r>
    </w:p>
    <w:p w14:paraId="16AEE99F">
      <w:pPr>
        <w:pStyle w:val="23"/>
      </w:pPr>
      <w:r>
        <w:t>La transformación digital en las instituciones de educación superior ha pasado de ser una opción a una necesidad crítica para la eficiencia operativa. El presente proyecto describe el desarrollo e implementación de “UniSalamanca Digital”, un ecosistema que centraliza la identidad del estudiante a través de tecnologías de vanguardia (Doe, 2024).</w:t>
      </w:r>
    </w:p>
    <w:bookmarkEnd w:id="1"/>
    <w:p w14:paraId="572991A7">
      <w:pPr>
        <w:pStyle w:val="4"/>
      </w:pPr>
      <w:bookmarkStart w:id="2" w:name="planteamiento-del-problema"/>
      <w:r>
        <w:t>Planteamiento del Problema</w:t>
      </w:r>
    </w:p>
    <w:p w14:paraId="310A7599">
      <w:pPr>
        <w:pStyle w:val="23"/>
        <w:rPr>
          <w:rFonts w:hint="default"/>
          <w:lang w:val="es-CO"/>
        </w:rPr>
      </w:pPr>
      <w:r>
        <w:t xml:space="preserve">Tradicionalmente, la identificación universitaria se ha basado en carnets de PVC físicos. Estos presentan múltiples vulnerabilidades: 1. </w:t>
      </w:r>
      <w:r>
        <w:rPr>
          <w:b/>
          <w:bCs/>
        </w:rPr>
        <w:t>Inseguridad:</w:t>
      </w:r>
      <w:r>
        <w:t xml:space="preserve"> Facilidad de suplantación y préstamo de documentos (Smith, 2022). 2. </w:t>
      </w:r>
      <w:r>
        <w:rPr>
          <w:b/>
          <w:bCs/>
        </w:rPr>
        <w:t>Obsolescencia:</w:t>
      </w:r>
      <w:r>
        <w:t xml:space="preserve"> Imposibilidad de actualizar el estado del estudiante (graduado, suspendido) en tiempo real. 3. </w:t>
      </w:r>
      <w:r>
        <w:rPr>
          <w:b/>
          <w:bCs/>
        </w:rPr>
        <w:t>Costos:</w:t>
      </w:r>
      <w:r>
        <w:t xml:space="preserve"> Gastos recurrentes de impresión y logística. 4. </w:t>
      </w:r>
      <w:r>
        <w:rPr>
          <w:b/>
          <w:bCs/>
        </w:rPr>
        <w:t>Desconexión:</w:t>
      </w:r>
      <w:r>
        <w:t xml:space="preserve"> Falta de integración con otros servicios institucionales</w:t>
      </w:r>
      <w:r>
        <w:rPr>
          <w:rFonts w:hint="default"/>
          <w:lang w:val="es-CO"/>
        </w:rPr>
        <w:t>.</w:t>
      </w:r>
    </w:p>
    <w:bookmarkEnd w:id="2"/>
    <w:p w14:paraId="3AFDF7D8">
      <w:pPr>
        <w:pStyle w:val="4"/>
      </w:pPr>
      <w:bookmarkStart w:id="3" w:name="justificación"/>
      <w:r>
        <w:t>Justificación</w:t>
      </w:r>
    </w:p>
    <w:p w14:paraId="13FB074E">
      <w:pPr>
        <w:pStyle w:val="23"/>
      </w:pPr>
      <w:r>
        <w:t>La implementación de una identidad digital dinámica no solo mejora la seguridad mediante algoritmos antifraude (QR dinámico), sino que también optimiza la experiencia del usuario. La capacidad de integrar el carnet y el historial académico en un solo punto incrementa el sentido de pertenencia y eficiencia institucional.</w:t>
      </w:r>
    </w:p>
    <w:bookmarkEnd w:id="3"/>
    <w:p w14:paraId="7B521962">
      <w:pPr>
        <w:pStyle w:val="4"/>
      </w:pPr>
      <w:bookmarkStart w:id="4" w:name="objetivos"/>
      <w:r>
        <w:t>Objetivos</w:t>
      </w:r>
    </w:p>
    <w:p w14:paraId="3834E4F3">
      <w:pPr>
        <w:pStyle w:val="5"/>
      </w:pPr>
      <w:bookmarkStart w:id="5" w:name="objetivo-general"/>
      <w:r>
        <w:t>Objetivo General</w:t>
      </w:r>
    </w:p>
    <w:p w14:paraId="34C1FA92">
      <w:pPr>
        <w:pStyle w:val="23"/>
      </w:pPr>
      <w:r>
        <w:t>Diseñar y desarrollar un ecosistema de Identidad Digital Universitaria Inteligente para UniSalamanca, integrando gestión académica, servicios institucionales y control de acceso.</w:t>
      </w:r>
    </w:p>
    <w:bookmarkEnd w:id="5"/>
    <w:p w14:paraId="5622E288">
      <w:pPr>
        <w:pStyle w:val="5"/>
      </w:pPr>
      <w:bookmarkStart w:id="6" w:name="objetivos-específicos"/>
      <w:r>
        <w:t>Objetivos Específicos</w:t>
      </w:r>
    </w:p>
    <w:p w14:paraId="026817BC">
      <w:pPr>
        <w:pStyle w:val="24"/>
        <w:numPr>
          <w:ilvl w:val="0"/>
          <w:numId w:val="1"/>
        </w:numPr>
      </w:pPr>
      <w:r>
        <w:t>Desarrollar un sistema de autenticación centralizado basado en Supabase Auth.</w:t>
      </w:r>
    </w:p>
    <w:p w14:paraId="4DD5B0DA">
      <w:pPr>
        <w:pStyle w:val="24"/>
        <w:numPr>
          <w:ilvl w:val="0"/>
          <w:numId w:val="1"/>
        </w:numPr>
      </w:pPr>
      <w:r>
        <w:t>Implementar un algoritmo de generación de códigos QR dinámicos con rotación automática cada 30 segundos (Time-based OTP).</w:t>
      </w:r>
    </w:p>
    <w:p w14:paraId="6B7F3B93">
      <w:pPr>
        <w:pStyle w:val="24"/>
        <w:numPr>
          <w:ilvl w:val="0"/>
          <w:numId w:val="1"/>
        </w:numPr>
      </w:pPr>
      <w:r>
        <w:t>Integrar módulos de Bienestar, Finanzas y Biblioteca en una arquitectura de micro-interfaz.</w:t>
      </w:r>
    </w:p>
    <w:p w14:paraId="124F07AD">
      <w:pPr>
        <w:pStyle w:val="24"/>
        <w:numPr>
          <w:ilvl w:val="0"/>
          <w:numId w:val="1"/>
        </w:numPr>
      </w:pPr>
      <w:r>
        <w:t>Garantizar el cumplimiento normativo de la Ley 1581 de Protección de Datos Personales.</w:t>
      </w:r>
    </w:p>
    <w:bookmarkEnd w:id="4"/>
    <w:bookmarkEnd w:id="6"/>
    <w:p w14:paraId="24C9E380">
      <w:pPr>
        <w:pStyle w:val="4"/>
      </w:pPr>
      <w:bookmarkStart w:id="7" w:name="delimitación"/>
      <w:r>
        <w:t>Delimitación</w:t>
      </w:r>
    </w:p>
    <w:p w14:paraId="15DCA734">
      <w:pPr>
        <w:pStyle w:val="5"/>
      </w:pPr>
      <w:bookmarkStart w:id="8" w:name="delimitación-temporal"/>
      <w:r>
        <w:t>Delimitación Temporal</w:t>
      </w:r>
    </w:p>
    <w:p w14:paraId="4F2C1940">
      <w:pPr>
        <w:pStyle w:val="23"/>
      </w:pPr>
      <w:r>
        <w:t xml:space="preserve">El proyecto se desarrolla en un periodo de </w:t>
      </w:r>
      <w:r>
        <w:rPr>
          <w:rFonts w:hint="default"/>
          <w:lang w:val="es-CO"/>
        </w:rPr>
        <w:t>2 meses</w:t>
      </w:r>
      <w:r>
        <w:t>, comprendiendo desde la fase de requerimientos hasta el despliegue en producción.</w:t>
      </w:r>
    </w:p>
    <w:bookmarkEnd w:id="8"/>
    <w:p w14:paraId="3658BE49">
      <w:pPr>
        <w:pStyle w:val="5"/>
      </w:pPr>
      <w:bookmarkStart w:id="9" w:name="delimitación-espacial"/>
      <w:r>
        <w:t>Delimitación Espacial</w:t>
      </w:r>
    </w:p>
    <w:p w14:paraId="24E3CD18">
      <w:pPr>
        <w:pStyle w:val="23"/>
      </w:pPr>
      <w:r>
        <w:t xml:space="preserve">La implementación inicial se concentra en el campus principal de UniSalamanca, con proyecciones de escalabilidad para sedes remotas y modalidad </w:t>
      </w:r>
      <w:r>
        <w:rPr>
          <w:rFonts w:hint="default"/>
          <w:b/>
          <w:bCs/>
          <w:lang w:val="es-CO"/>
        </w:rPr>
        <w:t>PAT (presencial asistida por tecnología)</w:t>
      </w:r>
      <w:r>
        <w:t>.</w:t>
      </w:r>
    </w:p>
    <w:bookmarkEnd w:id="7"/>
    <w:bookmarkEnd w:id="9"/>
    <w:p w14:paraId="6AA5CEAB">
      <w:pPr>
        <w:pStyle w:val="4"/>
      </w:pPr>
      <w:bookmarkStart w:id="10" w:name="diseño-metodológico"/>
      <w:r>
        <w:t>Diseño Metodológico</w:t>
      </w:r>
    </w:p>
    <w:p w14:paraId="36FE2B74">
      <w:pPr>
        <w:pStyle w:val="23"/>
      </w:pPr>
      <w:r>
        <w:t>El estudio sigue un enfoque de investigación aplicada con un diseño experimental-tecnológico. Se utiliza el framework Scrum para el desarrollo ágil por sprints, permitiendo la iteración constante basándose en el feedback de los stakeholders clave (Schwaber, 2018).</w:t>
      </w:r>
    </w:p>
    <w:bookmarkEnd w:id="10"/>
    <w:p w14:paraId="28497771">
      <w:pPr>
        <w:pStyle w:val="4"/>
      </w:pPr>
      <w:bookmarkStart w:id="11" w:name="estadísticas-población-y-muestra"/>
      <w:r>
        <w:t>Estadísticas: Población y Muestra</w:t>
      </w:r>
    </w:p>
    <w:p w14:paraId="7EFB29A3">
      <w:pPr>
        <w:pStyle w:val="24"/>
        <w:numPr>
          <w:ilvl w:val="0"/>
          <w:numId w:val="1"/>
        </w:numPr>
      </w:pPr>
      <w:r>
        <w:rPr>
          <w:b/>
          <w:bCs/>
        </w:rPr>
        <w:t>Población:</w:t>
      </w:r>
      <w:r>
        <w:t xml:space="preserve"> Total de estudiantes, docentes y personal administrativo de UniSalamanca.</w:t>
      </w:r>
    </w:p>
    <w:p w14:paraId="3A3AEA3B">
      <w:pPr>
        <w:pStyle w:val="24"/>
        <w:numPr>
          <w:ilvl w:val="0"/>
          <w:numId w:val="1"/>
        </w:numPr>
      </w:pPr>
      <w:r>
        <w:rPr>
          <w:b/>
          <w:bCs/>
        </w:rPr>
        <w:t>Muestra:</w:t>
      </w:r>
      <w:r>
        <w:t xml:space="preserve"> Grupo piloto de las facultades de Ingeniería y Administración para validación de procesos iniciales.</w:t>
      </w:r>
    </w:p>
    <w:bookmarkEnd w:id="11"/>
    <w:p w14:paraId="706B1B5A">
      <w:pPr>
        <w:pStyle w:val="4"/>
      </w:pPr>
      <w:bookmarkStart w:id="12" w:name="marco-referencial"/>
      <w:r>
        <w:t>Marco Referencial</w:t>
      </w:r>
    </w:p>
    <w:p w14:paraId="7BB3D9CD">
      <w:pPr>
        <w:pStyle w:val="5"/>
      </w:pPr>
      <w:bookmarkStart w:id="13" w:name="marco-histórico"/>
      <w:r>
        <w:t>Marco Histórico</w:t>
      </w:r>
    </w:p>
    <w:p w14:paraId="0F5CF1D8">
      <w:pPr>
        <w:pStyle w:val="23"/>
      </w:pPr>
      <w:r>
        <w:t>A partir del año 2020, la necesidad de servicios contact-less se aceleró globalmente. UniSalamanca ha pasado de listados manuales a sistemas de bases de datos aislados, siendo este proyecto la primera unificación digital total.</w:t>
      </w:r>
    </w:p>
    <w:bookmarkEnd w:id="13"/>
    <w:p w14:paraId="118E1A1D">
      <w:pPr>
        <w:pStyle w:val="5"/>
      </w:pPr>
      <w:bookmarkStart w:id="14" w:name="marco-teórico"/>
      <w:r>
        <w:t>Marco Teórico</w:t>
      </w:r>
    </w:p>
    <w:p w14:paraId="7854E9C7">
      <w:pPr>
        <w:pStyle w:val="23"/>
      </w:pPr>
      <w:r>
        <w:t xml:space="preserve">El sistema se sustenta en tres pilares: </w:t>
      </w:r>
    </w:p>
    <w:p w14:paraId="39727B27">
      <w:pPr>
        <w:pStyle w:val="23"/>
        <w:numPr>
          <w:ilvl w:val="0"/>
          <w:numId w:val="2"/>
        </w:numPr>
      </w:pPr>
      <w:r>
        <w:rPr>
          <w:b/>
          <w:bCs/>
        </w:rPr>
        <w:t>Progressive Web Apps (PWA):</w:t>
      </w:r>
      <w:r>
        <w:t xml:space="preserve"> Aplicaciones que combinan lo mejor de la web y las apps móviles (Le Page, 2023). </w:t>
      </w:r>
    </w:p>
    <w:p w14:paraId="11B22D86">
      <w:pPr>
        <w:pStyle w:val="23"/>
        <w:numPr>
          <w:ilvl w:val="0"/>
          <w:numId w:val="2"/>
        </w:numPr>
        <w:ind w:left="0" w:leftChars="0" w:firstLine="0" w:firstLineChars="0"/>
      </w:pPr>
      <w:r>
        <w:rPr>
          <w:b/>
          <w:bCs/>
        </w:rPr>
        <w:t>BaaS (Backend as a Service):</w:t>
      </w:r>
      <w:r>
        <w:t xml:space="preserve"> Uso de Supabase para alta disponibilidad y seguridad en el manejo de datos. </w:t>
      </w:r>
    </w:p>
    <w:p w14:paraId="417CEB2D">
      <w:pPr>
        <w:pStyle w:val="23"/>
        <w:numPr>
          <w:numId w:val="0"/>
        </w:numPr>
        <w:ind w:leftChars="0"/>
      </w:pPr>
      <w:bookmarkStart w:id="17" w:name="_GoBack"/>
      <w:bookmarkEnd w:id="17"/>
      <w:r>
        <w:t xml:space="preserve">3. </w:t>
      </w:r>
      <w:r>
        <w:rPr>
          <w:b/>
          <w:bCs/>
        </w:rPr>
        <w:t>Criptografía de Tiempo:</w:t>
      </w:r>
      <w:r>
        <w:t xml:space="preserve"> Uso de bloques de tiempo (Time-blocks) para la generación de tokens no reutilizables.</w:t>
      </w:r>
    </w:p>
    <w:bookmarkEnd w:id="14"/>
    <w:p w14:paraId="7ADC94A6">
      <w:pPr>
        <w:pStyle w:val="5"/>
      </w:pPr>
      <w:bookmarkStart w:id="15" w:name="marco-legal-ley-1581"/>
      <w:r>
        <w:t>Marco Legal (Ley 1581)</w:t>
      </w:r>
    </w:p>
    <w:p w14:paraId="5526129A">
      <w:pPr>
        <w:pStyle w:val="23"/>
      </w:pPr>
      <w:r>
        <w:t>En cumplimiento con la Ley 1581 de 2012 de Colombia, el sistema implementa un módulo de aceptación de términos y condiciones obligatorio (Opt-in) para el tratamiento de datos sensibles y biométricos (fotografías).</w:t>
      </w:r>
    </w:p>
    <w:p w14:paraId="3E4D2A3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33FD96B8">
      <w:pPr>
        <w:pStyle w:val="4"/>
      </w:pPr>
      <w:bookmarkStart w:id="16" w:name="referencias"/>
      <w:r>
        <w:t>Referencias</w:t>
      </w:r>
    </w:p>
    <w:p w14:paraId="0AC5CD97">
      <w:pPr>
        <w:pStyle w:val="23"/>
      </w:pPr>
      <w:r>
        <w:t xml:space="preserve">Doe, J. (2024). Digital Identity in Higher Education. </w:t>
      </w:r>
      <w:r>
        <w:rPr>
          <w:i/>
          <w:iCs/>
        </w:rPr>
        <w:t>Journal of Tech Ed</w:t>
      </w:r>
      <w:r>
        <w:t xml:space="preserve">, 12, 45-56. Le Page, P. (2023). </w:t>
      </w:r>
      <w:r>
        <w:rPr>
          <w:i/>
          <w:iCs/>
        </w:rPr>
        <w:t>What are Progressive Web Apps?</w:t>
      </w:r>
      <w:r>
        <w:t xml:space="preserve"> Google Dev Guides. Schwaber, K. (2018). </w:t>
      </w:r>
      <w:r>
        <w:rPr>
          <w:i/>
          <w:iCs/>
        </w:rPr>
        <w:t>Agile Project Management with Scrum</w:t>
      </w:r>
      <w:r>
        <w:t xml:space="preserve">. Microsoft Press. Smith, R. (2022). </w:t>
      </w:r>
      <w:r>
        <w:rPr>
          <w:i/>
          <w:iCs/>
        </w:rPr>
        <w:t>Security Gaps in Physical Credentials</w:t>
      </w:r>
      <w:r>
        <w:t xml:space="preserve">. Security Review. UniSalamanca. (2024). </w:t>
      </w:r>
      <w:r>
        <w:rPr>
          <w:i/>
          <w:iCs/>
        </w:rPr>
        <w:t>Plan de Desarrollo Institucional 2024-2030</w:t>
      </w:r>
      <w:r>
        <w:t>. Documento interno.</w:t>
      </w:r>
    </w:p>
    <w:bookmarkEnd w:id="0"/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5C02D202"/>
    <w:multiLevelType w:val="singleLevel"/>
    <w:tmpl w:val="5C02D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4294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caption"/>
    <w:basedOn w:val="1"/>
    <w:qFormat/>
    <w:uiPriority w:val="0"/>
    <w:pPr>
      <w:spacing w:before="0" w:after="120"/>
    </w:pPr>
    <w:rPr>
      <w:i/>
    </w:rPr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8"/>
    <w:qFormat/>
    <w:uiPriority w:val="0"/>
    <w:pPr>
      <w:keepNext/>
    </w:pPr>
  </w:style>
  <w:style w:type="paragraph" w:customStyle="1" w:styleId="45">
    <w:name w:val="Image Caption"/>
    <w:basedOn w:val="18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585</Words>
  <Characters>3652</Characters>
  <Lines>12</Lines>
  <Paragraphs>8</Paragraphs>
  <TotalTime>13</TotalTime>
  <ScaleCrop>false</ScaleCrop>
  <LinksUpToDate>false</LinksUpToDate>
  <CharactersWithSpaces>4202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2026-04-14T13:51:00Z</dcterms:created>
  <dc:creator>INVESTIGACION 181</dc:creator>
  <cp:lastModifiedBy>INVESTIGACION 181</cp:lastModifiedBy>
  <dcterms:modified xsi:type="dcterms:W3CDTF">2026-04-14T18:05:25Z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eyJoZGlkIjoiOTI4YTQ5OTQ5ZmIxMTg5YmZlMDNmNjYzNDU1ODU3MzQifQ==</vt:lpwstr>
  </property>
  <property fmtid="{D5CDD505-2E9C-101B-9397-08002B2CF9AE}" pid="3" name="KSOProductBuildVer">
    <vt:lpwstr>2058-12.1.0.25830</vt:lpwstr>
  </property>
  <property fmtid="{D5CDD505-2E9C-101B-9397-08002B2CF9AE}" pid="4" name="ICV">
    <vt:lpwstr>CDF6D33C2CEB4AD9A9CB3BCCB78C7D69_12</vt:lpwstr>
  </property>
</Properties>
</file>