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d9de310b3b297ab973c78a41c746f1acad62fc"/>
    <w:p>
      <w:pPr>
        <w:pStyle w:val="Heading1"/>
      </w:pPr>
      <w:r>
        <w:t xml:space="preserve">Documento de Requerimientos - Identidad Digital UniSalamanca</w:t>
      </w:r>
    </w:p>
    <w:p>
      <w:pPr>
        <w:pStyle w:val="FirstParagraph"/>
      </w:pPr>
      <w:r>
        <w:t xml:space="preserve">Este documento detalla los requerimientos funcionales y técnicos implementados en la plataforma de Identidad Digital Universitaria.</w:t>
      </w:r>
    </w:p>
    <w:bookmarkStart w:id="9" w:name="requerimientos-funcionales-rf"/>
    <w:p>
      <w:pPr>
        <w:pStyle w:val="Heading2"/>
      </w:pPr>
      <w:r>
        <w:t xml:space="preserve">1. Requerimientos Funcionales (RF)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de Estudiantes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puede crear, editar y visualizar estudiantes con campos específicos (Nombre, Email, Programa, Modalidad).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 Masiva (Excel)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de importar listados de estudiantes desde archivos Excel/CSV con validación automática.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Credencial Digital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una identidad visual (carnet) accesible desde el móvil del estudiante.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 Dinámico (Antifraude)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código QR rota cada 30 segundos usando un token basado en tiempo para evitar capturas de pantalla malintencionadas.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Validación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aplicación de validador (Guardia) que escanea códigos QR y verifica el estado (Activo/Suspendido) en tiempo real.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Seguridad por Geovalla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validador registra la ubicación GPS del escaneo para asegurar que los accesos ocurran dentro de las instalaciones.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Reportes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administrativo para filtrar ingresos por fecha, programa y modalidad.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Cumplimiento Ley 1581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onboarding que obliga al estudiante a aceptar la política de tratamiento de datos antes de activar su credencial.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de Ciclo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cuenta: Activo, Suspendido, Egresado y Revocado.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Multimodalidad LPR/RFID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preparados para integrar placas vehiculares y tags de proximidad.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</w:tbl>
    <w:bookmarkEnd w:id="9"/>
    <w:bookmarkStart w:id="10" w:name="requerimientos-no-funcionales-rnf"/>
    <w:p>
      <w:pPr>
        <w:pStyle w:val="Heading2"/>
      </w:pPr>
      <w:r>
        <w:t xml:space="preserve">2. Requerimientos No Funcionales (RNF)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Supabase para base de datos relacional (PostgreSQL) y 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de datos en reposo y tránsito (TLS 1.3). Hashing de contraseñas con bcrypt.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premium con glassmorphism, tipografía moderna (Outfit) y responsividad móvil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QR en menos de 500ms tras el escaneo.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 fotografías de estudiantes en Supabase Storage con redimensionamiento dinámico.</w:t>
            </w:r>
          </w:p>
        </w:tc>
      </w:tr>
    </w:tbl>
    <w:bookmarkEnd w:id="10"/>
    <w:bookmarkStart w:id="11" w:name="reglas-de-negocio-br"/>
    <w:p>
      <w:pPr>
        <w:pStyle w:val="Heading2"/>
      </w:pPr>
      <w:r>
        <w:t xml:space="preserve">3. Reglas de Negocio (BR)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BR-01</w:t>
      </w:r>
      <w:r>
        <w:t xml:space="preserve">: Solo estudiantes con estado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pueden generar un QR válido para acceso físico.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BR-02</w:t>
      </w:r>
      <w:r>
        <w:t xml:space="preserve">: El token del QR tiene una validez de ±60 segundos para compensar desfases de reloj entre dispositivos.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BR-03</w:t>
      </w:r>
      <w:r>
        <w:t xml:space="preserve">: La primera vez que un estudiante ingresa, es obligatorio que se tome una foto (Onboarding).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BR-04</w:t>
      </w:r>
      <w:r>
        <w:t xml:space="preserve">: El administrador puede revocar o suspender una credencial en tiempo real, invalidando el acceso de inmediato.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2026-04-14T14:34:13Z</dcterms:created>
  <dcterms:modified xsi:type="dcterms:W3CDTF">2026-04-14T14:34:13Z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