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Playbook for Micro E-mini Nasdaq-100 (MNQ) Futures: Quantitative Frameworks, Market Microstructure, and Day Trading Logic</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Micro E-mini Nasdaq-100 Ecosystem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contemporary financial marketplace is defined by high-velocity electronic execution, algorithmic liquidity provision, and profound intraday volatility. At the absolute center of this technological financial paradigm is the Nasdaq-100 Index, a benchmark heavily weighted toward the most innovative, highly capitalized, non-financial corporations globally, particularly those entrenched within the technology, semiconductor, biotechnology, and telecommunications sectors.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the active quantitative day trader, gaining direct, leveraged exposure to this specific index has historically required substantial capitalization due to the high notional value of standard and traditional E-mini futures contracts.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the strategic introduction of the Micro E-mini Nasdaq-100 (ticker symbol: MNQ) futures contract by the Chicago Mercantile Exchange (CME Group) has fundamentally democratized access to this volatility.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MNQ offers a precisely scaled instrument that is exactly one-tenth the size of the traditional E-mini Nasdaq-100 (NQ), providing identical market exposure with radically reduced financial commitment.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Trading the MNQ requires far more than discretionary directional forecasting; it demands a rigorously quantified, mathematically sound playbook. A quantitative trading methodology bridges the critical gap between theoretical market dynamics and executable, risk-adjusted strategies.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substituting the emotional burden of discretionary trading with statistical probabilities, expectancy models, and strict position-sizing calculus, traders can confidently navigate the inherent volatility of the technology sector.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comprehensive report synthesizes the contract specifications, mathematical frameworks for technical indicators, institutional market internals, and advanced risk management theories required to extract consistent, systemic alpha from the MNQ futures market.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Contract Architecture and Valuation Mechanics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engineer a mathematical trading strategy with a positive expectancy, a trader must first intimately understand the structural parameters, mechanical constraints, and valuation mechanisms of the underlying instrument. The MNQ futures contract operates within a highly regulated, standardized framework established by the CME Group.</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Unlike over-the-counter instruments, futures contracts are highly standardized, ensuring seamless liquidity and continuous price discovery.</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Tick and Point Valuation Mathematics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valuation of price movements in the futures market is discretized into specific increments known as "ticks" and "points." A point represents a full </w:t>
      </w:r>
      <w:r w:rsidDel="00000000" w:rsidR="00000000" w:rsidRPr="00000000">
        <w:rPr>
          <w:rFonts w:ascii="Google Sans" w:cs="Google Sans" w:eastAsia="Google Sans" w:hAnsi="Google Sans"/>
          <w:color w:val="1f1f1f"/>
        </w:rPr>
        <w:drawing>
          <wp:inline distB="19050" distT="19050" distL="19050" distR="19050">
            <wp:extent cx="327943" cy="221844"/>
            <wp:effectExtent b="0" l="0" r="0" t="0"/>
            <wp:docPr id="77"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327943" cy="221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integer move in the underlying index, while a tick is defined as the minimum allowable price fluctuation recognized by the exchange matching engine.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Micro E-mini Nasdaq-100 (MNQ), the contract multiplier is exactly </w:t>
      </w: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79"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index point.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minimum price fluctuation (the regular tick size) is established at </w:t>
      </w:r>
      <w:r w:rsidDel="00000000" w:rsidR="00000000" w:rsidRPr="00000000">
        <w:rPr>
          <w:rFonts w:ascii="Google Sans" w:cs="Google Sans" w:eastAsia="Google Sans" w:hAnsi="Google Sans"/>
          <w:color w:val="1f1f1f"/>
        </w:rPr>
        <w:drawing>
          <wp:inline distB="19050" distT="19050" distL="19050" distR="19050">
            <wp:extent cx="286941" cy="191294"/>
            <wp:effectExtent b="0" l="0" r="0" t="0"/>
            <wp:docPr id="78" name="image58.png"/>
            <a:graphic>
              <a:graphicData uri="http://schemas.openxmlformats.org/drawingml/2006/picture">
                <pic:pic>
                  <pic:nvPicPr>
                    <pic:cNvPr id="0" name="image58.png"/>
                    <pic:cNvPicPr preferRelativeResize="0"/>
                  </pic:nvPicPr>
                  <pic:blipFill>
                    <a:blip r:embed="rId8"/>
                    <a:srcRect b="0" l="0" r="0" t="0"/>
                    <a:stretch>
                      <a:fillRect/>
                    </a:stretch>
                  </pic:blipFill>
                  <pic:spPr>
                    <a:xfrm>
                      <a:off x="0" y="0"/>
                      <a:ext cx="286941" cy="1912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index points.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the financial value of a single tick is calculated using the following basic equation: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4965"/>
            <wp:effectExtent b="0" l="0" r="0" t="0"/>
            <wp:docPr id="81" name="image72.png"/>
            <a:graphic>
              <a:graphicData uri="http://schemas.openxmlformats.org/drawingml/2006/picture">
                <pic:pic>
                  <pic:nvPicPr>
                    <pic:cNvPr id="0" name="image72.png"/>
                    <pic:cNvPicPr preferRelativeResize="0"/>
                  </pic:nvPicPr>
                  <pic:blipFill>
                    <a:blip r:embed="rId9"/>
                    <a:srcRect b="0" l="0" r="0" t="0"/>
                    <a:stretch>
                      <a:fillRect/>
                    </a:stretch>
                  </pic:blipFill>
                  <pic:spPr>
                    <a:xfrm>
                      <a:off x="0" y="0"/>
                      <a:ext cx="5905500" cy="32496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4965"/>
            <wp:effectExtent b="0" l="0" r="0" t="0"/>
            <wp:docPr id="80" name="image69.png"/>
            <a:graphic>
              <a:graphicData uri="http://schemas.openxmlformats.org/drawingml/2006/picture">
                <pic:pic>
                  <pic:nvPicPr>
                    <pic:cNvPr id="0" name="image69.png"/>
                    <pic:cNvPicPr preferRelativeResize="0"/>
                  </pic:nvPicPr>
                  <pic:blipFill>
                    <a:blip r:embed="rId10"/>
                    <a:srcRect b="0" l="0" r="0" t="0"/>
                    <a:stretch>
                      <a:fillRect/>
                    </a:stretch>
                  </pic:blipFill>
                  <pic:spPr>
                    <a:xfrm>
                      <a:off x="0" y="0"/>
                      <a:ext cx="5905500" cy="32496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there are exactly four ticks in a single index point (</w:t>
      </w:r>
      <w:r w:rsidDel="00000000" w:rsidR="00000000" w:rsidRPr="00000000">
        <w:rPr>
          <w:rFonts w:ascii="Google Sans" w:cs="Google Sans" w:eastAsia="Google Sans" w:hAnsi="Google Sans"/>
          <w:color w:val="1f1f1f"/>
        </w:rPr>
        <w:drawing>
          <wp:inline distB="19050" distT="19050" distL="19050" distR="19050">
            <wp:extent cx="1219352" cy="219102"/>
            <wp:effectExtent b="0" l="0" r="0" t="0"/>
            <wp:docPr id="84" name="image66.png"/>
            <a:graphic>
              <a:graphicData uri="http://schemas.openxmlformats.org/drawingml/2006/picture">
                <pic:pic>
                  <pic:nvPicPr>
                    <pic:cNvPr id="0" name="image66.png"/>
                    <pic:cNvPicPr preferRelativeResize="0"/>
                  </pic:nvPicPr>
                  <pic:blipFill>
                    <a:blip r:embed="rId11"/>
                    <a:srcRect b="0" l="0" r="0" t="0"/>
                    <a:stretch>
                      <a:fillRect/>
                    </a:stretch>
                  </pic:blipFill>
                  <pic:spPr>
                    <a:xfrm>
                      <a:off x="0" y="0"/>
                      <a:ext cx="1219352" cy="2191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point value equates to </w:t>
      </w: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82"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10-to-1 fractional sizing compared to the E-mini NQ contract (where one point equals </w:t>
      </w:r>
      <w:r w:rsidDel="00000000" w:rsidR="00000000" w:rsidRPr="00000000">
        <w:rPr>
          <w:rFonts w:ascii="Google Sans" w:cs="Google Sans" w:eastAsia="Google Sans" w:hAnsi="Google Sans"/>
          <w:color w:val="1f1f1f"/>
        </w:rPr>
        <w:drawing>
          <wp:inline distB="19050" distT="19050" distL="19050" distR="19050">
            <wp:extent cx="448270" cy="190753"/>
            <wp:effectExtent b="0" l="0" r="0" t="0"/>
            <wp:docPr id="88" name="image67.png"/>
            <a:graphic>
              <a:graphicData uri="http://schemas.openxmlformats.org/drawingml/2006/picture">
                <pic:pic>
                  <pic:nvPicPr>
                    <pic:cNvPr id="0" name="image67.png"/>
                    <pic:cNvPicPr preferRelativeResize="0"/>
                  </pic:nvPicPr>
                  <pic:blipFill>
                    <a:blip r:embed="rId12"/>
                    <a:srcRect b="0" l="0" r="0" t="0"/>
                    <a:stretch>
                      <a:fillRect/>
                    </a:stretch>
                  </pic:blipFill>
                  <pic:spPr>
                    <a:xfrm>
                      <a:off x="0" y="0"/>
                      <a:ext cx="448270" cy="1907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one tick equals </w:t>
      </w:r>
      <w:r w:rsidDel="00000000" w:rsidR="00000000" w:rsidRPr="00000000">
        <w:rPr>
          <w:rFonts w:ascii="Google Sans" w:cs="Google Sans" w:eastAsia="Google Sans" w:hAnsi="Google Sans"/>
          <w:color w:val="1f1f1f"/>
        </w:rPr>
        <w:drawing>
          <wp:inline distB="19050" distT="19050" distL="19050" distR="19050">
            <wp:extent cx="367606" cy="188516"/>
            <wp:effectExtent b="0" l="0" r="0" t="0"/>
            <wp:docPr id="86" name="image70.png"/>
            <a:graphic>
              <a:graphicData uri="http://schemas.openxmlformats.org/drawingml/2006/picture">
                <pic:pic>
                  <pic:nvPicPr>
                    <pic:cNvPr id="0" name="image70.png"/>
                    <pic:cNvPicPr preferRelativeResize="0"/>
                  </pic:nvPicPr>
                  <pic:blipFill>
                    <a:blip r:embed="rId13"/>
                    <a:srcRect b="0" l="0" r="0" t="0"/>
                    <a:stretch>
                      <a:fillRect/>
                    </a:stretch>
                  </pic:blipFill>
                  <pic:spPr>
                    <a:xfrm>
                      <a:off x="0" y="0"/>
                      <a:ext cx="367606" cy="1885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fundamentally alters the risk landscape and opens up advanced quantitative position sizing.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E-mini Nasdaq-100 (NQ)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 E-mini Nasdaq-100 (MNQ)</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Contract Unit Multiplier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67606" cy="188516"/>
                  <wp:effectExtent b="0" l="0" r="0" t="0"/>
                  <wp:docPr id="93" name="image75.png"/>
                  <a:graphic>
                    <a:graphicData uri="http://schemas.openxmlformats.org/drawingml/2006/picture">
                      <pic:pic>
                        <pic:nvPicPr>
                          <pic:cNvPr id="0" name="image75.png"/>
                          <pic:cNvPicPr preferRelativeResize="0"/>
                        </pic:nvPicPr>
                        <pic:blipFill>
                          <a:blip r:embed="rId14"/>
                          <a:srcRect b="0" l="0" r="0" t="0"/>
                          <a:stretch>
                            <a:fillRect/>
                          </a:stretch>
                        </pic:blipFill>
                        <pic:spPr>
                          <a:xfrm>
                            <a:off x="0" y="0"/>
                            <a:ext cx="367606" cy="18851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Nasdaq-100 Index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286941" cy="191294"/>
                  <wp:effectExtent b="0" l="0" r="0" t="0"/>
                  <wp:docPr id="90" name="image71.png"/>
                  <a:graphic>
                    <a:graphicData uri="http://schemas.openxmlformats.org/drawingml/2006/picture">
                      <pic:pic>
                        <pic:nvPicPr>
                          <pic:cNvPr id="0" name="image71.png"/>
                          <pic:cNvPicPr preferRelativeResize="0"/>
                        </pic:nvPicPr>
                        <pic:blipFill>
                          <a:blip r:embed="rId15"/>
                          <a:srcRect b="0" l="0" r="0" t="0"/>
                          <a:stretch>
                            <a:fillRect/>
                          </a:stretch>
                        </pic:blipFill>
                        <pic:spPr>
                          <a:xfrm>
                            <a:off x="0" y="0"/>
                            <a:ext cx="286941" cy="19129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Nasdaq-100 Index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Minimum Tick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86941" cy="191294"/>
                  <wp:effectExtent b="0" l="0" r="0" t="0"/>
                  <wp:docPr id="92" name="image58.png"/>
                  <a:graphic>
                    <a:graphicData uri="http://schemas.openxmlformats.org/drawingml/2006/picture">
                      <pic:pic>
                        <pic:nvPicPr>
                          <pic:cNvPr id="0" name="image58.png"/>
                          <pic:cNvPicPr preferRelativeResize="0"/>
                        </pic:nvPicPr>
                        <pic:blipFill>
                          <a:blip r:embed="rId8"/>
                          <a:srcRect b="0" l="0" r="0" t="0"/>
                          <a:stretch>
                            <a:fillRect/>
                          </a:stretch>
                        </pic:blipFill>
                        <pic:spPr>
                          <a:xfrm>
                            <a:off x="0" y="0"/>
                            <a:ext cx="286941" cy="19129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index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286941" cy="191294"/>
                  <wp:effectExtent b="0" l="0" r="0" t="0"/>
                  <wp:docPr id="95" name="image58.png"/>
                  <a:graphic>
                    <a:graphicData uri="http://schemas.openxmlformats.org/drawingml/2006/picture">
                      <pic:pic>
                        <pic:nvPicPr>
                          <pic:cNvPr id="0" name="image58.png"/>
                          <pic:cNvPicPr preferRelativeResize="0"/>
                        </pic:nvPicPr>
                        <pic:blipFill>
                          <a:blip r:embed="rId8"/>
                          <a:srcRect b="0" l="0" r="0" t="0"/>
                          <a:stretch>
                            <a:fillRect/>
                          </a:stretch>
                        </pic:blipFill>
                        <pic:spPr>
                          <a:xfrm>
                            <a:off x="0" y="0"/>
                            <a:ext cx="286941" cy="19129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index points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 per Tick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67606" cy="188516"/>
                  <wp:effectExtent b="0" l="0" r="0" t="0"/>
                  <wp:docPr id="96" name="image70.png"/>
                  <a:graphic>
                    <a:graphicData uri="http://schemas.openxmlformats.org/drawingml/2006/picture">
                      <pic:pic>
                        <pic:nvPicPr>
                          <pic:cNvPr id="0" name="image70.png"/>
                          <pic:cNvPicPr preferRelativeResize="0"/>
                        </pic:nvPicPr>
                        <pic:blipFill>
                          <a:blip r:embed="rId13"/>
                          <a:srcRect b="0" l="0" r="0" t="0"/>
                          <a:stretch>
                            <a:fillRect/>
                          </a:stretch>
                        </pic:blipFill>
                        <pic:spPr>
                          <a:xfrm>
                            <a:off x="0" y="0"/>
                            <a:ext cx="367606" cy="18851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67606" cy="188516"/>
                  <wp:effectExtent b="0" l="0" r="0" t="0"/>
                  <wp:docPr id="97" name="image73.png"/>
                  <a:graphic>
                    <a:graphicData uri="http://schemas.openxmlformats.org/drawingml/2006/picture">
                      <pic:pic>
                        <pic:nvPicPr>
                          <pic:cNvPr id="0" name="image73.png"/>
                          <pic:cNvPicPr preferRelativeResize="0"/>
                        </pic:nvPicPr>
                        <pic:blipFill>
                          <a:blip r:embed="rId16"/>
                          <a:srcRect b="0" l="0" r="0" t="0"/>
                          <a:stretch>
                            <a:fillRect/>
                          </a:stretch>
                        </pic:blipFill>
                        <pic:spPr>
                          <a:xfrm>
                            <a:off x="0" y="0"/>
                            <a:ext cx="367606" cy="18851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 per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48270" cy="190753"/>
                  <wp:effectExtent b="0" l="0" r="0" t="0"/>
                  <wp:docPr id="98" name="image67.png"/>
                  <a:graphic>
                    <a:graphicData uri="http://schemas.openxmlformats.org/drawingml/2006/picture">
                      <pic:pic>
                        <pic:nvPicPr>
                          <pic:cNvPr id="0" name="image67.png"/>
                          <pic:cNvPicPr preferRelativeResize="0"/>
                        </pic:nvPicPr>
                        <pic:blipFill>
                          <a:blip r:embed="rId12"/>
                          <a:srcRect b="0" l="0" r="0" t="0"/>
                          <a:stretch>
                            <a:fillRect/>
                          </a:stretch>
                        </pic:blipFill>
                        <pic:spPr>
                          <a:xfrm>
                            <a:off x="0" y="0"/>
                            <a:ext cx="448270" cy="19075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20142" cy="219620"/>
                  <wp:effectExtent b="0" l="0" r="0" t="0"/>
                  <wp:docPr id="99"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Settlement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Cash Settled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Cash Settled </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implications of this fractional sizing are profound. A </w:t>
      </w:r>
      <w:r w:rsidDel="00000000" w:rsidR="00000000" w:rsidRPr="00000000">
        <w:rPr>
          <w:rFonts w:ascii="Google Sans" w:cs="Google Sans" w:eastAsia="Google Sans" w:hAnsi="Google Sans"/>
          <w:color w:val="1f1f1f"/>
        </w:rPr>
        <w:drawing>
          <wp:inline distB="19050" distT="19050" distL="19050" distR="19050">
            <wp:extent cx="450950" cy="220678"/>
            <wp:effectExtent b="0" l="0" r="0" t="0"/>
            <wp:docPr id="100" name="image74.png"/>
            <a:graphic>
              <a:graphicData uri="http://schemas.openxmlformats.org/drawingml/2006/picture">
                <pic:pic>
                  <pic:nvPicPr>
                    <pic:cNvPr id="0" name="image74.png"/>
                    <pic:cNvPicPr preferRelativeResize="0"/>
                  </pic:nvPicPr>
                  <pic:blipFill>
                    <a:blip r:embed="rId17"/>
                    <a:srcRect b="0" l="0" r="0" t="0"/>
                    <a:stretch>
                      <a:fillRect/>
                    </a:stretch>
                  </pic:blipFill>
                  <pic:spPr>
                    <a:xfrm>
                      <a:off x="0" y="0"/>
                      <a:ext cx="450950" cy="2206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index point move in the NQ generates a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101" name="image79.png"/>
            <a:graphic>
              <a:graphicData uri="http://schemas.openxmlformats.org/drawingml/2006/picture">
                <pic:pic>
                  <pic:nvPicPr>
                    <pic:cNvPr id="0" name="image79.png"/>
                    <pic:cNvPicPr preferRelativeResize="0"/>
                  </pic:nvPicPr>
                  <pic:blipFill>
                    <a:blip r:embed="rId18"/>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shift in equity per contract, a magnitude of variance that can easily trigger catastrophic margin calls for undercapitalized participants.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Conversely, the exact same move in the MNQ represents a highly manageable </w:t>
      </w:r>
      <w:r w:rsidDel="00000000" w:rsidR="00000000" w:rsidRPr="00000000">
        <w:rPr>
          <w:rFonts w:ascii="Google Sans" w:cs="Google Sans" w:eastAsia="Google Sans" w:hAnsi="Google Sans"/>
          <w:color w:val="1f1f1f"/>
        </w:rPr>
        <w:drawing>
          <wp:inline distB="19050" distT="19050" distL="19050" distR="19050">
            <wp:extent cx="543148" cy="219165"/>
            <wp:effectExtent b="0" l="0" r="0" t="0"/>
            <wp:docPr id="102" name="image78.png"/>
            <a:graphic>
              <a:graphicData uri="http://schemas.openxmlformats.org/drawingml/2006/picture">
                <pic:pic>
                  <pic:nvPicPr>
                    <pic:cNvPr id="0" name="image78.png"/>
                    <pic:cNvPicPr preferRelativeResize="0"/>
                  </pic:nvPicPr>
                  <pic:blipFill>
                    <a:blip r:embed="rId19"/>
                    <a:srcRect b="0" l="0" r="0" t="0"/>
                    <a:stretch>
                      <a:fillRect/>
                    </a:stretch>
                  </pic:blipFill>
                  <pic:spPr>
                    <a:xfrm>
                      <a:off x="0" y="0"/>
                      <a:ext cx="543148" cy="2191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equity shift.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deep granularity allows for superior algorithmic position sizing, the ability to scale into and out of trades in tranches, and the placement of wider, volatility-adjusted stop losses that would be prohibitively expensive to execute in the standard E-mini contract.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Margin Architecture and Capital Efficiency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MNQ contract is available for trading nearly 24 hours a day, providing continuous price discovery and the ability to hedge overnight global macroeconomic risk.</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Trading opens on Sunday at 6:00 p.m. Eastern Time (ET) and closes on Friday at 5:00 p.m. ET, with a mandatory daily one-hour maintenance halt between 5:00 p.m. and 6:00 p.m. ET to allow clearinghouses to settle accounts.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Margin requirements in the futures market differ fundamentally from traditional Regulation T equity margins. Futures margins do not represent a down payment on a borrowed asset; rather, they serve as a good-faith performance bond required to open and hold a leveraged position, ensuring both counterparty safety and clearinghouse stability.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margin architecture is algorithmically divided into three distinct tiers based on temporal risk.</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Three Tiers of Futures Margin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exchange and the introducing broker collaborate to manage risk through Initial, Maintenance, and Intraday margin requirements.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Initial Margin:</w:t>
      </w:r>
      <w:r w:rsidDel="00000000" w:rsidR="00000000" w:rsidRPr="00000000">
        <w:rPr>
          <w:rFonts w:ascii="Google Sans" w:cs="Google Sans" w:eastAsia="Google Sans" w:hAnsi="Google Sans"/>
          <w:color w:val="1f1f1f"/>
          <w:rtl w:val="0"/>
        </w:rPr>
        <w:t xml:space="preserve"> This tier is mandated by the exchange (CME) and clearinghouses using complex, risk-based algorithms (such as SPAN) that project one-day extreme market outcome scenarios.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is the absolute capital requirement to hold a position overnight past the session close.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Because holding a position overnight exposes the trader to unpredictable macroeconomic gaps, this requirement is historically the highest.</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Maintenance Margin:</w:t>
      </w:r>
      <w:r w:rsidDel="00000000" w:rsidR="00000000" w:rsidRPr="00000000">
        <w:rPr>
          <w:rFonts w:ascii="Google Sans" w:cs="Google Sans" w:eastAsia="Google Sans" w:hAnsi="Google Sans"/>
          <w:color w:val="1f1f1f"/>
          <w:rtl w:val="0"/>
        </w:rPr>
        <w:t xml:space="preserve"> Slightly lower than the initial margin, this represents the minimum equity required to carry a position across multiple trading sessions without triggering a liquidation event.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If an account balance falls below this threshold, the trader receives a margin call and must deposit additional funds or face algorithmic liquidation.</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Intraday Margin:</w:t>
      </w:r>
      <w:r w:rsidDel="00000000" w:rsidR="00000000" w:rsidRPr="00000000">
        <w:rPr>
          <w:rFonts w:ascii="Google Sans" w:cs="Google Sans" w:eastAsia="Google Sans" w:hAnsi="Google Sans"/>
          <w:color w:val="1f1f1f"/>
          <w:rtl w:val="0"/>
        </w:rPr>
        <w:t xml:space="preserve"> Dictated entirely by the introducing brokerage rather than the exchange, intraday margin applies only to positions opened and closed within the regular electronic trading session.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Because the broker can rapidly liquidate the position during highly liquid hours, the risk is lower, allowing brokers to offer deeply discounted margins.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highly liquid contracts like the MNQ, retail and proprietary brokers often provide exceptionally aggressive intraday margins to attract order flow. For example, brokerages such as NinjaTrader offer intraday margins as low as </w:t>
      </w:r>
      <w:r w:rsidDel="00000000" w:rsidR="00000000" w:rsidRPr="00000000">
        <w:rPr>
          <w:rFonts w:ascii="Google Sans" w:cs="Google Sans" w:eastAsia="Google Sans" w:hAnsi="Google Sans"/>
          <w:color w:val="1f1f1f"/>
        </w:rPr>
        <w:drawing>
          <wp:inline distB="19050" distT="19050" distL="19050" distR="19050">
            <wp:extent cx="276672" cy="219429"/>
            <wp:effectExtent b="0" l="0" r="0" t="0"/>
            <wp:docPr id="67"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276672" cy="2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MNQ contract.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However, this hyper-leverage is a double-edged sword. While it allows a trader with a </w:t>
      </w:r>
      <w:r w:rsidDel="00000000" w:rsidR="00000000" w:rsidRPr="00000000">
        <w:rPr>
          <w:rFonts w:ascii="Google Sans" w:cs="Google Sans" w:eastAsia="Google Sans" w:hAnsi="Google Sans"/>
          <w:color w:val="1f1f1f"/>
        </w:rPr>
        <w:drawing>
          <wp:inline distB="19050" distT="19050" distL="19050" distR="19050">
            <wp:extent cx="543148" cy="219165"/>
            <wp:effectExtent b="0" l="0" r="0" t="0"/>
            <wp:docPr id="68"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43148" cy="2191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account to theoretically control a massive amount of notional value, it equally accelerates the probability of account ruin if risk management is ignored.</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Brokers implement strict algorithmic safeguards to protect themselves during known high-volatility events. For instance, fifteen minutes prior to the release of tier-one macroeconomic data (e.g., Consumer Price Index reports, Federal Open Market Committee rate decisions, Non-Farm Payrolls), brokers will systematically increase intraday margin requirements by a factor of 4x (e.g., from </w:t>
      </w:r>
      <w:r w:rsidDel="00000000" w:rsidR="00000000" w:rsidRPr="00000000">
        <w:rPr>
          <w:rFonts w:ascii="Google Sans" w:cs="Google Sans" w:eastAsia="Google Sans" w:hAnsi="Google Sans"/>
          <w:color w:val="1f1f1f"/>
        </w:rPr>
        <w:drawing>
          <wp:inline distB="19050" distT="19050" distL="19050" distR="19050">
            <wp:extent cx="276672" cy="219429"/>
            <wp:effectExtent b="0" l="0" r="0" t="0"/>
            <wp:docPr id="69"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276672" cy="2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68871" cy="217539"/>
            <wp:effectExtent b="0" l="0" r="0" t="0"/>
            <wp:docPr id="70"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368871" cy="2175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contract).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temporarily elevated requirement remains in place for several minutes following the announcement until the algorithmic matching engines determine that the immediate liquidity shock has subsided and the spread has normalized.</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Volatility and Trading Session Regimes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analysis of intraday volume profiles across the Nasdaq-100 futures market reveals distinct, highly predictable liquidity regimes throughout the 24-hour cycle. Institutional participation—or the lack thereof—dictates these regimes, requiring the quantitative day trader to adapt their mathematical expectancy models to the prevailing time-of-day.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 strategy that yields a massive positive expectancy during the morning session may mathematically bleed capital during the midday lull.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Trading Session / Regime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Time Window (ET)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Characteristics and Algorithmic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Overnight / Globex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 PM – 8:30 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Thinner liquidity. Driven by Asian and European market opens and overnight macroeconomic data. Spreads may widen.</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Pre-Market 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 AM – 9:30 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Increasing volume as European markets overlap. Highly sensitive to pre-market earnings releases and 8:30 AM US economic data.</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US Open / Morning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9:30 AM – 11:30 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Maximum intraday volatility and volume. Optimal window for breakout, momentum, and high-velocity trend-following mathematical models.</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Midday Doldrums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11:30 AM – 2:00 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Volume severely contracts as European markets close and US institutional execution desks pause. Trend models typically fail; mean-reversion models perform best.</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Power Hour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 PM – 4:00 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Massive resurgence in volume. Driven by institutional portfolio rebalancing, overnight hedging, and Market-on-Close (MOC) algorithmic orders.</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 Open represents the digestion of overnight news into active pricing. Gap closures, initial balances, and primary daily trends are forged during this critical two-hour window.</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Conversely, trading breakout strategies during the Midday Doldrums represents a statistical error; the lack of institutional sponsorship means that breakouts are rarely sustained, leading to algorithmic "head-fakes" that stop out retail participants.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Power Hour serves as the final institutional positioning before the closing bell, often resulting in unidirectional, high-momentum moves that can be captured by trailing volatility stops.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Pre-Market Analytics and The Nasdaq-100 Constitution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Success in the day trading arena is absolutely predicated on intense, systematic preparation before the opening bell. A rigorous pre-market routine ensures that the trader is reacting to statistical edge and mapped probabilities rather than emotional impulse.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Pre-Market Analytical Checklist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Pre-market trading in US equities and index futures runs from 4:00 AM to 9:30 AM ET.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During this time, price action is driven by thin liquidity and high sensitivity to explicit catalysts such as corporate earnings reports, geopolitical developments, and early macroeconomic data releases.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Because the order book is thin, the bid-ask spread widens considerably, and the risk of execution slippage increases dramatically.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systematic pre-market checklist must mathematically quantify risk and structural levels before 9:30 AM ET. This process removes ambiguity from the trading session.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Focus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Logic and Parameters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Catalyst Identification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Macro and Micro News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Identify specific times for economic releases (e.g., 8:30 AM ET). Confirm overnight earnings surprises that dictate broad market sentiment.</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Liquidity Assessment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Volume and Spread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Analyze pre-market volume relative to moving averages. Confirm the bid-ask spread is tight enough to prevent immediate systemic slippage.</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Mapping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Key Price Levels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Map the overnight high, overnight low, the previous day's closing price, and pre-market VWAP. These act as algorithmic magnets.</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Parameterization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 Limits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Define maximum acceptable monetary loss for the session (e.g., 1% to 2% of equity). Ensure limits or stop-limit orders are used rather than market orders to protect against illiquidity.</w:t>
            </w:r>
            <w:r w:rsidDel="00000000" w:rsidR="00000000" w:rsidRPr="00000000">
              <w:rPr>
                <w:rFonts w:ascii="Google Sans" w:cs="Google Sans" w:eastAsia="Google Sans" w:hAnsi="Google Sans"/>
                <w:color w:val="444746"/>
                <w:sz w:val="24"/>
                <w:szCs w:val="24"/>
                <w:vertAlign w:val="superscript"/>
                <w:rtl w:val="0"/>
              </w:rPr>
              <w:t xml:space="preserve">28</w:t>
            </w:r>
          </w:p>
        </w:tc>
      </w:tr>
    </w:tbl>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Nasdaq-100 Dependencies and the Mega-Cap Skew</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trade the MNQ effectively, one must understand the exact constitution of the index it tracks. The Nasdaq-100 Index is a modified market-capitalization-weighted index.</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Consequently, it exhibits severe right-tail skewness, meaning a small cluster of mega-cap technology companies exert profoundly disproportionate influence over the entire index's valuation.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equal-weighted portfolio of just three corporations—such as Nvidia (NVDA), Apple (AAPL), and Microsoft (MSFT)—can historically demonstrate a mathematical correlation ranging from 0.84 to 0.99 with the broader Nasdaq-100.</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These mega-cap entities effectively drive nearly a quarter of the index's total point movements.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Therefore, a sophisticated MNQ trader cannot analyze the futures chart in isolation. They must simultaneously monitor the pre-market order flow, structural support levels, options positioning, and underlying beta of these specific mega-cap components to accurately forecast the directional velocity of the MNQ.</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If AAPL and MSFT are facing heavy institutional distribution, longing the MNQ breakout relies on a mathematically flawed premise, as the index's heavyweights will actively drag the pricing average downward.</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Intraday Market Internals and Divergence Mathematics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Market internals provide a real-time mathematical X-ray of the broad equity market, allowing quantitative traders to distinguish between genuine, well-sponsored trends and algorithmic head-fakes. Unlike lagging technical indicators (like moving averages) that are merely derivatives of past price, internals measure the underlying breadth, depth, and aggression of market participants directly from aggregate exchange data.</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Tick Index ($TICK)</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$TICK index is an immediate, high-frequency barometer of buying versus selling pressure on the exchange. It calculates the net number of stocks currently trading on an uptick minus the number of stocks trading on a downtick at any given microsecond.</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324965"/>
            <wp:effectExtent b="0" l="0" r="0" t="0"/>
            <wp:docPr id="71" name="image63.png"/>
            <a:graphic>
              <a:graphicData uri="http://schemas.openxmlformats.org/drawingml/2006/picture">
                <pic:pic>
                  <pic:nvPicPr>
                    <pic:cNvPr id="0" name="image63.png"/>
                    <pic:cNvPicPr preferRelativeResize="0"/>
                  </pic:nvPicPr>
                  <pic:blipFill>
                    <a:blip r:embed="rId23"/>
                    <a:srcRect b="0" l="0" r="0" t="0"/>
                    <a:stretch>
                      <a:fillRect/>
                    </a:stretch>
                  </pic:blipFill>
                  <pic:spPr>
                    <a:xfrm>
                      <a:off x="0" y="0"/>
                      <a:ext cx="5905500" cy="32496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day traders, the $TICK acts as a short-term psychological thermometer and a measure of algorithmic liquidity.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Because the NYSE and Nasdaq contain thousands of issues, readings above </w:t>
      </w:r>
      <w:r w:rsidDel="00000000" w:rsidR="00000000" w:rsidRPr="00000000">
        <w:rPr>
          <w:rFonts w:ascii="Google Sans" w:cs="Google Sans" w:eastAsia="Google Sans" w:hAnsi="Google Sans"/>
          <w:color w:val="1f1f1f"/>
        </w:rPr>
        <w:drawing>
          <wp:inline distB="19050" distT="19050" distL="19050" distR="19050">
            <wp:extent cx="512341" cy="218219"/>
            <wp:effectExtent b="0" l="0" r="0" t="0"/>
            <wp:docPr id="72" name="image62.png"/>
            <a:graphic>
              <a:graphicData uri="http://schemas.openxmlformats.org/drawingml/2006/picture">
                <pic:pic>
                  <pic:nvPicPr>
                    <pic:cNvPr id="0" name="image62.png"/>
                    <pic:cNvPicPr preferRelativeResize="0"/>
                  </pic:nvPicPr>
                  <pic:blipFill>
                    <a:blip r:embed="rId24"/>
                    <a:srcRect b="0" l="0" r="0" t="0"/>
                    <a:stretch>
                      <a:fillRect/>
                    </a:stretch>
                  </pic:blipFill>
                  <pic:spPr>
                    <a:xfrm>
                      <a:off x="0" y="0"/>
                      <a:ext cx="512341"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 extreme, highly aggressive buying where participants are sweeping the ask across the entire market.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Historically, these </w:t>
      </w:r>
      <w:r w:rsidDel="00000000" w:rsidR="00000000" w:rsidRPr="00000000">
        <w:rPr>
          <w:rFonts w:ascii="Google Sans" w:cs="Google Sans" w:eastAsia="Google Sans" w:hAnsi="Google Sans"/>
          <w:color w:val="1f1f1f"/>
        </w:rPr>
        <w:drawing>
          <wp:inline distB="19050" distT="19050" distL="19050" distR="19050">
            <wp:extent cx="512341" cy="218219"/>
            <wp:effectExtent b="0" l="0" r="0" t="0"/>
            <wp:docPr id="73" name="image62.png"/>
            <a:graphic>
              <a:graphicData uri="http://schemas.openxmlformats.org/drawingml/2006/picture">
                <pic:pic>
                  <pic:nvPicPr>
                    <pic:cNvPr id="0" name="image62.png"/>
                    <pic:cNvPicPr preferRelativeResize="0"/>
                  </pic:nvPicPr>
                  <pic:blipFill>
                    <a:blip r:embed="rId24"/>
                    <a:srcRect b="0" l="0" r="0" t="0"/>
                    <a:stretch>
                      <a:fillRect/>
                    </a:stretch>
                  </pic:blipFill>
                  <pic:spPr>
                    <a:xfrm>
                      <a:off x="0" y="0"/>
                      <a:ext cx="512341"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readings often mark short-term exhaustion tops intraday. Conversely, readings below </w:t>
      </w:r>
      <w:r w:rsidDel="00000000" w:rsidR="00000000" w:rsidRPr="00000000">
        <w:rPr>
          <w:rFonts w:ascii="Google Sans" w:cs="Google Sans" w:eastAsia="Google Sans" w:hAnsi="Google Sans"/>
          <w:color w:val="1f1f1f"/>
        </w:rPr>
        <w:drawing>
          <wp:inline distB="19050" distT="19050" distL="19050" distR="19050">
            <wp:extent cx="512341" cy="218219"/>
            <wp:effectExtent b="0" l="0" r="0" t="0"/>
            <wp:docPr id="74" name="image64.png"/>
            <a:graphic>
              <a:graphicData uri="http://schemas.openxmlformats.org/drawingml/2006/picture">
                <pic:pic>
                  <pic:nvPicPr>
                    <pic:cNvPr id="0" name="image64.png"/>
                    <pic:cNvPicPr preferRelativeResize="0"/>
                  </pic:nvPicPr>
                  <pic:blipFill>
                    <a:blip r:embed="rId25"/>
                    <a:srcRect b="0" l="0" r="0" t="0"/>
                    <a:stretch>
                      <a:fillRect/>
                    </a:stretch>
                  </pic:blipFill>
                  <pic:spPr>
                    <a:xfrm>
                      <a:off x="0" y="0"/>
                      <a:ext cx="512341"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suggest algorithmic capitulation and indiscriminate selling.</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Divergences are mathematically critical in this context. If the MNQ pushes to a new higher high in price, but the $TICK indicator makes a lower high, it signals a severe lack of broad market participation in the move.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mathematical probability of a trend failure and subsequent reversal increases dramatically when price is unsupported by the $TICK.</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Advance-Decline Line ($ADD) and Volume Spread ($VOLSPD)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$TICK measures immediate transaction momentum, the $ADD measures the broader session trend by calculating the net difference between advancing issues and declining issues.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If the $ADD remains steadily positive and rising, short-selling the MNQ carries a negative statistical expectancy, regardless of localized overbought technical readings on the futures chart.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Volume Spread Difference ($VOLSPD or $UVOL-$DVOL) calculates the total volume flowing into advancing stocks minus the volume flowing into declining stocks.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By applying a 50-period moving average to the $VOLSPD on an intraday chart, a trader can precisely quantify the broad institutional trend.</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If the smoothed volume metric is strictly above the zero line and expanding, institutional accumulation is mathematically validated, and the trader should exclusively seek long setups.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CBOE NASDAQ Volatility Index (VXN)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VXN is the Nasdaq-specific equivalent of the VIX, tracking the 30-day implied volatility of the Nasdaq-100 derived directly from the pricing of near-term index options.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Operating on an inverse correlation paradigm, a rising VXN indicates expanding fear, higher options premiums, and an imminent expansion of average true ranges in the MNQ.</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day traders, the VXN serves as an essential risk-management toggle switch. When the VXN spikes 5% above its 10-day moving average, it mathematically confirms a high-volatility regime.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In this environment, traders must systematically widen their stop losses to avoid being prematurely stopped out by standard market noise, and correspondingly reduce their contract size to maintain a constant risk profile.</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Strategy Framework 1: The Opening Range Breakout (ORB)</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Opening Range Breakout (ORB) capitalizes on the massive influx of institutional liquidity and price discovery that floods the market at the 9:30 AM ET cash open. The strategy is entirely predicated on the statistical tendency for the market to establish either the absolute high or the absolute low for the session within the first 30 to 60 minutes of trading, followed by a sustained directional expansion.</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Definition and Algorithmic Implementation:</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Define the Range Architecture:</w:t>
      </w:r>
      <w:r w:rsidDel="00000000" w:rsidR="00000000" w:rsidRPr="00000000">
        <w:rPr>
          <w:rFonts w:ascii="Google Sans" w:cs="Google Sans" w:eastAsia="Google Sans" w:hAnsi="Google Sans"/>
          <w:color w:val="1f1f1f"/>
          <w:rtl w:val="0"/>
        </w:rPr>
        <w:t xml:space="preserve"> The trader objectively identifies the absolute high (</w:t>
      </w:r>
      <w:r w:rsidDel="00000000" w:rsidR="00000000" w:rsidRPr="00000000">
        <w:rPr>
          <w:rFonts w:ascii="Google Sans" w:cs="Google Sans" w:eastAsia="Google Sans" w:hAnsi="Google Sans"/>
          <w:color w:val="1f1f1f"/>
        </w:rPr>
        <w:drawing>
          <wp:inline distB="19050" distT="19050" distL="19050" distR="19050">
            <wp:extent cx="359866" cy="227284"/>
            <wp:effectExtent b="0" l="0" r="0" t="0"/>
            <wp:docPr id="75"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359866" cy="2272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absolute low (</w:t>
      </w:r>
      <w:r w:rsidDel="00000000" w:rsidR="00000000" w:rsidRPr="00000000">
        <w:rPr>
          <w:rFonts w:ascii="Google Sans" w:cs="Google Sans" w:eastAsia="Google Sans" w:hAnsi="Google Sans"/>
          <w:color w:val="1f1f1f"/>
        </w:rPr>
        <w:drawing>
          <wp:inline distB="19050" distT="19050" distL="19050" distR="19050">
            <wp:extent cx="332184" cy="227784"/>
            <wp:effectExtent b="0" l="0" r="0" t="0"/>
            <wp:docPr id="76"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332184" cy="2277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established during a specific, pre-determined time window (e.g., 9:30 AM to 9:45 AM, or 9:30 AM to 10:00 AM).</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Range Width Filter:</w:t>
      </w:r>
      <w:r w:rsidDel="00000000" w:rsidR="00000000" w:rsidRPr="00000000">
        <w:rPr>
          <w:rFonts w:ascii="Google Sans" w:cs="Google Sans" w:eastAsia="Google Sans" w:hAnsi="Google Sans"/>
          <w:color w:val="1f1f1f"/>
          <w:rtl w:val="0"/>
        </w:rPr>
        <w:t xml:space="preserve"> The absolute width of the opening range (</w:t>
      </w:r>
      <w:r w:rsidDel="00000000" w:rsidR="00000000" w:rsidRPr="00000000">
        <w:rPr>
          <w:rFonts w:ascii="Google Sans" w:cs="Google Sans" w:eastAsia="Google Sans" w:hAnsi="Google Sans"/>
          <w:color w:val="1f1f1f"/>
        </w:rPr>
        <w:drawing>
          <wp:inline distB="19050" distT="19050" distL="19050" distR="19050">
            <wp:extent cx="1543945" cy="228733"/>
            <wp:effectExtent b="0" l="0" r="0" t="0"/>
            <wp:docPr id="13"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1543945" cy="2287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measured. If the range is historically anomalous—for example, excessively wide due to a massive macroeconomic gap or a massive overnight news event—the mathematical expectancy of a sustained intraday breakout diminishes significantly.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In such cases, the trade is bypassed to avoid outsized risk.</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Breakout Trigger and Volume Confirmation:</w:t>
      </w:r>
      <w:r w:rsidDel="00000000" w:rsidR="00000000" w:rsidRPr="00000000">
        <w:rPr>
          <w:rFonts w:ascii="Google Sans" w:cs="Google Sans" w:eastAsia="Google Sans" w:hAnsi="Google Sans"/>
          <w:color w:val="1f1f1f"/>
          <w:rtl w:val="0"/>
        </w:rPr>
        <w:t xml:space="preserve"> A long entry is mechanically triggered if a full candlestick (typically 1-minute or 5-minute) closes above </w:t>
      </w:r>
      <w:r w:rsidDel="00000000" w:rsidR="00000000" w:rsidRPr="00000000">
        <w:rPr>
          <w:rFonts w:ascii="Google Sans" w:cs="Google Sans" w:eastAsia="Google Sans" w:hAnsi="Google Sans"/>
          <w:color w:val="1f1f1f"/>
        </w:rPr>
        <w:drawing>
          <wp:inline distB="19050" distT="19050" distL="19050" distR="19050">
            <wp:extent cx="359866" cy="227284"/>
            <wp:effectExtent b="0" l="0" r="0" t="0"/>
            <wp:docPr id="14"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359866" cy="2272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a concurrent expansion in relative volume (e.g., volume is </w:t>
      </w:r>
      <w:r w:rsidDel="00000000" w:rsidR="00000000" w:rsidRPr="00000000">
        <w:rPr>
          <w:rFonts w:ascii="Google Sans" w:cs="Google Sans" w:eastAsia="Google Sans" w:hAnsi="Google Sans"/>
          <w:color w:val="1f1f1f"/>
        </w:rPr>
        <w:drawing>
          <wp:inline distB="19050" distT="19050" distL="19050" distR="19050">
            <wp:extent cx="666080" cy="218855"/>
            <wp:effectExtent b="0" l="0" r="0" t="0"/>
            <wp:docPr id="15"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666080" cy="2188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average opening volume).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Conversely, a short position is triggered upon a definitive close below </w:t>
      </w:r>
      <w:r w:rsidDel="00000000" w:rsidR="00000000" w:rsidRPr="00000000">
        <w:rPr>
          <w:rFonts w:ascii="Google Sans" w:cs="Google Sans" w:eastAsia="Google Sans" w:hAnsi="Google Sans"/>
          <w:color w:val="1f1f1f"/>
        </w:rPr>
        <w:drawing>
          <wp:inline distB="19050" distT="19050" distL="19050" distR="19050">
            <wp:extent cx="332184" cy="227784"/>
            <wp:effectExtent b="0" l="0" r="0" t="0"/>
            <wp:docPr id="16"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332184" cy="2277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Target and Stop Logic:</w:t>
      </w:r>
      <w:r w:rsidDel="00000000" w:rsidR="00000000" w:rsidRPr="00000000">
        <w:rPr>
          <w:rFonts w:ascii="Google Sans" w:cs="Google Sans" w:eastAsia="Google Sans" w:hAnsi="Google Sans"/>
          <w:color w:val="1f1f1f"/>
          <w:rtl w:val="0"/>
        </w:rPr>
        <w:t xml:space="preserve"> The stop loss is placed strictly inside the opening range, often exactly at the midpoint (</w:t>
      </w:r>
      <w:r w:rsidDel="00000000" w:rsidR="00000000" w:rsidRPr="00000000">
        <w:rPr>
          <w:rFonts w:ascii="Google Sans" w:cs="Google Sans" w:eastAsia="Google Sans" w:hAnsi="Google Sans"/>
          <w:color w:val="1f1f1f"/>
        </w:rPr>
        <w:drawing>
          <wp:inline distB="19050" distT="19050" distL="19050" distR="19050">
            <wp:extent cx="640259" cy="229347"/>
            <wp:effectExtent b="0" l="0" r="0" t="0"/>
            <wp:docPr id="17"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640259" cy="229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slightly below the breakout line to prevent catastrophic losses from a "Failed ORB" head-fake.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Profit targets are dynamically calculated using fractional multiples of the Opening Range width (</w:t>
      </w:r>
      <w:r w:rsidDel="00000000" w:rsidR="00000000" w:rsidRPr="00000000">
        <w:rPr>
          <w:rFonts w:ascii="Google Sans" w:cs="Google Sans" w:eastAsia="Google Sans" w:hAnsi="Google Sans"/>
          <w:color w:val="1f1f1f"/>
        </w:rPr>
        <w:drawing>
          <wp:inline distB="19050" distT="19050" distL="19050" distR="19050">
            <wp:extent cx="380703" cy="228422"/>
            <wp:effectExtent b="0" l="0" r="0" t="0"/>
            <wp:docPr id="18"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380703" cy="2284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Statistical backtesting on large sample sizes of index futures indicates that the market reaches a </w:t>
      </w:r>
      <w:r w:rsidDel="00000000" w:rsidR="00000000" w:rsidRPr="00000000">
        <w:rPr>
          <w:rFonts w:ascii="Google Sans" w:cs="Google Sans" w:eastAsia="Google Sans" w:hAnsi="Google Sans"/>
          <w:color w:val="1f1f1f"/>
        </w:rPr>
        <w:drawing>
          <wp:inline distB="19050" distT="19050" distL="19050" distR="19050">
            <wp:extent cx="379140" cy="218005"/>
            <wp:effectExtent b="0" l="0" r="0" t="0"/>
            <wp:docPr id="19"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379140" cy="218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topside multiple of the opening range approximately 72% of the time, while it reaches a downside </w:t>
      </w:r>
      <w:r w:rsidDel="00000000" w:rsidR="00000000" w:rsidRPr="00000000">
        <w:rPr>
          <w:rFonts w:ascii="Google Sans" w:cs="Google Sans" w:eastAsia="Google Sans" w:hAnsi="Google Sans"/>
          <w:color w:val="1f1f1f"/>
        </w:rPr>
        <w:drawing>
          <wp:inline distB="19050" distT="19050" distL="19050" distR="19050">
            <wp:extent cx="522610" cy="218546"/>
            <wp:effectExtent b="0" l="0" r="0" t="0"/>
            <wp:docPr id="20"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22610" cy="2185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multiple 68% of the time.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Extensions beyond a </w:t>
      </w:r>
      <w:r w:rsidDel="00000000" w:rsidR="00000000" w:rsidRPr="00000000">
        <w:rPr>
          <w:rFonts w:ascii="Google Sans" w:cs="Google Sans" w:eastAsia="Google Sans" w:hAnsi="Google Sans"/>
          <w:color w:val="1f1f1f"/>
        </w:rPr>
        <w:drawing>
          <wp:inline distB="19050" distT="19050" distL="19050" distR="19050">
            <wp:extent cx="379140" cy="218005"/>
            <wp:effectExtent b="0" l="0" r="0" t="0"/>
            <wp:docPr id="21"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379140" cy="218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multiple occur less than 20% of the time, establishing a clear mathematical boundary for maximum profit targets and trailing stop execution.</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Strategy Framework 2: Volume-Weighted Average Price (VWAP)</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Volume-Weighted Average Price (VWAP) is the definitive, indispensable benchmark used by institutional execution algorithms to accumulate or distribute large blocks of futures contracts without causing profound market impact or adverse selection.</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It represents the literal "institutional fair value" of the asset at any given moment during the trading session.</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Because the MNQ heavily tracks institutional participation in mega-cap equities, VWAP acts as a highly dynamic, gravitational mean-reversion line.</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VWAP Formula and Derivation: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VWAP is a cumulative calculation that anchors to the cash open and resets at the beginning of each new trading day. It calculates the exact ratio of the total dollar value traded to the total volume traded across all transactions: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0859"/>
            <wp:effectExtent b="0" l="0" r="0" t="0"/>
            <wp:docPr id="22"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905500" cy="460859"/>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Where the Typical Price is defined 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368896" cy="237841"/>
            <wp:effectExtent b="0" l="0" r="0" t="0"/>
            <wp:docPr id="1"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2368896" cy="2378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Institutional Trading Logic:</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simple moving averages (SMAs), which weight all historical data points equally by time regardless of how many shares changed hands, VWAP anchors itself directly to capital commitment.</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Macro Trend Delineation:</w:t>
      </w:r>
      <w:r w:rsidDel="00000000" w:rsidR="00000000" w:rsidRPr="00000000">
        <w:rPr>
          <w:rFonts w:ascii="Google Sans" w:cs="Google Sans" w:eastAsia="Google Sans" w:hAnsi="Google Sans"/>
          <w:color w:val="1f1f1f"/>
          <w:rtl w:val="0"/>
        </w:rPr>
        <w:t xml:space="preserve"> If the MNQ trades consistently above the VWAP line, the session is mathematically categorized as dominated by bullish institutional accumulation.</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Initiating short positions in this environment possesses a severely negative statistical expectancy, as retail traders would be fighting the aggregate weighted capital of the market.</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Mean Reversion and Pullback Entries:</w:t>
      </w:r>
      <w:r w:rsidDel="00000000" w:rsidR="00000000" w:rsidRPr="00000000">
        <w:rPr>
          <w:rFonts w:ascii="Google Sans" w:cs="Google Sans" w:eastAsia="Google Sans" w:hAnsi="Google Sans"/>
          <w:color w:val="1f1f1f"/>
          <w:rtl w:val="0"/>
        </w:rPr>
        <w:t xml:space="preserve"> Because institutional algorithms (such as TWAP and VWAP-pegged implementation shortfall algos) are mandated by their clients to execute orders near the VWAP to achieve optimal average pricing, pullbacks to the VWAP line during a confirmed trend act as profound dynamic support.</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Professional traders execute long positions as price retraces down to VWAP, placing tight volatility stops just below the VWAP line, utilizing the indicator as a low-risk, highly asymmetrical entry point.</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Strategy Framework 3: Momentum Confluence via EMA, MACD, and RSI</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robust, mechanical intraday strategy relies on the confluence of three distinct mathematical derivatives of price: the Exponential Moving Average (EMA), the Moving Average Convergence Divergence (MACD), and the Relative Strength Index (RSI).</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This triple-confirmation system is designed to filter out market noise and capture sustained intraday momentum.</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Exponential Moving Average (EMA) Crossovers:</w:t>
      </w:r>
      <w:r w:rsidDel="00000000" w:rsidR="00000000" w:rsidRPr="00000000">
        <w:rPr>
          <w:rFonts w:ascii="Google Sans" w:cs="Google Sans" w:eastAsia="Google Sans" w:hAnsi="Google Sans"/>
          <w:color w:val="1f1f1f"/>
          <w:rtl w:val="0"/>
        </w:rPr>
        <w:t xml:space="preserve"> The EMA places greater mathematical weight on the most recent price data, drastically reducing the lag associated with Simple Moving Averages. A standard short-term momentum configuration utilizes the 9-period and 21-period EMAs. A bullish structural shift is generated when the 9-period EMA crosses above the 21-period EMA, signifying that short-term momentum is outpacing intermediate-term momentum.</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MACD Confirmation:</w:t>
      </w:r>
      <w:r w:rsidDel="00000000" w:rsidR="00000000" w:rsidRPr="00000000">
        <w:rPr>
          <w:rFonts w:ascii="Google Sans" w:cs="Google Sans" w:eastAsia="Google Sans" w:hAnsi="Google Sans"/>
          <w:color w:val="1f1f1f"/>
          <w:rtl w:val="0"/>
        </w:rPr>
        <w:t xml:space="preserve"> The MACD is calculated by subtracting the 26-period EMA from the 12-period EMA, with a 9-period EMA of the MACD serving as the "Signal Line".</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A valid trend-following entry requires the MACD histogram to display directional expansion and the MACD line to cross its signal line, mathematically confirming the shorter-term 9/21 EMA crossover.</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Relative Strength Index (RSI) Optimization:</w:t>
      </w:r>
      <w:r w:rsidDel="00000000" w:rsidR="00000000" w:rsidRPr="00000000">
        <w:rPr>
          <w:rFonts w:ascii="Google Sans" w:cs="Google Sans" w:eastAsia="Google Sans" w:hAnsi="Google Sans"/>
          <w:color w:val="1f1f1f"/>
          <w:rtl w:val="0"/>
        </w:rPr>
        <w:t xml:space="preserve"> The RSI measures the velocity and magnitude of directional price movements on a bounded oscillator scale of 0 to 100.</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25852"/>
            <wp:effectExtent b="0" l="0" r="0" t="0"/>
            <wp:docPr id="2"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5905500" cy="52585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triple-confluence strategy, the RSI is absolutely not used to catch falling knives (e.g., blindly buying oversold dips). Instead, it is utilized to systematically manage exits.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If an MNQ long position is initiated via an EMA crossover and confirmed by MACD expansion, the trader will mathematically scale out of contracts or take total profit when the RSI breaches the overbought threshold (typically </w:t>
      </w:r>
      <w:r w:rsidDel="00000000" w:rsidR="00000000" w:rsidRPr="00000000">
        <w:rPr>
          <w:rFonts w:ascii="Google Sans" w:cs="Google Sans" w:eastAsia="Google Sans" w:hAnsi="Google Sans"/>
          <w:color w:val="1f1f1f"/>
        </w:rPr>
        <w:drawing>
          <wp:inline distB="19050" distT="19050" distL="19050" distR="19050">
            <wp:extent cx="379140" cy="218005"/>
            <wp:effectExtent b="0" l="0" r="0" t="0"/>
            <wp:docPr id="3"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379140" cy="218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379140" cy="218005"/>
            <wp:effectExtent b="0" l="0" r="0" t="0"/>
            <wp:docPr id="4"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379140" cy="218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signifying near-term mathematical exhaustion and a high probability of mean reversion.</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Strategy Framework 4: Structural Architecture via Pivots and Fibonacci</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Professional futures traders map the market's mathematical architecture entirely before the open using preceding daily, weekly, and monthly data. Pivot points and Fibonacci retracements provide objective, formulaic horizontal levels where institutional order flow clusters, allowing traders to anticipate reactions rather than chase price.</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Pivot Point Mathematics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Pivots utilize the previous day's High (</w:t>
      </w:r>
      <w:r w:rsidDel="00000000" w:rsidR="00000000" w:rsidRPr="00000000">
        <w:rPr>
          <w:rFonts w:ascii="Google Sans" w:cs="Google Sans" w:eastAsia="Google Sans" w:hAnsi="Google Sans"/>
          <w:color w:val="1f1f1f"/>
        </w:rPr>
        <w:drawing>
          <wp:inline distB="19050" distT="19050" distL="19050" distR="19050">
            <wp:extent cx="168251" cy="224334"/>
            <wp:effectExtent b="0" l="0" r="0" t="0"/>
            <wp:docPr id="5"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168251" cy="2243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Low (</w:t>
      </w: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6"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Close (</w:t>
      </w:r>
      <w:r w:rsidDel="00000000" w:rsidR="00000000" w:rsidRPr="00000000">
        <w:rPr>
          <w:rFonts w:ascii="Google Sans" w:cs="Google Sans" w:eastAsia="Google Sans" w:hAnsi="Google Sans"/>
          <w:color w:val="1f1f1f"/>
        </w:rPr>
        <w:drawing>
          <wp:inline distB="19050" distT="19050" distL="19050" distR="19050">
            <wp:extent cx="145033" cy="232053"/>
            <wp:effectExtent b="0" l="0" r="0" t="0"/>
            <wp:docPr id="7"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145033" cy="2320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mathematically project support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8"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resistance (</w:t>
      </w:r>
      <w:r w:rsidDel="00000000" w:rsidR="00000000" w:rsidRPr="00000000">
        <w:rPr>
          <w:rFonts w:ascii="Google Sans" w:cs="Google Sans" w:eastAsia="Google Sans" w:hAnsi="Google Sans"/>
          <w:color w:val="1f1f1f"/>
        </w:rPr>
        <w:drawing>
          <wp:inline distB="19050" distT="19050" distL="19050" distR="19050">
            <wp:extent cx="141387" cy="226220"/>
            <wp:effectExtent b="0" l="0" r="0" t="0"/>
            <wp:docPr id="9"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141387" cy="22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levels for the current trading day.</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Depending on the specific market regime (e.g., trending vs. range-bound), different pivot formulas yield superior statistical hit rates.</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Pivot Methodology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Central Pivot (PP) / Base Formula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Resistance (R1)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Support (S1)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Algorithmic Application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 / Classic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927944" cy="210461"/>
                  <wp:effectExtent b="0" l="0" r="0" t="0"/>
                  <wp:docPr id="10"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927944" cy="21046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359694" cy="209184"/>
                  <wp:effectExtent b="0" l="0" r="0" t="0"/>
                  <wp:docPr id="35" name="image35.png"/>
                  <a:graphic>
                    <a:graphicData uri="http://schemas.openxmlformats.org/drawingml/2006/picture">
                      <pic:pic>
                        <pic:nvPicPr>
                          <pic:cNvPr id="0" name="image35.png"/>
                          <pic:cNvPicPr preferRelativeResize="0"/>
                        </pic:nvPicPr>
                        <pic:blipFill>
                          <a:blip r:embed="rId46"/>
                          <a:srcRect b="0" l="0" r="0" t="0"/>
                          <a:stretch>
                            <a:fillRect/>
                          </a:stretch>
                        </pic:blipFill>
                        <pic:spPr>
                          <a:xfrm>
                            <a:off x="0" y="0"/>
                            <a:ext cx="1359694" cy="20918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381496" cy="209606"/>
                  <wp:effectExtent b="0" l="0" r="0" t="0"/>
                  <wp:docPr id="36" name="image47.png"/>
                  <a:graphic>
                    <a:graphicData uri="http://schemas.openxmlformats.org/drawingml/2006/picture">
                      <pic:pic>
                        <pic:nvPicPr>
                          <pic:cNvPr id="0" name="image47.png"/>
                          <pic:cNvPicPr preferRelativeResize="0"/>
                        </pic:nvPicPr>
                        <pic:blipFill>
                          <a:blip r:embed="rId47"/>
                          <a:srcRect b="0" l="0" r="0" t="0"/>
                          <a:stretch>
                            <a:fillRect/>
                          </a:stretch>
                        </pic:blipFill>
                        <pic:spPr>
                          <a:xfrm>
                            <a:off x="0" y="0"/>
                            <a:ext cx="1381496" cy="2096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Ideal for broad, macroeconomic trend mapping and general structural support.</w:t>
            </w:r>
            <w:r w:rsidDel="00000000" w:rsidR="00000000" w:rsidRPr="00000000">
              <w:rPr>
                <w:rFonts w:ascii="Google Sans" w:cs="Google Sans" w:eastAsia="Google Sans" w:hAnsi="Google Sans"/>
                <w:color w:val="444746"/>
                <w:sz w:val="24"/>
                <w:szCs w:val="24"/>
                <w:vertAlign w:val="superscript"/>
                <w:rtl w:val="0"/>
              </w:rPr>
              <w:t xml:space="preserve">62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Woodie's Pivot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160259" cy="218737"/>
                  <wp:effectExtent b="0" l="0" r="0" t="0"/>
                  <wp:docPr id="37"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1160259" cy="21873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359694" cy="209184"/>
                  <wp:effectExtent b="0" l="0" r="0" t="0"/>
                  <wp:docPr id="38" name="image35.png"/>
                  <a:graphic>
                    <a:graphicData uri="http://schemas.openxmlformats.org/drawingml/2006/picture">
                      <pic:pic>
                        <pic:nvPicPr>
                          <pic:cNvPr id="0" name="image35.png"/>
                          <pic:cNvPicPr preferRelativeResize="0"/>
                        </pic:nvPicPr>
                        <pic:blipFill>
                          <a:blip r:embed="rId46"/>
                          <a:srcRect b="0" l="0" r="0" t="0"/>
                          <a:stretch>
                            <a:fillRect/>
                          </a:stretch>
                        </pic:blipFill>
                        <pic:spPr>
                          <a:xfrm>
                            <a:off x="0" y="0"/>
                            <a:ext cx="1359694" cy="20918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381496" cy="209606"/>
                  <wp:effectExtent b="0" l="0" r="0" t="0"/>
                  <wp:docPr id="39" name="image47.png"/>
                  <a:graphic>
                    <a:graphicData uri="http://schemas.openxmlformats.org/drawingml/2006/picture">
                      <pic:pic>
                        <pic:nvPicPr>
                          <pic:cNvPr id="0" name="image47.png"/>
                          <pic:cNvPicPr preferRelativeResize="0"/>
                        </pic:nvPicPr>
                        <pic:blipFill>
                          <a:blip r:embed="rId47"/>
                          <a:srcRect b="0" l="0" r="0" t="0"/>
                          <a:stretch>
                            <a:fillRect/>
                          </a:stretch>
                        </pic:blipFill>
                        <pic:spPr>
                          <a:xfrm>
                            <a:off x="0" y="0"/>
                            <a:ext cx="1381496" cy="2096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Overweights the closing price, making it highly effective for intraday momentum tracking.</w:t>
            </w:r>
            <w:r w:rsidDel="00000000" w:rsidR="00000000" w:rsidRPr="00000000">
              <w:rPr>
                <w:rFonts w:ascii="Google Sans" w:cs="Google Sans" w:eastAsia="Google Sans" w:hAnsi="Google Sans"/>
                <w:color w:val="444746"/>
                <w:sz w:val="24"/>
                <w:szCs w:val="24"/>
                <w:vertAlign w:val="superscript"/>
                <w:rtl w:val="0"/>
              </w:rPr>
              <w:t xml:space="preserve">62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Camarilla Equation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(No standard central PP used)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Pr>
              <w:drawing>
                <wp:inline distB="19050" distT="19050" distL="19050" distR="19050">
                  <wp:extent cx="1370333" cy="218873"/>
                  <wp:effectExtent b="0" l="0" r="0" t="0"/>
                  <wp:docPr id="40" name="image43.png"/>
                  <a:graphic>
                    <a:graphicData uri="http://schemas.openxmlformats.org/drawingml/2006/picture">
                      <pic:pic>
                        <pic:nvPicPr>
                          <pic:cNvPr id="0" name="image43.png"/>
                          <pic:cNvPicPr preferRelativeResize="0"/>
                        </pic:nvPicPr>
                        <pic:blipFill>
                          <a:blip r:embed="rId49"/>
                          <a:srcRect b="0" l="0" r="0" t="0"/>
                          <a:stretch>
                            <a:fillRect/>
                          </a:stretch>
                        </pic:blipFill>
                        <pic:spPr>
                          <a:xfrm>
                            <a:off x="0" y="0"/>
                            <a:ext cx="1370333" cy="21887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Pr>
              <w:drawing>
                <wp:inline distB="19050" distT="19050" distL="19050" distR="19050">
                  <wp:extent cx="1354855" cy="219448"/>
                  <wp:effectExtent b="0" l="0" r="0" t="0"/>
                  <wp:docPr id="41" name="image37.png"/>
                  <a:graphic>
                    <a:graphicData uri="http://schemas.openxmlformats.org/drawingml/2006/picture">
                      <pic:pic>
                        <pic:nvPicPr>
                          <pic:cNvPr id="0" name="image37.png"/>
                          <pic:cNvPicPr preferRelativeResize="0"/>
                        </pic:nvPicPr>
                        <pic:blipFill>
                          <a:blip r:embed="rId50"/>
                          <a:srcRect b="0" l="0" r="0" t="0"/>
                          <a:stretch>
                            <a:fillRect/>
                          </a:stretch>
                        </pic:blipFill>
                        <pic:spPr>
                          <a:xfrm>
                            <a:off x="0" y="0"/>
                            <a:ext cx="1354855" cy="21944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Generates dense, tightly packed levels. Exceptional for mean-reversion and fading strategies in range-bound markets.</w:t>
            </w:r>
            <w:r w:rsidDel="00000000" w:rsidR="00000000" w:rsidRPr="00000000">
              <w:rPr>
                <w:rFonts w:ascii="Google Sans" w:cs="Google Sans" w:eastAsia="Google Sans" w:hAnsi="Google Sans"/>
                <w:color w:val="444746"/>
                <w:sz w:val="24"/>
                <w:szCs w:val="24"/>
                <w:vertAlign w:val="superscript"/>
                <w:rtl w:val="0"/>
              </w:rPr>
              <w:t xml:space="preserve">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Fibonacci Pivot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927944" cy="210461"/>
                  <wp:effectExtent b="0" l="0" r="0" t="0"/>
                  <wp:docPr id="42"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927944" cy="21046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116407" cy="209734"/>
                  <wp:effectExtent b="0" l="0" r="0" t="0"/>
                  <wp:docPr id="43" name="image39.png"/>
                  <a:graphic>
                    <a:graphicData uri="http://schemas.openxmlformats.org/drawingml/2006/picture">
                      <pic:pic>
                        <pic:nvPicPr>
                          <pic:cNvPr id="0" name="image39.png"/>
                          <pic:cNvPicPr preferRelativeResize="0"/>
                        </pic:nvPicPr>
                        <pic:blipFill>
                          <a:blip r:embed="rId51"/>
                          <a:srcRect b="0" l="0" r="0" t="0"/>
                          <a:stretch>
                            <a:fillRect/>
                          </a:stretch>
                        </pic:blipFill>
                        <pic:spPr>
                          <a:xfrm>
                            <a:off x="0" y="0"/>
                            <a:ext cx="2116407" cy="20973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100929" cy="209142"/>
                  <wp:effectExtent b="0" l="0" r="0" t="0"/>
                  <wp:docPr id="44" name="image44.png"/>
                  <a:graphic>
                    <a:graphicData uri="http://schemas.openxmlformats.org/drawingml/2006/picture">
                      <pic:pic>
                        <pic:nvPicPr>
                          <pic:cNvPr id="0" name="image44.png"/>
                          <pic:cNvPicPr preferRelativeResize="0"/>
                        </pic:nvPicPr>
                        <pic:blipFill>
                          <a:blip r:embed="rId52"/>
                          <a:srcRect b="0" l="0" r="0" t="0"/>
                          <a:stretch>
                            <a:fillRect/>
                          </a:stretch>
                        </pic:blipFill>
                        <pic:spPr>
                          <a:xfrm>
                            <a:off x="0" y="0"/>
                            <a:ext cx="2100929" cy="20914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Fuses classical pivot geometry with natural golden ratios to locate deep structural nodes.</w:t>
            </w:r>
            <w:r w:rsidDel="00000000" w:rsidR="00000000" w:rsidRPr="00000000">
              <w:rPr>
                <w:rFonts w:ascii="Google Sans" w:cs="Google Sans" w:eastAsia="Google Sans" w:hAnsi="Google Sans"/>
                <w:color w:val="444746"/>
                <w:sz w:val="24"/>
                <w:szCs w:val="24"/>
                <w:vertAlign w:val="superscript"/>
                <w:rtl w:val="0"/>
              </w:rPr>
              <w:t xml:space="preserve">62</w:t>
            </w:r>
          </w:p>
        </w:tc>
      </w:tr>
    </w:tbl>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Fibonacci Retracement Logic</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Derived from the mathematical sequence discovered by Leonardo Fibonacci, specific ratios govern natural price pullbacks within established primary trends.</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These are not arbitrary lines; algorithmic execution models are programmed to buy and sell at these exact fractional measurements.</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23.6%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73733" cy="219931"/>
            <wp:effectExtent b="0" l="0" r="0" t="0"/>
            <wp:docPr id="34"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573733" cy="2199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a minor retracement. Bounces at this shallow level signal extreme, runaway momentum and heavy institutional buying pressure.</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38.2%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065609" cy="218830"/>
            <wp:effectExtent b="0" l="0" r="0" t="0"/>
            <wp:docPr id="25" name="image23.png"/>
            <a:graphic>
              <a:graphicData uri="http://schemas.openxmlformats.org/drawingml/2006/picture">
                <pic:pic>
                  <pic:nvPicPr>
                    <pic:cNvPr id="0" name="image23.png"/>
                    <pic:cNvPicPr preferRelativeResize="0"/>
                  </pic:nvPicPr>
                  <pic:blipFill>
                    <a:blip r:embed="rId54"/>
                    <a:srcRect b="0" l="0" r="0" t="0"/>
                    <a:stretch>
                      <a:fillRect/>
                    </a:stretch>
                  </pic:blipFill>
                  <pic:spPr>
                    <a:xfrm>
                      <a:off x="0" y="0"/>
                      <a:ext cx="1065609" cy="2188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moderate pullback, highly reliable for trend continuation in robust, directional markets.</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61.8%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37741" cy="220364"/>
            <wp:effectExtent b="0" l="0" r="0" t="0"/>
            <wp:docPr id="26" name="image27.png"/>
            <a:graphic>
              <a:graphicData uri="http://schemas.openxmlformats.org/drawingml/2006/picture">
                <pic:pic>
                  <pic:nvPicPr>
                    <pic:cNvPr id="0" name="image27.png"/>
                    <pic:cNvPicPr preferRelativeResize="0"/>
                  </pic:nvPicPr>
                  <pic:blipFill>
                    <a:blip r:embed="rId55"/>
                    <a:srcRect b="0" l="0" r="0" t="0"/>
                    <a:stretch>
                      <a:fillRect/>
                    </a:stretch>
                  </pic:blipFill>
                  <pic:spPr>
                    <a:xfrm>
                      <a:off x="0" y="0"/>
                      <a:ext cx="737741" cy="2203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Known as the "Golden Ratio." This represents the deepest acceptable structural retracement. If the MNQ decisively breaches and closes below the 61.8% level, the mathematical probability shifts from a temporary "pullback" to a complete macroeconomic trend reversal, invalidating the original trade thesis.</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Quantitative traders anchor these ratios from a definitive swing low to a subsequent swing high, systematically buying structural bounces at the 38.2% and 61.8% levels with tight stops placed just below the mathematical nodes.</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Cues and Documented Price Action Patterns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mathematical formulas provide the structural basis for a playbook, execution in live markets requires recognizing documented visual cues and distinct price action patterns. These visual elements serve to confirm the quantitative models and prevent traders from entering positions strictly based on isolated numbers.</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VWAP Visual Rejections and Trend Confirmation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VWAP is not just a mathematical line; it is a visual battleground for institutional order flow. When price retraces to the VWAP, traders should not execute blindly. Instead, they look for specific visual candlestick patterns—such as long lower wicks (or shadows) on down-candles touching the VWAP line. This visual cue signifies that sellers attempted to push the price below institutional fair value, but passive buyers completely absorbed the selling pressure, leading to an immediate rejection.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trend confirmation, traders combine the visual location of price relative to the VWAP with other momentum oscillators. If the MNQ trades and holds visibly above the VWAP while the RSI is below 70 (not yet overbought) or the MACD shows a bullish crossover, it generates a high-probability visual signal for a long entry.</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TTM Squeeze Volatility Pattern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TTM Squeeze indicator is a powerful visual tool designed specifically to spot periods of low volatility (consolidation) that precede explosive, directional breakouts.</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"Squeeze On" (Red Dots):</w:t>
      </w:r>
      <w:r w:rsidDel="00000000" w:rsidR="00000000" w:rsidRPr="00000000">
        <w:rPr>
          <w:rFonts w:ascii="Google Sans" w:cs="Google Sans" w:eastAsia="Google Sans" w:hAnsi="Google Sans"/>
          <w:color w:val="1f1f1f"/>
          <w:rtl w:val="0"/>
        </w:rPr>
        <w:t xml:space="preserve"> Visually represented by red dots along the zero line, this indicates that the Bollinger Bands have contracted entirely inside the Keltner Channels. The market is coiling, and liquidity is building.</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"Squeeze Fired" (Green Dots):</w:t>
      </w:r>
      <w:r w:rsidDel="00000000" w:rsidR="00000000" w:rsidRPr="00000000">
        <w:rPr>
          <w:rFonts w:ascii="Google Sans" w:cs="Google Sans" w:eastAsia="Google Sans" w:hAnsi="Google Sans"/>
          <w:color w:val="1f1f1f"/>
          <w:rtl w:val="0"/>
        </w:rPr>
        <w:t xml:space="preserve"> When the dots visually transition from red to green, volatility is actively expanding, signaling the breakout has begun.</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Momentum Histogram:</w:t>
      </w:r>
      <w:r w:rsidDel="00000000" w:rsidR="00000000" w:rsidRPr="00000000">
        <w:rPr>
          <w:rFonts w:ascii="Google Sans" w:cs="Google Sans" w:eastAsia="Google Sans" w:hAnsi="Google Sans"/>
          <w:color w:val="1f1f1f"/>
          <w:rtl w:val="0"/>
        </w:rPr>
        <w:t xml:space="preserve"> Traders look at the histogram bars corresponding with the green dot. If the bars are above the zero line and rising, the visual cue confirms a bullish long entry. If they are below zero and falling, it confirms a short entry.</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Time-of-Day Visual Reversals: The 10:30 AM Pivot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heavily documented visual pattern in the NQ and MNQ futures markets is the morning reversal or continuation window that typically occurs between 9:50 AM and 10:30 AM ET.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the initial opening drive, traders watch the charts visually to see if the market forms a "failed breakout" (often referred to as a bull or bear trap) near the extremes of the initial balance (the high or low established in the first hour).</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MNQ breaks above the opening range high but quickly reverses, forming a bearish engulfing candle or an extended upper wick back </w:t>
      </w:r>
      <w:r w:rsidDel="00000000" w:rsidR="00000000" w:rsidRPr="00000000">
        <w:rPr>
          <w:rFonts w:ascii="Google Sans" w:cs="Google Sans" w:eastAsia="Google Sans" w:hAnsi="Google Sans"/>
          <w:i w:val="1"/>
          <w:iCs w:val="1"/>
          <w:color w:val="1f1f1f"/>
          <w:rtl w:val="0"/>
        </w:rPr>
        <w:t xml:space="preserve">inside</w:t>
      </w:r>
      <w:r w:rsidDel="00000000" w:rsidR="00000000" w:rsidRPr="00000000">
        <w:rPr>
          <w:rFonts w:ascii="Google Sans" w:cs="Google Sans" w:eastAsia="Google Sans" w:hAnsi="Google Sans"/>
          <w:color w:val="1f1f1f"/>
          <w:rtl w:val="0"/>
        </w:rPr>
        <w:t xml:space="preserve"> the range, this is a visual "trap zone". Professional traders will enter short upon the retest of this zone, targeting a move back toward the VWAP or the opposite side of the range.</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Footprints and Visual Absorption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advanced day traders utilizing footprint charts or order flow tools, recognizing the visual signature of "absorption" is critical to avoiding bad entries.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Absorption occurs visually when a trader sees stacked buy imbalances (large numbers of aggressive market buy orders) printing on the footprint chart, but the price completely refuses to move higher. This visual anomaly—rising cumulative delta with stagnant price action—indicates that massive institutional "passive sellers" are absorbing all the retail buying pressure. Recognizing this visual cue prevents a trader from buying the top of a move and frequently signals an imminent, sharp reversal in the opposite direction.</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 Protocols: Specific Entry, Target, and Exit Rules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mathematical frameworks identify the opportunity, rigid execution protocols dictate the actual interaction with the order book. Professional traders do not guess when to enter or exit; they follow strict mechanical rules.</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VWAP Pullback Execution Logic</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VWAP pullback strategy focuses on joining an existing intraday trend after a temporary retracement, offering superior risk-to-reward entries compared to chasing momentum.</w:t>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Entry Trigger:</w:t>
      </w:r>
      <w:r w:rsidDel="00000000" w:rsidR="00000000" w:rsidRPr="00000000">
        <w:rPr>
          <w:rFonts w:ascii="Google Sans" w:cs="Google Sans" w:eastAsia="Google Sans" w:hAnsi="Google Sans"/>
          <w:color w:val="1f1f1f"/>
          <w:rtl w:val="0"/>
        </w:rPr>
        <w:t xml:space="preserve"> Wait for the price to expand decisively toward a VWAP standard deviation band, confirming trend direction. When the price pulls back to the central VWAP line, do not enter blindly. Execute the trade only upon visual rejection, such as a strong reversal candle with a long wick pushing away from the VWAP line.</w:t>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Stop Loss:</w:t>
      </w:r>
      <w:r w:rsidDel="00000000" w:rsidR="00000000" w:rsidRPr="00000000">
        <w:rPr>
          <w:rFonts w:ascii="Google Sans" w:cs="Google Sans" w:eastAsia="Google Sans" w:hAnsi="Google Sans"/>
          <w:color w:val="1f1f1f"/>
          <w:rtl w:val="0"/>
        </w:rPr>
        <w:t xml:space="preserve"> Placed tightly just beyond the extreme of the rejection candle (typically 10 to 20 points in the NQ/MNQ market) to invalidate the trade if institutional support fails.</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Profit Target:</w:t>
      </w:r>
      <w:r w:rsidDel="00000000" w:rsidR="00000000" w:rsidRPr="00000000">
        <w:rPr>
          <w:rFonts w:ascii="Google Sans" w:cs="Google Sans" w:eastAsia="Google Sans" w:hAnsi="Google Sans"/>
          <w:color w:val="1f1f1f"/>
          <w:rtl w:val="0"/>
        </w:rPr>
        <w:t xml:space="preserve"> The nearest standard deviation band in the direction of the primary trend. A 1σ (standard deviation) band serves as a conservative target, while a 2σ band serves as an aggressive target.</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15-Minute Opening Range Breakout (ORB) Mechanics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specific variant of the ORB utilizes the critical 15-minute window following the equity open to establish the day's primary structural boundaries.</w:t>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Entry Trigger:</w:t>
      </w:r>
      <w:r w:rsidDel="00000000" w:rsidR="00000000" w:rsidRPr="00000000">
        <w:rPr>
          <w:rFonts w:ascii="Google Sans" w:cs="Google Sans" w:eastAsia="Google Sans" w:hAnsi="Google Sans"/>
          <w:color w:val="1f1f1f"/>
          <w:rtl w:val="0"/>
        </w:rPr>
        <w:t xml:space="preserve"> Identify the absolute high and low established between 9:30 AM and 9:45 AM ET. Wait for a definitive candlestick close beyond this range. To avoid algorithmic bull/bear traps, professional traders often wait for the price to break out and then execute on the first successful pullback (retest) of the breakout line.</w:t>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Stop Loss:</w:t>
      </w:r>
      <w:r w:rsidDel="00000000" w:rsidR="00000000" w:rsidRPr="00000000">
        <w:rPr>
          <w:rFonts w:ascii="Google Sans" w:cs="Google Sans" w:eastAsia="Google Sans" w:hAnsi="Google Sans"/>
          <w:color w:val="1f1f1f"/>
          <w:rtl w:val="0"/>
        </w:rPr>
        <w:t xml:space="preserve"> To prevent catastrophic losses from failed breakouts, stop losses are placed just inside the range, or at the opposite end of the range for tighter consolidations.</w:t>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Profit Target:</w:t>
      </w:r>
      <w:r w:rsidDel="00000000" w:rsidR="00000000" w:rsidRPr="00000000">
        <w:rPr>
          <w:rFonts w:ascii="Google Sans" w:cs="Google Sans" w:eastAsia="Google Sans" w:hAnsi="Google Sans"/>
          <w:color w:val="1f1f1f"/>
          <w:rtl w:val="0"/>
        </w:rPr>
        <w:t xml:space="preserve"> Traders utilize fixed R-multiples, aiming for a profit that is 1.5 to 2.0 times the initial risk (e.g., risking </w:t>
      </w:r>
      <w:r w:rsidDel="00000000" w:rsidR="00000000" w:rsidRPr="00000000">
        <w:rPr>
          <w:rFonts w:ascii="Google Sans" w:cs="Google Sans" w:eastAsia="Google Sans" w:hAnsi="Google Sans"/>
          <w:color w:val="1f1f1f"/>
        </w:rPr>
        <w:drawing>
          <wp:inline distB="19050" distT="19050" distL="19050" distR="19050">
            <wp:extent cx="368871" cy="217539"/>
            <wp:effectExtent b="0" l="0" r="0" t="0"/>
            <wp:docPr id="27" name="image28.png"/>
            <a:graphic>
              <a:graphicData uri="http://schemas.openxmlformats.org/drawingml/2006/picture">
                <pic:pic>
                  <pic:nvPicPr>
                    <pic:cNvPr id="0" name="image28.png"/>
                    <pic:cNvPicPr preferRelativeResize="0"/>
                  </pic:nvPicPr>
                  <pic:blipFill>
                    <a:blip r:embed="rId56"/>
                    <a:srcRect b="0" l="0" r="0" t="0"/>
                    <a:stretch>
                      <a:fillRect/>
                    </a:stretch>
                  </pic:blipFill>
                  <pic:spPr>
                    <a:xfrm>
                      <a:off x="0" y="0"/>
                      <a:ext cx="368871" cy="2175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make </w:t>
      </w:r>
      <w:r w:rsidDel="00000000" w:rsidR="00000000" w:rsidRPr="00000000">
        <w:rPr>
          <w:rFonts w:ascii="Google Sans" w:cs="Google Sans" w:eastAsia="Google Sans" w:hAnsi="Google Sans"/>
          <w:color w:val="1f1f1f"/>
        </w:rPr>
        <w:drawing>
          <wp:inline distB="19050" distT="19050" distL="19050" distR="19050">
            <wp:extent cx="368871" cy="217539"/>
            <wp:effectExtent b="0" l="0" r="0" t="0"/>
            <wp:docPr id="28"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368871" cy="2175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368871" cy="217539"/>
            <wp:effectExtent b="0" l="0" r="0" t="0"/>
            <wp:docPr id="29"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368871" cy="2175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Alternatively, time-based exits are used; if the breakout fails to gain traction within 30 to 45 minutes, the position is closed.</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Position Management: The "Scaling Out" Methodology</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an "all-in, all-out" approach, managing multiple MNQ contracts allows for fractional position management known as scaling out.</w:t>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Execution:</w:t>
      </w:r>
      <w:r w:rsidDel="00000000" w:rsidR="00000000" w:rsidRPr="00000000">
        <w:rPr>
          <w:rFonts w:ascii="Google Sans" w:cs="Google Sans" w:eastAsia="Google Sans" w:hAnsi="Google Sans"/>
          <w:color w:val="1f1f1f"/>
          <w:rtl w:val="0"/>
        </w:rPr>
        <w:t xml:space="preserve"> Scaling out means exiting a trade gradually by reducing the position in stages.</w:t>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w:t>
      </w:r>
      <w:r w:rsidDel="00000000" w:rsidR="00000000" w:rsidRPr="00000000">
        <w:rPr>
          <w:rFonts w:ascii="Google Sans" w:cs="Google Sans" w:eastAsia="Google Sans" w:hAnsi="Google Sans"/>
          <w:color w:val="1f1f1f"/>
          <w:rtl w:val="0"/>
        </w:rPr>
        <w:t xml:space="preserve"> A trader might exit a portion of their contracts (e.g., half the position) at the first predefined profit target (such as a 1:1 risk-to-reward ratio) to secure immediate gains and finance the risk of the trade. The stop loss on the remaining contracts is then moved to the breakeven entry price, allowing these "runner" contracts to capture extended macroeconomic momentum completely risk-free.</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Risk Management and Position Sizing</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absolute differentiator between a profitable systematic quantitative fund and a rapidly liquidated retail trader is not the win rate of their specific indicator, but the unrelenting rigor of their mathematical risk management.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Trading a leveraged instrument like the MNQ futures contract requires a multi-layered approach to capital preservation and drawdown mitigation.</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Volatility-Adjusted Sizing via the Average True Range (ATR)</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Standardized, static dollar-based stop losses (e.g., "I will place a 20-point stop loss on every trade") are structurally flawed because they completely ignore the dynamic, breathing nature of market volatility. A 20-point stop loss might be excessively wide during the midday doldrums, yet far too tight during the volatile morning session following an inflation data release, resulting in being stopped out by standard market noise.</w:t>
      </w:r>
      <w:r w:rsidDel="00000000" w:rsidR="00000000" w:rsidRPr="00000000">
        <w:rPr>
          <w:rFonts w:ascii="Google Sans" w:cs="Google Sans" w:eastAsia="Google Sans" w:hAnsi="Google Sans"/>
          <w:color w:val="444746"/>
          <w:sz w:val="24"/>
          <w:szCs w:val="24"/>
          <w:vertAlign w:val="superscript"/>
          <w:rtl w:val="0"/>
        </w:rPr>
        <w:t xml:space="preserve">73</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normalize risk across all varying market environments, professional playbooks deploy the Average True Range (ATR).</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The ATR continuously measures the true magnitude of price movement over a specified lookback period (typically 14 periods).</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Range for a single period is strictly defined as the greatest of the following three metrics:</w:t>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Current High minus Current Low</w:t>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Absolute value of Current High minus Previous Close</w:t>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Absolute value of Current Low minus Previous Close </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ATR Position Sizing Formula:</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utilize this, a trader determines their maximum acceptable account risk (e.g., 1% of total equity) and dynamically scales the exact number of MNQ contracts they trade based on the current ATR reading.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49043"/>
            <wp:effectExtent b="0" l="0" r="0" t="0"/>
            <wp:docPr id="30" name="image33.png"/>
            <a:graphic>
              <a:graphicData uri="http://schemas.openxmlformats.org/drawingml/2006/picture">
                <pic:pic>
                  <pic:nvPicPr>
                    <pic:cNvPr id="0" name="image33.png"/>
                    <pic:cNvPicPr preferRelativeResize="0"/>
                  </pic:nvPicPr>
                  <pic:blipFill>
                    <a:blip r:embed="rId58"/>
                    <a:srcRect b="0" l="0" r="0" t="0"/>
                    <a:stretch>
                      <a:fillRect/>
                    </a:stretch>
                  </pic:blipFill>
                  <pic:spPr>
                    <a:xfrm>
                      <a:off x="0" y="0"/>
                      <a:ext cx="5905500" cy="449043"/>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Detailed Mathematical Example: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trader manages a </w:t>
      </w:r>
      <w:r w:rsidDel="00000000" w:rsidR="00000000" w:rsidRPr="00000000">
        <w:rPr>
          <w:rFonts w:ascii="Google Sans" w:cs="Google Sans" w:eastAsia="Google Sans" w:hAnsi="Google Sans"/>
          <w:color w:val="1f1f1f"/>
        </w:rPr>
        <w:drawing>
          <wp:inline distB="19050" distT="19050" distL="19050" distR="19050">
            <wp:extent cx="543148" cy="219165"/>
            <wp:effectExtent b="0" l="0" r="0" t="0"/>
            <wp:docPr id="31"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43148" cy="2191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account and strictly mandates a maximum risk of 1% per trade (which equates to </w:t>
      </w:r>
      <w:r w:rsidDel="00000000" w:rsidR="00000000" w:rsidRPr="00000000">
        <w:rPr>
          <w:rFonts w:ascii="Google Sans" w:cs="Google Sans" w:eastAsia="Google Sans" w:hAnsi="Google Sans"/>
          <w:color w:val="1f1f1f"/>
        </w:rPr>
        <w:drawing>
          <wp:inline distB="19050" distT="19050" distL="19050" distR="19050">
            <wp:extent cx="276672" cy="219429"/>
            <wp:effectExtent b="0" l="0" r="0" t="0"/>
            <wp:docPr id="32"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276672" cy="2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trader's strategy utilizes a volatility-based stop loss placed at a distance of </w:t>
      </w:r>
      <w:r w:rsidDel="00000000" w:rsidR="00000000" w:rsidRPr="00000000">
        <w:rPr>
          <w:rFonts w:ascii="Google Sans" w:cs="Google Sans" w:eastAsia="Google Sans" w:hAnsi="Google Sans"/>
          <w:color w:val="1f1f1f"/>
        </w:rPr>
        <w:drawing>
          <wp:inline distB="19050" distT="19050" distL="19050" distR="19050">
            <wp:extent cx="868189" cy="219432"/>
            <wp:effectExtent b="0" l="0" r="0" t="0"/>
            <wp:docPr id="33" name="image34.png"/>
            <a:graphic>
              <a:graphicData uri="http://schemas.openxmlformats.org/drawingml/2006/picture">
                <pic:pic>
                  <pic:nvPicPr>
                    <pic:cNvPr id="0" name="image34.png"/>
                    <pic:cNvPicPr preferRelativeResize="0"/>
                  </pic:nvPicPr>
                  <pic:blipFill>
                    <a:blip r:embed="rId59"/>
                    <a:srcRect b="0" l="0" r="0" t="0"/>
                    <a:stretch>
                      <a:fillRect/>
                    </a:stretch>
                  </pic:blipFill>
                  <pic:spPr>
                    <a:xfrm>
                      <a:off x="0" y="0"/>
                      <a:ext cx="868189" cy="2194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avoid standard price fluctuations.</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current 14-period ATR on a 5-minute MNQ chart reads 10 index points:</w:t>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Stop Distance Calculation: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075801" cy="218968"/>
            <wp:effectExtent b="0" l="0" r="0" t="0"/>
            <wp:docPr id="23" name="image32.png"/>
            <a:graphic>
              <a:graphicData uri="http://schemas.openxmlformats.org/drawingml/2006/picture">
                <pic:pic>
                  <pic:nvPicPr>
                    <pic:cNvPr id="0" name="image32.png"/>
                    <pic:cNvPicPr preferRelativeResize="0"/>
                  </pic:nvPicPr>
                  <pic:blipFill>
                    <a:blip r:embed="rId60"/>
                    <a:srcRect b="0" l="0" r="0" t="0"/>
                    <a:stretch>
                      <a:fillRect/>
                    </a:stretch>
                  </pic:blipFill>
                  <pic:spPr>
                    <a:xfrm>
                      <a:off x="0" y="0"/>
                      <a:ext cx="1075801" cy="2189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index points.</w:t>
      </w:r>
      <w:r w:rsidDel="00000000" w:rsidR="00000000" w:rsidRPr="00000000">
        <w:rPr>
          <w:rFonts w:ascii="Google Sans" w:cs="Google Sans" w:eastAsia="Google Sans" w:hAnsi="Google Sans"/>
          <w:color w:val="444746"/>
          <w:sz w:val="24"/>
          <w:szCs w:val="24"/>
          <w:vertAlign w:val="superscript"/>
          <w:rtl w:val="0"/>
        </w:rPr>
        <w:t xml:space="preserve">77</w:t>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Point Value:</w:t>
      </w:r>
      <w:r w:rsidDel="00000000" w:rsidR="00000000" w:rsidRPr="00000000">
        <w:rPr>
          <w:rFonts w:ascii="Google Sans" w:cs="Google Sans" w:eastAsia="Google Sans" w:hAnsi="Google Sans"/>
          <w:color w:val="1f1f1f"/>
          <w:rtl w:val="0"/>
        </w:rPr>
        <w:t xml:space="preserve"> For the MNQ, each full index point is worth </w:t>
      </w: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24"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Monetary Risk per Contract: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639692" cy="219180"/>
            <wp:effectExtent b="0" l="0" r="0" t="0"/>
            <wp:docPr id="59" name="image53.png"/>
            <a:graphic>
              <a:graphicData uri="http://schemas.openxmlformats.org/drawingml/2006/picture">
                <pic:pic>
                  <pic:nvPicPr>
                    <pic:cNvPr id="0" name="image53.png"/>
                    <pic:cNvPicPr preferRelativeResize="0"/>
                  </pic:nvPicPr>
                  <pic:blipFill>
                    <a:blip r:embed="rId61"/>
                    <a:srcRect b="0" l="0" r="0" t="0"/>
                    <a:stretch>
                      <a:fillRect/>
                    </a:stretch>
                  </pic:blipFill>
                  <pic:spPr>
                    <a:xfrm>
                      <a:off x="0" y="0"/>
                      <a:ext cx="2639692" cy="2191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Total Contract Sizing: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396061" cy="218688"/>
            <wp:effectExtent b="0" l="0" r="0" t="0"/>
            <wp:docPr id="60" name="image59.png"/>
            <a:graphic>
              <a:graphicData uri="http://schemas.openxmlformats.org/drawingml/2006/picture">
                <pic:pic>
                  <pic:nvPicPr>
                    <pic:cNvPr id="0" name="image59.png"/>
                    <pic:cNvPicPr preferRelativeResize="0"/>
                  </pic:nvPicPr>
                  <pic:blipFill>
                    <a:blip r:embed="rId62"/>
                    <a:srcRect b="0" l="0" r="0" t="0"/>
                    <a:stretch>
                      <a:fillRect/>
                    </a:stretch>
                  </pic:blipFill>
                  <pic:spPr>
                    <a:xfrm>
                      <a:off x="0" y="0"/>
                      <a:ext cx="2396061" cy="2186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contracts.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futures contracts cannot be traded in fractions, the trader must round down to preserve their strict risk parameters, executing exactly 1 MNQ contract.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mathematical framework guarantees that whether the market is crawling quietly or experiencing massive algorithmic panic selling, the trader's absolute equity risk remains perpetually locked at or below 1%.</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Expectancy, R-Multiples, and the Kelly Criterion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validate that an MNQ day trading strategy possesses a genuine statistical edge, it must generate a positive expectancy over a statistically significant sample size of trades (e.g., 100+ executions).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isolate the strategy's core performance from absolute dollar amounts—which vary heavily based on account capitalization—the quantitative industry standard is to calculate results exclusively in "R-Multiples".</w:t>
      </w:r>
      <w:r w:rsidDel="00000000" w:rsidR="00000000" w:rsidRPr="00000000">
        <w:rPr>
          <w:rFonts w:ascii="Google Sans" w:cs="Google Sans" w:eastAsia="Google Sans" w:hAnsi="Google Sans"/>
          <w:color w:val="444746"/>
          <w:sz w:val="24"/>
          <w:szCs w:val="24"/>
          <w:vertAlign w:val="superscript"/>
          <w:rtl w:val="0"/>
        </w:rPr>
        <w:t xml:space="preserve">80</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Expectancy and R-Multiple Mathematics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141387" cy="226220"/>
            <wp:effectExtent b="0" l="0" r="0" t="0"/>
            <wp:docPr id="61"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141387" cy="22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initial pre-defined risk taken on any given trade (e.g., </w:t>
      </w:r>
      <w:r w:rsidDel="00000000" w:rsidR="00000000" w:rsidRPr="00000000">
        <w:rPr>
          <w:rFonts w:ascii="Google Sans" w:cs="Google Sans" w:eastAsia="Google Sans" w:hAnsi="Google Sans"/>
          <w:color w:val="1f1f1f"/>
        </w:rPr>
        <w:drawing>
          <wp:inline distB="19050" distT="19050" distL="19050" distR="19050">
            <wp:extent cx="756195" cy="229730"/>
            <wp:effectExtent b="0" l="0" r="0" t="0"/>
            <wp:docPr id="62" name="image38.png"/>
            <a:graphic>
              <a:graphicData uri="http://schemas.openxmlformats.org/drawingml/2006/picture">
                <pic:pic>
                  <pic:nvPicPr>
                    <pic:cNvPr id="0" name="image38.png"/>
                    <pic:cNvPicPr preferRelativeResize="0"/>
                  </pic:nvPicPr>
                  <pic:blipFill>
                    <a:blip r:embed="rId63"/>
                    <a:srcRect b="0" l="0" r="0" t="0"/>
                    <a:stretch>
                      <a:fillRect/>
                    </a:stretch>
                  </pic:blipFill>
                  <pic:spPr>
                    <a:xfrm>
                      <a:off x="0" y="0"/>
                      <a:ext cx="756195" cy="2297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profit of </w:t>
      </w:r>
      <w:r w:rsidDel="00000000" w:rsidR="00000000" w:rsidRPr="00000000">
        <w:rPr>
          <w:rFonts w:ascii="Google Sans" w:cs="Google Sans" w:eastAsia="Google Sans" w:hAnsi="Google Sans"/>
          <w:color w:val="1f1f1f"/>
        </w:rPr>
        <w:drawing>
          <wp:inline distB="19050" distT="19050" distL="19050" distR="19050">
            <wp:extent cx="368871" cy="217539"/>
            <wp:effectExtent b="0" l="0" r="0" t="0"/>
            <wp:docPr id="63" name="image61.png"/>
            <a:graphic>
              <a:graphicData uri="http://schemas.openxmlformats.org/drawingml/2006/picture">
                <pic:pic>
                  <pic:nvPicPr>
                    <pic:cNvPr id="0" name="image61.png"/>
                    <pic:cNvPicPr preferRelativeResize="0"/>
                  </pic:nvPicPr>
                  <pic:blipFill>
                    <a:blip r:embed="rId64"/>
                    <a:srcRect b="0" l="0" r="0" t="0"/>
                    <a:stretch>
                      <a:fillRect/>
                    </a:stretch>
                  </pic:blipFill>
                  <pic:spPr>
                    <a:xfrm>
                      <a:off x="0" y="0"/>
                      <a:ext cx="368871" cy="2175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expressed as </w:t>
      </w:r>
      <w:r w:rsidDel="00000000" w:rsidR="00000000" w:rsidRPr="00000000">
        <w:rPr>
          <w:rFonts w:ascii="Google Sans" w:cs="Google Sans" w:eastAsia="Google Sans" w:hAnsi="Google Sans"/>
          <w:color w:val="1f1f1f"/>
        </w:rPr>
        <w:drawing>
          <wp:inline distB="19050" distT="19050" distL="19050" distR="19050">
            <wp:extent cx="520526" cy="227139"/>
            <wp:effectExtent b="0" l="0" r="0" t="0"/>
            <wp:docPr id="64" name="image57.png"/>
            <a:graphic>
              <a:graphicData uri="http://schemas.openxmlformats.org/drawingml/2006/picture">
                <pic:pic>
                  <pic:nvPicPr>
                    <pic:cNvPr id="0" name="image57.png"/>
                    <pic:cNvPicPr preferRelativeResize="0"/>
                  </pic:nvPicPr>
                  <pic:blipFill>
                    <a:blip r:embed="rId65"/>
                    <a:srcRect b="0" l="0" r="0" t="0"/>
                    <a:stretch>
                      <a:fillRect/>
                    </a:stretch>
                  </pic:blipFill>
                  <pic:spPr>
                    <a:xfrm>
                      <a:off x="0" y="0"/>
                      <a:ext cx="520526" cy="227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loss of </w:t>
      </w:r>
      <w:r w:rsidDel="00000000" w:rsidR="00000000" w:rsidRPr="00000000">
        <w:rPr>
          <w:rFonts w:ascii="Google Sans" w:cs="Google Sans" w:eastAsia="Google Sans" w:hAnsi="Google Sans"/>
          <w:color w:val="1f1f1f"/>
        </w:rPr>
        <w:drawing>
          <wp:inline distB="19050" distT="19050" distL="19050" distR="19050">
            <wp:extent cx="276672" cy="219429"/>
            <wp:effectExtent b="0" l="0" r="0" t="0"/>
            <wp:docPr id="65"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276672" cy="2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expressed as </w:t>
      </w:r>
      <w:r w:rsidDel="00000000" w:rsidR="00000000" w:rsidRPr="00000000">
        <w:rPr>
          <w:rFonts w:ascii="Google Sans" w:cs="Google Sans" w:eastAsia="Google Sans" w:hAnsi="Google Sans"/>
          <w:color w:val="1f1f1f"/>
        </w:rPr>
        <w:drawing>
          <wp:inline distB="19050" distT="19050" distL="19050" distR="19050">
            <wp:extent cx="377131" cy="226279"/>
            <wp:effectExtent b="0" l="0" r="0" t="0"/>
            <wp:docPr id="66" name="image55.png"/>
            <a:graphic>
              <a:graphicData uri="http://schemas.openxmlformats.org/drawingml/2006/picture">
                <pic:pic>
                  <pic:nvPicPr>
                    <pic:cNvPr id="0" name="image55.png"/>
                    <pic:cNvPicPr preferRelativeResize="0"/>
                  </pic:nvPicPr>
                  <pic:blipFill>
                    <a:blip r:embed="rId66"/>
                    <a:srcRect b="0" l="0" r="0" t="0"/>
                    <a:stretch>
                      <a:fillRect/>
                    </a:stretch>
                  </pic:blipFill>
                  <pic:spPr>
                    <a:xfrm>
                      <a:off x="0" y="0"/>
                      <a:ext cx="377131" cy="226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81</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formula for the Expectancy (</w:t>
      </w:r>
      <w:r w:rsidDel="00000000" w:rsidR="00000000" w:rsidRPr="00000000">
        <w:rPr>
          <w:rFonts w:ascii="Google Sans" w:cs="Google Sans" w:eastAsia="Google Sans" w:hAnsi="Google Sans"/>
          <w:color w:val="1f1f1f"/>
        </w:rPr>
        <w:drawing>
          <wp:inline distB="19050" distT="19050" distL="19050" distR="19050">
            <wp:extent cx="146670" cy="234672"/>
            <wp:effectExtent b="0" l="0" r="0" t="0"/>
            <wp:docPr id="56" name="image54.png"/>
            <a:graphic>
              <a:graphicData uri="http://schemas.openxmlformats.org/drawingml/2006/picture">
                <pic:pic>
                  <pic:nvPicPr>
                    <pic:cNvPr id="0" name="image54.png"/>
                    <pic:cNvPicPr preferRelativeResize="0"/>
                  </pic:nvPicPr>
                  <pic:blipFill>
                    <a:blip r:embed="rId67"/>
                    <a:srcRect b="0" l="0" r="0" t="0"/>
                    <a:stretch>
                      <a:fillRect/>
                    </a:stretch>
                  </pic:blipFill>
                  <pic:spPr>
                    <a:xfrm>
                      <a:off x="0" y="0"/>
                      <a:ext cx="146670" cy="2346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trade is: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4965"/>
            <wp:effectExtent b="0" l="0" r="0" t="0"/>
            <wp:docPr id="57" name="image56.png"/>
            <a:graphic>
              <a:graphicData uri="http://schemas.openxmlformats.org/drawingml/2006/picture">
                <pic:pic>
                  <pic:nvPicPr>
                    <pic:cNvPr id="0" name="image56.png"/>
                    <pic:cNvPicPr preferRelativeResize="0"/>
                  </pic:nvPicPr>
                  <pic:blipFill>
                    <a:blip r:embed="rId68"/>
                    <a:srcRect b="0" l="0" r="0" t="0"/>
                    <a:stretch>
                      <a:fillRect/>
                    </a:stretch>
                  </pic:blipFill>
                  <pic:spPr>
                    <a:xfrm>
                      <a:off x="0" y="0"/>
                      <a:ext cx="5905500" cy="32496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Where: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9728" cy="228260"/>
            <wp:effectExtent b="0" l="0" r="0" t="0"/>
            <wp:docPr id="58" name="image45.png"/>
            <a:graphic>
              <a:graphicData uri="http://schemas.openxmlformats.org/drawingml/2006/picture">
                <pic:pic>
                  <pic:nvPicPr>
                    <pic:cNvPr id="0" name="image45.png"/>
                    <pic:cNvPicPr preferRelativeResize="0"/>
                  </pic:nvPicPr>
                  <pic:blipFill>
                    <a:blip r:embed="rId69"/>
                    <a:srcRect b="0" l="0" r="0" t="0"/>
                    <a:stretch>
                      <a:fillRect/>
                    </a:stretch>
                  </pic:blipFill>
                  <pic:spPr>
                    <a:xfrm>
                      <a:off x="0" y="0"/>
                      <a:ext cx="199728" cy="2282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win probability (win rate expressed as a decimal), </w:t>
      </w:r>
      <w:r w:rsidDel="00000000" w:rsidR="00000000" w:rsidRPr="00000000">
        <w:rPr>
          <w:rFonts w:ascii="Google Sans" w:cs="Google Sans" w:eastAsia="Google Sans" w:hAnsi="Google Sans"/>
          <w:color w:val="1f1f1f"/>
        </w:rPr>
        <w:drawing>
          <wp:inline distB="19050" distT="19050" distL="19050" distR="19050">
            <wp:extent cx="807021" cy="218370"/>
            <wp:effectExtent b="0" l="0" r="0" t="0"/>
            <wp:docPr id="49" name="image48.png"/>
            <a:graphic>
              <a:graphicData uri="http://schemas.openxmlformats.org/drawingml/2006/picture">
                <pic:pic>
                  <pic:nvPicPr>
                    <pic:cNvPr id="0" name="image48.png"/>
                    <pic:cNvPicPr preferRelativeResize="0"/>
                  </pic:nvPicPr>
                  <pic:blipFill>
                    <a:blip r:embed="rId70"/>
                    <a:srcRect b="0" l="0" r="0" t="0"/>
                    <a:stretch>
                      <a:fillRect/>
                    </a:stretch>
                  </pic:blipFill>
                  <pic:spPr>
                    <a:xfrm>
                      <a:off x="0" y="0"/>
                      <a:ext cx="807021" cy="2183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average winning R-multiple, and </w:t>
      </w:r>
      <w:r w:rsidDel="00000000" w:rsidR="00000000" w:rsidRPr="00000000">
        <w:rPr>
          <w:rFonts w:ascii="Google Sans" w:cs="Google Sans" w:eastAsia="Google Sans" w:hAnsi="Google Sans"/>
          <w:color w:val="1f1f1f"/>
        </w:rPr>
        <w:drawing>
          <wp:inline distB="19050" distT="19050" distL="19050" distR="19050">
            <wp:extent cx="816396" cy="218339"/>
            <wp:effectExtent b="0" l="0" r="0" t="0"/>
            <wp:docPr id="50" name="image50.png"/>
            <a:graphic>
              <a:graphicData uri="http://schemas.openxmlformats.org/drawingml/2006/picture">
                <pic:pic>
                  <pic:nvPicPr>
                    <pic:cNvPr id="0" name="image50.png"/>
                    <pic:cNvPicPr preferRelativeResize="0"/>
                  </pic:nvPicPr>
                  <pic:blipFill>
                    <a:blip r:embed="rId71"/>
                    <a:srcRect b="0" l="0" r="0" t="0"/>
                    <a:stretch>
                      <a:fillRect/>
                    </a:stretch>
                  </pic:blipFill>
                  <pic:spPr>
                    <a:xfrm>
                      <a:off x="0" y="0"/>
                      <a:ext cx="816396" cy="2183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average losing R-multiple (which is always a negative value).</w:t>
      </w:r>
      <w:r w:rsidDel="00000000" w:rsidR="00000000" w:rsidRPr="00000000">
        <w:rPr>
          <w:rFonts w:ascii="Google Sans" w:cs="Google Sans" w:eastAsia="Google Sans" w:hAnsi="Google Sans"/>
          <w:color w:val="444746"/>
          <w:sz w:val="24"/>
          <w:szCs w:val="24"/>
          <w:vertAlign w:val="superscript"/>
          <w:rtl w:val="0"/>
        </w:rPr>
        <w:t xml:space="preserve">80</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a trend-following MNQ playbook that has a win rate of 40% (</w:t>
      </w:r>
      <w:r w:rsidDel="00000000" w:rsidR="00000000" w:rsidRPr="00000000">
        <w:rPr>
          <w:rFonts w:ascii="Google Sans" w:cs="Google Sans" w:eastAsia="Google Sans" w:hAnsi="Google Sans"/>
          <w:color w:val="1f1f1f"/>
        </w:rPr>
        <w:drawing>
          <wp:inline distB="19050" distT="19050" distL="19050" distR="19050">
            <wp:extent cx="773534" cy="229195"/>
            <wp:effectExtent b="0" l="0" r="0" t="0"/>
            <wp:docPr id="51" name="image46.png"/>
            <a:graphic>
              <a:graphicData uri="http://schemas.openxmlformats.org/drawingml/2006/picture">
                <pic:pic>
                  <pic:nvPicPr>
                    <pic:cNvPr id="0" name="image46.png"/>
                    <pic:cNvPicPr preferRelativeResize="0"/>
                  </pic:nvPicPr>
                  <pic:blipFill>
                    <a:blip r:embed="rId72"/>
                    <a:srcRect b="0" l="0" r="0" t="0"/>
                    <a:stretch>
                      <a:fillRect/>
                    </a:stretch>
                  </pic:blipFill>
                  <pic:spPr>
                    <a:xfrm>
                      <a:off x="0" y="0"/>
                      <a:ext cx="773534" cy="229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 average win of </w:t>
      </w:r>
      <w:r w:rsidDel="00000000" w:rsidR="00000000" w:rsidRPr="00000000">
        <w:rPr>
          <w:rFonts w:ascii="Google Sans" w:cs="Google Sans" w:eastAsia="Google Sans" w:hAnsi="Google Sans"/>
          <w:color w:val="1f1f1f"/>
        </w:rPr>
        <w:drawing>
          <wp:inline distB="19050" distT="19050" distL="19050" distR="19050">
            <wp:extent cx="520526" cy="227139"/>
            <wp:effectExtent b="0" l="0" r="0" t="0"/>
            <wp:docPr id="52" name="image57.png"/>
            <a:graphic>
              <a:graphicData uri="http://schemas.openxmlformats.org/drawingml/2006/picture">
                <pic:pic>
                  <pic:nvPicPr>
                    <pic:cNvPr id="0" name="image57.png"/>
                    <pic:cNvPicPr preferRelativeResize="0"/>
                  </pic:nvPicPr>
                  <pic:blipFill>
                    <a:blip r:embed="rId65"/>
                    <a:srcRect b="0" l="0" r="0" t="0"/>
                    <a:stretch>
                      <a:fillRect/>
                    </a:stretch>
                  </pic:blipFill>
                  <pic:spPr>
                    <a:xfrm>
                      <a:off x="0" y="0"/>
                      <a:ext cx="520526" cy="227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disciplined average loss of </w:t>
      </w:r>
      <w:r w:rsidDel="00000000" w:rsidR="00000000" w:rsidRPr="00000000">
        <w:rPr>
          <w:rFonts w:ascii="Google Sans" w:cs="Google Sans" w:eastAsia="Google Sans" w:hAnsi="Google Sans"/>
          <w:color w:val="1f1f1f"/>
        </w:rPr>
        <w:drawing>
          <wp:inline distB="19050" distT="19050" distL="19050" distR="19050">
            <wp:extent cx="520526" cy="227139"/>
            <wp:effectExtent b="0" l="0" r="0" t="0"/>
            <wp:docPr id="53" name="image51.png"/>
            <a:graphic>
              <a:graphicData uri="http://schemas.openxmlformats.org/drawingml/2006/picture">
                <pic:pic>
                  <pic:nvPicPr>
                    <pic:cNvPr id="0" name="image51.png"/>
                    <pic:cNvPicPr preferRelativeResize="0"/>
                  </pic:nvPicPr>
                  <pic:blipFill>
                    <a:blip r:embed="rId73"/>
                    <a:srcRect b="0" l="0" r="0" t="0"/>
                    <a:stretch>
                      <a:fillRect/>
                    </a:stretch>
                  </pic:blipFill>
                  <pic:spPr>
                    <a:xfrm>
                      <a:off x="0" y="0"/>
                      <a:ext cx="520526" cy="227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expectancy calculation is: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4965"/>
            <wp:effectExtent b="0" l="0" r="0" t="0"/>
            <wp:docPr id="54" name="image49.png"/>
            <a:graphic>
              <a:graphicData uri="http://schemas.openxmlformats.org/drawingml/2006/picture">
                <pic:pic>
                  <pic:nvPicPr>
                    <pic:cNvPr id="0" name="image49.png"/>
                    <pic:cNvPicPr preferRelativeResize="0"/>
                  </pic:nvPicPr>
                  <pic:blipFill>
                    <a:blip r:embed="rId74"/>
                    <a:srcRect b="0" l="0" r="0" t="0"/>
                    <a:stretch>
                      <a:fillRect/>
                    </a:stretch>
                  </pic:blipFill>
                  <pic:spPr>
                    <a:xfrm>
                      <a:off x="0" y="0"/>
                      <a:ext cx="5905500" cy="32496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4965"/>
            <wp:effectExtent b="0" l="0" r="0" t="0"/>
            <wp:docPr id="55" name="image52.png"/>
            <a:graphic>
              <a:graphicData uri="http://schemas.openxmlformats.org/drawingml/2006/picture">
                <pic:pic>
                  <pic:nvPicPr>
                    <pic:cNvPr id="0" name="image52.png"/>
                    <pic:cNvPicPr preferRelativeResize="0"/>
                  </pic:nvPicPr>
                  <pic:blipFill>
                    <a:blip r:embed="rId75"/>
                    <a:srcRect b="0" l="0" r="0" t="0"/>
                    <a:stretch>
                      <a:fillRect/>
                    </a:stretch>
                  </pic:blipFill>
                  <pic:spPr>
                    <a:xfrm>
                      <a:off x="0" y="0"/>
                      <a:ext cx="5905500" cy="32496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result implies that over thousands of statistical iterations, the system mathematically generates a profit of </w:t>
      </w:r>
      <w:r w:rsidDel="00000000" w:rsidR="00000000" w:rsidRPr="00000000">
        <w:rPr>
          <w:rFonts w:ascii="Google Sans" w:cs="Google Sans" w:eastAsia="Google Sans" w:hAnsi="Google Sans"/>
          <w:color w:val="1f1f1f"/>
        </w:rPr>
        <w:drawing>
          <wp:inline distB="19050" distT="19050" distL="19050" distR="19050">
            <wp:extent cx="520526" cy="227139"/>
            <wp:effectExtent b="0" l="0" r="0" t="0"/>
            <wp:docPr id="45" name="image40.png"/>
            <a:graphic>
              <a:graphicData uri="http://schemas.openxmlformats.org/drawingml/2006/picture">
                <pic:pic>
                  <pic:nvPicPr>
                    <pic:cNvPr id="0" name="image40.png"/>
                    <pic:cNvPicPr preferRelativeResize="0"/>
                  </pic:nvPicPr>
                  <pic:blipFill>
                    <a:blip r:embed="rId76"/>
                    <a:srcRect b="0" l="0" r="0" t="0"/>
                    <a:stretch>
                      <a:fillRect/>
                    </a:stretch>
                  </pic:blipFill>
                  <pic:spPr>
                    <a:xfrm>
                      <a:off x="0" y="0"/>
                      <a:ext cx="520526" cy="227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trade.</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756195" cy="229730"/>
            <wp:effectExtent b="0" l="0" r="0" t="0"/>
            <wp:docPr id="46" name="image38.png"/>
            <a:graphic>
              <a:graphicData uri="http://schemas.openxmlformats.org/drawingml/2006/picture">
                <pic:pic>
                  <pic:nvPicPr>
                    <pic:cNvPr id="0" name="image38.png"/>
                    <pic:cNvPicPr preferRelativeResize="0"/>
                  </pic:nvPicPr>
                  <pic:blipFill>
                    <a:blip r:embed="rId63"/>
                    <a:srcRect b="0" l="0" r="0" t="0"/>
                    <a:stretch>
                      <a:fillRect/>
                    </a:stretch>
                  </pic:blipFill>
                  <pic:spPr>
                    <a:xfrm>
                      <a:off x="0" y="0"/>
                      <a:ext cx="756195" cy="2297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every single execution is theoretically worth </w:t>
      </w:r>
      <w:r w:rsidDel="00000000" w:rsidR="00000000" w:rsidRPr="00000000">
        <w:rPr>
          <w:rFonts w:ascii="Google Sans" w:cs="Google Sans" w:eastAsia="Google Sans" w:hAnsi="Google Sans"/>
          <w:color w:val="1f1f1f"/>
        </w:rPr>
        <w:drawing>
          <wp:inline distB="19050" distT="19050" distL="19050" distR="19050">
            <wp:extent cx="276672" cy="219429"/>
            <wp:effectExtent b="0" l="0" r="0" t="0"/>
            <wp:docPr id="47" name="image41.png"/>
            <a:graphic>
              <a:graphicData uri="http://schemas.openxmlformats.org/drawingml/2006/picture">
                <pic:pic>
                  <pic:nvPicPr>
                    <pic:cNvPr id="0" name="image41.png"/>
                    <pic:cNvPicPr preferRelativeResize="0"/>
                  </pic:nvPicPr>
                  <pic:blipFill>
                    <a:blip r:embed="rId77"/>
                    <a:srcRect b="0" l="0" r="0" t="0"/>
                    <a:stretch>
                      <a:fillRect/>
                    </a:stretch>
                  </pic:blipFill>
                  <pic:spPr>
                    <a:xfrm>
                      <a:off x="0" y="0"/>
                      <a:ext cx="276672" cy="2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regardless of whether the immediate individual outcome is a win or a loss.</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Relying on this expectancy math removes the profound psychological anxiety associated with individual trading losses, shifting the trader's focus entirely to flawless systemic execution over a large series of trades.</w:t>
      </w:r>
      <w:r w:rsidDel="00000000" w:rsidR="00000000" w:rsidRPr="00000000">
        <w:rPr>
          <w:rFonts w:ascii="Google Sans" w:cs="Google Sans" w:eastAsia="Google Sans" w:hAnsi="Google Sans"/>
          <w:color w:val="444746"/>
          <w:sz w:val="24"/>
          <w:szCs w:val="24"/>
          <w:vertAlign w:val="superscript"/>
          <w:rtl w:val="0"/>
        </w:rPr>
        <w:t xml:space="preserve">82</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Kelly Criterion: Optimizing Compound Growth</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a positive expectancy is mathematically proven, the next complex puzzle is determining the optimal percentage of capital to allocate to maximize the asymptotic rate of asset growth without courting the mathematical certainty of absolute ruin. This problem is solved by the Kelly Criterion.</w:t>
      </w:r>
      <w:r w:rsidDel="00000000" w:rsidR="00000000" w:rsidRPr="00000000">
        <w:rPr>
          <w:rFonts w:ascii="Google Sans" w:cs="Google Sans" w:eastAsia="Google Sans" w:hAnsi="Google Sans"/>
          <w:color w:val="444746"/>
          <w:sz w:val="24"/>
          <w:szCs w:val="24"/>
          <w:vertAlign w:val="superscript"/>
          <w:rtl w:val="0"/>
        </w:rPr>
        <w:t xml:space="preserve">85</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Originally developed by J.L. Kelly Jr. at Bell Labs to mitigate telephonic signal noise and subsequently adapted by quantitative pioneers for probability, information theory, and financial markets, the Kelly percentage (</w:t>
      </w:r>
      <w:r w:rsidDel="00000000" w:rsidR="00000000" w:rsidRPr="00000000">
        <w:rPr>
          <w:rFonts w:ascii="Google Sans" w:cs="Google Sans" w:eastAsia="Google Sans" w:hAnsi="Google Sans"/>
          <w:color w:val="1f1f1f"/>
        </w:rPr>
        <w:drawing>
          <wp:inline distB="19050" distT="19050" distL="19050" distR="19050">
            <wp:extent cx="323403" cy="228285"/>
            <wp:effectExtent b="0" l="0" r="0" t="0"/>
            <wp:docPr id="48" name="image42.png"/>
            <a:graphic>
              <a:graphicData uri="http://schemas.openxmlformats.org/drawingml/2006/picture">
                <pic:pic>
                  <pic:nvPicPr>
                    <pic:cNvPr id="0" name="image42.png"/>
                    <pic:cNvPicPr preferRelativeResize="0"/>
                  </pic:nvPicPr>
                  <pic:blipFill>
                    <a:blip r:embed="rId78"/>
                    <a:srcRect b="0" l="0" r="0" t="0"/>
                    <a:stretch>
                      <a:fillRect/>
                    </a:stretch>
                  </pic:blipFill>
                  <pic:spPr>
                    <a:xfrm>
                      <a:off x="0" y="0"/>
                      <a:ext cx="323403" cy="2282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dictates the exact theoretical bankroll fraction to risk.</w:t>
      </w:r>
      <w:r w:rsidDel="00000000" w:rsidR="00000000" w:rsidRPr="00000000">
        <w:rPr>
          <w:rFonts w:ascii="Google Sans" w:cs="Google Sans" w:eastAsia="Google Sans" w:hAnsi="Google Sans"/>
          <w:color w:val="444746"/>
          <w:sz w:val="24"/>
          <w:szCs w:val="24"/>
          <w:vertAlign w:val="superscript"/>
          <w:rtl w:val="0"/>
        </w:rPr>
        <w:t xml:space="preserve">86</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34271"/>
            <wp:effectExtent b="0" l="0" r="0" t="0"/>
            <wp:docPr id="83" name="image65.png"/>
            <a:graphic>
              <a:graphicData uri="http://schemas.openxmlformats.org/drawingml/2006/picture">
                <pic:pic>
                  <pic:nvPicPr>
                    <pic:cNvPr id="0" name="image65.png"/>
                    <pic:cNvPicPr preferRelativeResize="0"/>
                  </pic:nvPicPr>
                  <pic:blipFill>
                    <a:blip r:embed="rId79"/>
                    <a:srcRect b="0" l="0" r="0" t="0"/>
                    <a:stretch>
                      <a:fillRect/>
                    </a:stretch>
                  </pic:blipFill>
                  <pic:spPr>
                    <a:xfrm>
                      <a:off x="0" y="0"/>
                      <a:ext cx="5905500" cy="434271"/>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Where: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9728" cy="228260"/>
            <wp:effectExtent b="0" l="0" r="0" t="0"/>
            <wp:docPr id="85" name="image45.png"/>
            <a:graphic>
              <a:graphicData uri="http://schemas.openxmlformats.org/drawingml/2006/picture">
                <pic:pic>
                  <pic:nvPicPr>
                    <pic:cNvPr id="0" name="image45.png"/>
                    <pic:cNvPicPr preferRelativeResize="0"/>
                  </pic:nvPicPr>
                  <pic:blipFill>
                    <a:blip r:embed="rId69"/>
                    <a:srcRect b="0" l="0" r="0" t="0"/>
                    <a:stretch>
                      <a:fillRect/>
                    </a:stretch>
                  </pic:blipFill>
                  <pic:spPr>
                    <a:xfrm>
                      <a:off x="0" y="0"/>
                      <a:ext cx="199728" cy="2282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Winning Probability, </w:t>
      </w:r>
      <w:r w:rsidDel="00000000" w:rsidR="00000000" w:rsidRPr="00000000">
        <w:rPr>
          <w:rFonts w:ascii="Google Sans" w:cs="Google Sans" w:eastAsia="Google Sans" w:hAnsi="Google Sans"/>
          <w:color w:val="1f1f1f"/>
        </w:rPr>
        <w:drawing>
          <wp:inline distB="19050" distT="19050" distL="19050" distR="19050">
            <wp:extent cx="433165" cy="231021"/>
            <wp:effectExtent b="0" l="0" r="0" t="0"/>
            <wp:docPr id="87" name="image77.png"/>
            <a:graphic>
              <a:graphicData uri="http://schemas.openxmlformats.org/drawingml/2006/picture">
                <pic:pic>
                  <pic:nvPicPr>
                    <pic:cNvPr id="0" name="image77.png"/>
                    <pic:cNvPicPr preferRelativeResize="0"/>
                  </pic:nvPicPr>
                  <pic:blipFill>
                    <a:blip r:embed="rId80"/>
                    <a:srcRect b="0" l="0" r="0" t="0"/>
                    <a:stretch>
                      <a:fillRect/>
                    </a:stretch>
                  </pic:blipFill>
                  <pic:spPr>
                    <a:xfrm>
                      <a:off x="0" y="0"/>
                      <a:ext cx="433165" cy="2310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Win/Loss Ratio (Average Reward divided by Average Risk).</w:t>
      </w:r>
      <w:r w:rsidDel="00000000" w:rsidR="00000000" w:rsidRPr="00000000">
        <w:rPr>
          <w:rFonts w:ascii="Google Sans" w:cs="Google Sans" w:eastAsia="Google Sans" w:hAnsi="Google Sans"/>
          <w:color w:val="444746"/>
          <w:sz w:val="24"/>
          <w:szCs w:val="24"/>
          <w:vertAlign w:val="superscript"/>
          <w:rtl w:val="0"/>
        </w:rPr>
        <w:t xml:space="preserve">86</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the previous metrics (</w:t>
      </w:r>
      <w:r w:rsidDel="00000000" w:rsidR="00000000" w:rsidRPr="00000000">
        <w:rPr>
          <w:rFonts w:ascii="Google Sans" w:cs="Google Sans" w:eastAsia="Google Sans" w:hAnsi="Google Sans"/>
          <w:color w:val="1f1f1f"/>
        </w:rPr>
        <w:drawing>
          <wp:inline distB="19050" distT="19050" distL="19050" distR="19050">
            <wp:extent cx="773534" cy="229195"/>
            <wp:effectExtent b="0" l="0" r="0" t="0"/>
            <wp:docPr id="89" name="image46.png"/>
            <a:graphic>
              <a:graphicData uri="http://schemas.openxmlformats.org/drawingml/2006/picture">
                <pic:pic>
                  <pic:nvPicPr>
                    <pic:cNvPr id="0" name="image46.png"/>
                    <pic:cNvPicPr preferRelativeResize="0"/>
                  </pic:nvPicPr>
                  <pic:blipFill>
                    <a:blip r:embed="rId72"/>
                    <a:srcRect b="0" l="0" r="0" t="0"/>
                    <a:stretch>
                      <a:fillRect/>
                    </a:stretch>
                  </pic:blipFill>
                  <pic:spPr>
                    <a:xfrm>
                      <a:off x="0" y="0"/>
                      <a:ext cx="773534" cy="229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914697" cy="228674"/>
            <wp:effectExtent b="0" l="0" r="0" t="0"/>
            <wp:docPr id="91" name="image68.png"/>
            <a:graphic>
              <a:graphicData uri="http://schemas.openxmlformats.org/drawingml/2006/picture">
                <pic:pic>
                  <pic:nvPicPr>
                    <pic:cNvPr id="0" name="image68.png"/>
                    <pic:cNvPicPr preferRelativeResize="0"/>
                  </pic:nvPicPr>
                  <pic:blipFill>
                    <a:blip r:embed="rId81"/>
                    <a:srcRect b="0" l="0" r="0" t="0"/>
                    <a:stretch>
                      <a:fillRect/>
                    </a:stretch>
                  </pic:blipFill>
                  <pic:spPr>
                    <a:xfrm>
                      <a:off x="0" y="0"/>
                      <a:ext cx="914697" cy="2286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10638"/>
            <wp:effectExtent b="0" l="0" r="0" t="0"/>
            <wp:docPr id="94" name="image76.png"/>
            <a:graphic>
              <a:graphicData uri="http://schemas.openxmlformats.org/drawingml/2006/picture">
                <pic:pic>
                  <pic:nvPicPr>
                    <pic:cNvPr id="0" name="image76.png"/>
                    <pic:cNvPicPr preferRelativeResize="0"/>
                  </pic:nvPicPr>
                  <pic:blipFill>
                    <a:blip r:embed="rId82"/>
                    <a:srcRect b="0" l="0" r="0" t="0"/>
                    <a:stretch>
                      <a:fillRect/>
                    </a:stretch>
                  </pic:blipFill>
                  <pic:spPr>
                    <a:xfrm>
                      <a:off x="0" y="0"/>
                      <a:ext cx="5905500" cy="410638"/>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10638"/>
            <wp:effectExtent b="0" l="0" r="0" t="0"/>
            <wp:docPr id="12" name="image15.png"/>
            <a:graphic>
              <a:graphicData uri="http://schemas.openxmlformats.org/drawingml/2006/picture">
                <pic:pic>
                  <pic:nvPicPr>
                    <pic:cNvPr id="0" name="image15.png"/>
                    <pic:cNvPicPr preferRelativeResize="0"/>
                  </pic:nvPicPr>
                  <pic:blipFill>
                    <a:blip r:embed="rId83"/>
                    <a:srcRect b="0" l="0" r="0" t="0"/>
                    <a:stretch>
                      <a:fillRect/>
                    </a:stretch>
                  </pic:blipFill>
                  <pic:spPr>
                    <a:xfrm>
                      <a:off x="0" y="0"/>
                      <a:ext cx="5905500" cy="410638"/>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4965"/>
            <wp:effectExtent b="0" l="0" r="0" t="0"/>
            <wp:docPr id="11" name="image9.png"/>
            <a:graphic>
              <a:graphicData uri="http://schemas.openxmlformats.org/drawingml/2006/picture">
                <pic:pic>
                  <pic:nvPicPr>
                    <pic:cNvPr id="0" name="image9.png"/>
                    <pic:cNvPicPr preferRelativeResize="0"/>
                  </pic:nvPicPr>
                  <pic:blipFill>
                    <a:blip r:embed="rId84"/>
                    <a:srcRect b="0" l="0" r="0" t="0"/>
                    <a:stretch>
                      <a:fillRect/>
                    </a:stretch>
                  </pic:blipFill>
                  <pic:spPr>
                    <a:xfrm>
                      <a:off x="0" y="0"/>
                      <a:ext cx="5905500" cy="32496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Optimization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Allocation Percentage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Drawdown Risk and Psychological Profile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Full Kelly Allocation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 of total equity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Extremely aggressive. Maximizes absolute compound growth but can theoretically result in drawdowns exceeding 50%. Psychologically unsustainable for most humans.</w:t>
            </w:r>
            <w:r w:rsidDel="00000000" w:rsidR="00000000" w:rsidRPr="00000000">
              <w:rPr>
                <w:rFonts w:ascii="Google Sans" w:cs="Google Sans" w:eastAsia="Google Sans" w:hAnsi="Google Sans"/>
                <w:color w:val="444746"/>
                <w:sz w:val="24"/>
                <w:szCs w:val="24"/>
                <w:vertAlign w:val="superscript"/>
                <w:rtl w:val="0"/>
              </w:rPr>
              <w:t xml:space="preserve">85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Half Kelly Allocation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 of total equity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Reduces volatility significantly while maintaining high compounding rates.</w:t>
            </w:r>
            <w:r w:rsidDel="00000000" w:rsidR="00000000" w:rsidRPr="00000000">
              <w:rPr>
                <w:rFonts w:ascii="Google Sans" w:cs="Google Sans" w:eastAsia="Google Sans" w:hAnsi="Google Sans"/>
                <w:color w:val="444746"/>
                <w:sz w:val="24"/>
                <w:szCs w:val="24"/>
                <w:vertAlign w:val="superscript"/>
                <w:rtl w:val="0"/>
              </w:rPr>
              <w:t xml:space="preserve">72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Fractional Kelly (10% - 25% of 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 to 4.0% of equity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quantitative industry standard. Heavily compresses equity variance, essentially eliminating the mathematical probability of a catastrophic 50% drawdown while honoring the probabilistic advantage.</w:t>
            </w:r>
            <w:r w:rsidDel="00000000" w:rsidR="00000000" w:rsidRPr="00000000">
              <w:rPr>
                <w:rFonts w:ascii="Google Sans" w:cs="Google Sans" w:eastAsia="Google Sans" w:hAnsi="Google Sans"/>
                <w:color w:val="444746"/>
                <w:sz w:val="24"/>
                <w:szCs w:val="24"/>
                <w:vertAlign w:val="superscript"/>
                <w:rtl w:val="0"/>
              </w:rPr>
              <w:t xml:space="preserve">72</w:t>
            </w:r>
          </w:p>
        </w:tc>
      </w:tr>
    </w:tbl>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pure mathematical Kelly formula suggests risking 16% of the account equity on a single MNQ trade to achieve maximum compounding growth.</w:t>
      </w:r>
      <w:r w:rsidDel="00000000" w:rsidR="00000000" w:rsidRPr="00000000">
        <w:rPr>
          <w:rFonts w:ascii="Google Sans" w:cs="Google Sans" w:eastAsia="Google Sans" w:hAnsi="Google Sans"/>
          <w:color w:val="444746"/>
          <w:sz w:val="24"/>
          <w:szCs w:val="24"/>
          <w:vertAlign w:val="superscript"/>
          <w:rtl w:val="0"/>
        </w:rPr>
        <w:t xml:space="preserve">87</w:t>
      </w:r>
      <w:r w:rsidDel="00000000" w:rsidR="00000000" w:rsidRPr="00000000">
        <w:rPr>
          <w:rFonts w:ascii="Google Sans" w:cs="Google Sans" w:eastAsia="Google Sans" w:hAnsi="Google Sans"/>
          <w:color w:val="1f1f1f"/>
          <w:rtl w:val="0"/>
        </w:rPr>
        <w:t xml:space="preserve"> However, practical implementation in financial markets is vastly different from closed-system games of chance with known variables.</w:t>
      </w:r>
      <w:r w:rsidDel="00000000" w:rsidR="00000000" w:rsidRPr="00000000">
        <w:rPr>
          <w:rFonts w:ascii="Google Sans" w:cs="Google Sans" w:eastAsia="Google Sans" w:hAnsi="Google Sans"/>
          <w:color w:val="444746"/>
          <w:sz w:val="24"/>
          <w:szCs w:val="24"/>
          <w:vertAlign w:val="superscript"/>
          <w:rtl w:val="0"/>
        </w:rPr>
        <w:t xml:space="preserve">89</w:t>
      </w:r>
      <w:r w:rsidDel="00000000" w:rsidR="00000000" w:rsidRPr="00000000">
        <w:rPr>
          <w:rFonts w:ascii="Google Sans" w:cs="Google Sans" w:eastAsia="Google Sans" w:hAnsi="Google Sans"/>
          <w:color w:val="1f1f1f"/>
          <w:rtl w:val="0"/>
        </w:rPr>
        <w:t xml:space="preserve"> Financial markets experience unpredictable tail-risk events, overnight gap-downs, and severe liquidity vacuums that cause slippage.</w:t>
      </w:r>
      <w:r w:rsidDel="00000000" w:rsidR="00000000" w:rsidRPr="00000000">
        <w:rPr>
          <w:rFonts w:ascii="Google Sans" w:cs="Google Sans" w:eastAsia="Google Sans" w:hAnsi="Google Sans"/>
          <w:color w:val="444746"/>
          <w:sz w:val="24"/>
          <w:szCs w:val="24"/>
          <w:vertAlign w:val="superscript"/>
          <w:rtl w:val="0"/>
        </w:rPr>
        <w:t xml:space="preserve">89</w:t>
      </w:r>
      <w:r w:rsidDel="00000000" w:rsidR="00000000" w:rsidRPr="00000000">
        <w:rPr>
          <w:rFonts w:ascii="Google Sans" w:cs="Google Sans" w:eastAsia="Google Sans" w:hAnsi="Google Sans"/>
          <w:color w:val="1f1f1f"/>
          <w:rtl w:val="0"/>
        </w:rPr>
        <w:t xml:space="preserve"> Furthermore, operating at full Kelly exposes the equity curve to catastrophic drawdowns exceeding 50%, a psychological breaking point that forces capitulation for almost all human operators.</w:t>
      </w:r>
      <w:r w:rsidDel="00000000" w:rsidR="00000000" w:rsidRPr="00000000">
        <w:rPr>
          <w:rFonts w:ascii="Google Sans" w:cs="Google Sans" w:eastAsia="Google Sans" w:hAnsi="Google Sans"/>
          <w:color w:val="444746"/>
          <w:sz w:val="24"/>
          <w:szCs w:val="24"/>
          <w:vertAlign w:val="superscript"/>
          <w:rtl w:val="0"/>
        </w:rPr>
        <w:t xml:space="preserve">85</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professional quantitative traders apply a "Fractional Kelly" approach.</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By taking the base Kelly output and risking only 10% to 25% of that calculated full amount (e.g., risking 1.6% to 4.0% of the account instead of the full 16%), traders significantly compress variance, eliminate the mathematical probability of ruin, and achieve smoother, continuous equity growth.</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F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Macro-Structural Influences: Index Rebalancing and Statistical Arbitrage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sophisticated MNQ futures playbook must also account for the mechanical realities and macroeconomic structures of the underlying cash index. The Nasdaq-100 is not a static, unchanging basket of equities; it undergoes rigorous, formulaic reconstitution and rebalancing that violently disrupts normal technical patterns.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Rebalancing Mechanism and Concentration Limits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Nasdaq-100 enforces a strict methodology designed to maintain compliance with IRS Regulated Investment Company diversification rules. This framework prevents individual mega-cap constituents from exceeding a 24% individual total index weight, and it strictly limits the aggregate weight of the largest issuers (defined as those individually weighing over 4.5%) from collectively breaching 48% of the total index.</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index undergoes scheduled, routine quarterly rebalancing that becomes effective on the first trading day following the third Friday in March, June, September, and December (which intentionally coincides with the massive liquidity events of "quadruple witching" options expirations).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"special rebalances" can be triggered mid-year by the exchange if mega-cap tech stocks trigger the concentration thresholds due to explosive, outsized price appreciation.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Passive Inflows and Hedging Volatility</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major rebalancing events are not merely administrative; they force massive passive mutual funds and ETFs (such as the QQQ ETF, which commands over $200 billion in assets under management) to mechanically buy billions of dollars in shares of the newly weighted or added constituents and liquidate shares of the removed or downgraded entities.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generates an immense injection of artificial, non-directional liquidity into the market.</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MNQ futures trader, these reconstitution windows present both high risk and highly lucrative statistical arbitrage opportunities. Quantitative execution desks construct pre-rebalance equity portfolios heavily weighted in the anticipated stock additions. They then calculate the value-weighted portfolio beta against the broader Nasdaq-100 index.</w:t>
      </w:r>
      <w:r w:rsidDel="00000000" w:rsidR="00000000" w:rsidRPr="00000000">
        <w:rPr>
          <w:rFonts w:ascii="Google Sans" w:cs="Google Sans" w:eastAsia="Google Sans" w:hAnsi="Google Sans"/>
          <w:color w:val="444746"/>
          <w:sz w:val="24"/>
          <w:szCs w:val="24"/>
          <w:vertAlign w:val="superscript"/>
          <w:rtl w:val="0"/>
        </w:rPr>
        <w:t xml:space="preserve">91</w:t>
      </w:r>
      <w:r w:rsidDel="00000000" w:rsidR="00000000" w:rsidRPr="00000000">
        <w:rPr>
          <w:rFonts w:ascii="Google Sans" w:cs="Google Sans" w:eastAsia="Google Sans" w:hAnsi="Google Sans"/>
          <w:color w:val="1f1f1f"/>
          <w:rtl w:val="0"/>
        </w:rPr>
        <w:t xml:space="preserve"> By dividing the equity portfolio's aggregate beta exposure by the MNQ contract's exact notional value, traders can mathematically calculate the specific number of short MNQ futures contracts required to delta-hedge the portfolio's broad market risk.</w:t>
      </w:r>
      <w:r w:rsidDel="00000000" w:rsidR="00000000" w:rsidRPr="00000000">
        <w:rPr>
          <w:rFonts w:ascii="Google Sans" w:cs="Google Sans" w:eastAsia="Google Sans" w:hAnsi="Google Sans"/>
          <w:color w:val="444746"/>
          <w:sz w:val="24"/>
          <w:szCs w:val="24"/>
          <w:vertAlign w:val="superscript"/>
          <w:rtl w:val="0"/>
        </w:rPr>
        <w:t xml:space="preserve">91</w:t>
      </w:r>
      <w:r w:rsidDel="00000000" w:rsidR="00000000" w:rsidRPr="00000000">
        <w:rPr>
          <w:rFonts w:ascii="Google Sans" w:cs="Google Sans" w:eastAsia="Google Sans" w:hAnsi="Google Sans"/>
          <w:color w:val="1f1f1f"/>
          <w:rtl w:val="0"/>
        </w:rPr>
        <w:t xml:space="preserve"> This advanced strategy isolates the pure, uncorrelated alpha generated by the passive inflows into the added stocks, while using the MNQ strictly as an instrument to neutralize systemic market movements.</w:t>
      </w:r>
      <w:r w:rsidDel="00000000" w:rsidR="00000000" w:rsidRPr="00000000">
        <w:rPr>
          <w:rFonts w:ascii="Google Sans" w:cs="Google Sans" w:eastAsia="Google Sans" w:hAnsi="Google Sans"/>
          <w:color w:val="444746"/>
          <w:sz w:val="24"/>
          <w:szCs w:val="24"/>
          <w:vertAlign w:val="superscript"/>
          <w:rtl w:val="0"/>
        </w:rPr>
        <w:t xml:space="preserve">91</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intraday participants who are not engaging in complex cross-asset statistical arbitrage, rebalancing days serve as a stark warning. Normal technical indicators (such as the RSI and MACD) and support/resistance pivot matrices frequently fail entirely during the last hour of a rebalance session, as billions of dollars of blind, mechanical MOC (Market-On-Close) order flow completely override standard technical mean-reversion logic.</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Strategic Integration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Micro E-mini Nasdaq-100 (MNQ) contract presents a uniquely powerful, highly capital-efficient conduit to one of the most dynamic, trend-heavy, and technologically focused indices in global finance. However, surviving and consistently extracting alpha from this high-beta instrument is mathematically impossible through unquantified intuition or emotional reactions to price movement.</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successful, professional MNQ playbook demands systemic, architectural rigidity. It begins with acknowledging the exact mathematical translation of index points to dollar equity, optimizing intraday capital margins, and skillfully navigating the liquidity voids that separate the morning momentum surge from the late-day institutional Power Hour. The systematic application of leading indicators—specifically institutional market internals such as the $TICK index and the Volume-Weighted Average Price (VWAP)—provides a vital structural map of the algorithmic battlefield. Trade entries must be triggered strictly by formulaic confluences of EMA momentum shifts, MACD divergence, and structural Pivot Point geometries, completely stripped of human emotional bias.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Above all, absolute mathematical dominance over risk dictates long-term survival. Expanding stop losses based dynamically on the Average True Range ensures survivability during VXN-implied volatility spikes, while sizing positions inversely to that volatility keeps actual capital exposure perfectly constant across all market regimes. By rigorously calculating strategy expectancy in R-multiples and perpetually optimizing position sizing via the Fractional Kelly Criterion, the act of day trading the MNQ transforms from a high-risk speculative endeavor into a highly controlled, rigorous statistical discipline.</w:t>
      </w:r>
    </w:p>
    <w:p w:rsidR="00000000" w:rsidDel="00000000" w:rsidP="00000000" w:rsidRDefault="00000000" w:rsidRPr="00000000" w14:paraId="0000010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 E-mini Nasdaq-100 Index Futures Quotes - CME Group, accessed March 24, 2026, </w:t>
      </w:r>
      <w:hyperlink r:id="rId85">
        <w:r w:rsidDel="00000000" w:rsidR="00000000" w:rsidRPr="00000000">
          <w:rPr>
            <w:rFonts w:ascii="Google Sans" w:cs="Google Sans" w:eastAsia="Google Sans" w:hAnsi="Google Sans"/>
            <w:color w:val="0000ee"/>
            <w:sz w:val="24"/>
            <w:szCs w:val="24"/>
            <w:u w:val="single"/>
            <w:rtl w:val="0"/>
          </w:rPr>
          <w:t xml:space="preserve">https://www.cmegroup.com/markets/equities/nasdaq/micro-e-mini-nasdaq-100.contractSpecs.html</w:t>
        </w:r>
      </w:hyperlink>
      <w:r w:rsidDel="00000000" w:rsidR="00000000" w:rsidRPr="00000000">
        <w:rPr>
          <w:rtl w:val="0"/>
        </w:rPr>
      </w:r>
    </w:p>
    <w:p w:rsidR="00000000" w:rsidDel="00000000" w:rsidP="00000000" w:rsidRDefault="00000000" w:rsidRPr="00000000" w14:paraId="0000010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Nasdaq Futures Trading Strategies - NinjaTrader, accessed March 24, 2026, </w:t>
      </w:r>
      <w:hyperlink r:id="rId86">
        <w:r w:rsidDel="00000000" w:rsidR="00000000" w:rsidRPr="00000000">
          <w:rPr>
            <w:rFonts w:ascii="Google Sans" w:cs="Google Sans" w:eastAsia="Google Sans" w:hAnsi="Google Sans"/>
            <w:color w:val="0000ee"/>
            <w:sz w:val="24"/>
            <w:szCs w:val="24"/>
            <w:u w:val="single"/>
            <w:rtl w:val="0"/>
          </w:rPr>
          <w:t xml:space="preserve">https://ninjatrader.com/futures/blogs/nasdaq-futures-trading-strategies/</w:t>
        </w:r>
      </w:hyperlink>
      <w:r w:rsidDel="00000000" w:rsidR="00000000" w:rsidRPr="00000000">
        <w:rPr>
          <w:rtl w:val="0"/>
        </w:rPr>
      </w:r>
    </w:p>
    <w:p w:rsidR="00000000" w:rsidDel="00000000" w:rsidP="00000000" w:rsidRDefault="00000000" w:rsidRPr="00000000" w14:paraId="0000010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Changes to the Nasdaq-100 Index - Investor Relations, accessed March 24, 2026, </w:t>
      </w:r>
      <w:hyperlink r:id="rId87">
        <w:r w:rsidDel="00000000" w:rsidR="00000000" w:rsidRPr="00000000">
          <w:rPr>
            <w:rFonts w:ascii="Google Sans" w:cs="Google Sans" w:eastAsia="Google Sans" w:hAnsi="Google Sans"/>
            <w:color w:val="0000ee"/>
            <w:sz w:val="24"/>
            <w:szCs w:val="24"/>
            <w:u w:val="single"/>
            <w:rtl w:val="0"/>
          </w:rPr>
          <w:t xml:space="preserve">https://ir.nasdaq.com/news-releases/news-release-details/annual-changes-nasdaq-100-indexr-2</w:t>
        </w:r>
      </w:hyperlink>
      <w:r w:rsidDel="00000000" w:rsidR="00000000" w:rsidRPr="00000000">
        <w:rPr>
          <w:rtl w:val="0"/>
        </w:rPr>
      </w:r>
    </w:p>
    <w:p w:rsidR="00000000" w:rsidDel="00000000" w:rsidP="00000000" w:rsidRDefault="00000000" w:rsidRPr="00000000" w14:paraId="0000010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Nasdaq-100 Futures? Explore How to Trade | CME Group, accessed March 24, 2026, </w:t>
      </w:r>
      <w:hyperlink r:id="rId88">
        <w:r w:rsidDel="00000000" w:rsidR="00000000" w:rsidRPr="00000000">
          <w:rPr>
            <w:rFonts w:ascii="Google Sans" w:cs="Google Sans" w:eastAsia="Google Sans" w:hAnsi="Google Sans"/>
            <w:color w:val="0000ee"/>
            <w:sz w:val="24"/>
            <w:szCs w:val="24"/>
            <w:u w:val="single"/>
            <w:rtl w:val="0"/>
          </w:rPr>
          <w:t xml:space="preserve">https://www.cmegroup.com/markets/equities/nasdaq/nasdaq-futures.html</w:t>
        </w:r>
      </w:hyperlink>
      <w:r w:rsidDel="00000000" w:rsidR="00000000" w:rsidRPr="00000000">
        <w:rPr>
          <w:rtl w:val="0"/>
        </w:rPr>
      </w:r>
    </w:p>
    <w:p w:rsidR="00000000" w:rsidDel="00000000" w:rsidP="00000000" w:rsidRDefault="00000000" w:rsidRPr="00000000" w14:paraId="0000010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NASDAQ Futures: Trading Strategies for Tech Indices - TradingSim, accessed March 24, 2026, </w:t>
      </w:r>
      <w:hyperlink r:id="rId89">
        <w:r w:rsidDel="00000000" w:rsidR="00000000" w:rsidRPr="00000000">
          <w:rPr>
            <w:rFonts w:ascii="Google Sans" w:cs="Google Sans" w:eastAsia="Google Sans" w:hAnsi="Google Sans"/>
            <w:color w:val="0000ee"/>
            <w:sz w:val="24"/>
            <w:szCs w:val="24"/>
            <w:u w:val="single"/>
            <w:rtl w:val="0"/>
          </w:rPr>
          <w:t xml:space="preserve">https://www.tradingsim.com/blog/mastering-nasdaq-futures-trading-strategies-for-tech-indices</w:t>
        </w:r>
      </w:hyperlink>
      <w:r w:rsidDel="00000000" w:rsidR="00000000" w:rsidRPr="00000000">
        <w:rPr>
          <w:rtl w:val="0"/>
        </w:rPr>
      </w:r>
    </w:p>
    <w:p w:rsidR="00000000" w:rsidDel="00000000" w:rsidP="00000000" w:rsidRDefault="00000000" w:rsidRPr="00000000" w14:paraId="0000010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 E-mini Nasdaq-100 Index Futures Quotes - CME Group, accessed March 24, 2026, </w:t>
      </w:r>
      <w:hyperlink r:id="rId90">
        <w:r w:rsidDel="00000000" w:rsidR="00000000" w:rsidRPr="00000000">
          <w:rPr>
            <w:rFonts w:ascii="Google Sans" w:cs="Google Sans" w:eastAsia="Google Sans" w:hAnsi="Google Sans"/>
            <w:color w:val="0000ee"/>
            <w:sz w:val="24"/>
            <w:szCs w:val="24"/>
            <w:u w:val="single"/>
            <w:rtl w:val="0"/>
          </w:rPr>
          <w:t xml:space="preserve">https://www.cmegroup.com/markets/equities/nasdaq/micro-e-mini-nasdaq-100.html</w:t>
        </w:r>
      </w:hyperlink>
      <w:r w:rsidDel="00000000" w:rsidR="00000000" w:rsidRPr="00000000">
        <w:rPr>
          <w:rtl w:val="0"/>
        </w:rPr>
      </w:r>
    </w:p>
    <w:p w:rsidR="00000000" w:rsidDel="00000000" w:rsidP="00000000" w:rsidRDefault="00000000" w:rsidRPr="00000000" w14:paraId="0000010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 Trading Risk Management Strategies - Warrior Trading, accessed March 24, 2026, </w:t>
      </w:r>
      <w:hyperlink r:id="rId91">
        <w:r w:rsidDel="00000000" w:rsidR="00000000" w:rsidRPr="00000000">
          <w:rPr>
            <w:rFonts w:ascii="Google Sans" w:cs="Google Sans" w:eastAsia="Google Sans" w:hAnsi="Google Sans"/>
            <w:color w:val="0000ee"/>
            <w:sz w:val="24"/>
            <w:szCs w:val="24"/>
            <w:u w:val="single"/>
            <w:rtl w:val="0"/>
          </w:rPr>
          <w:t xml:space="preserve">https://www.warriortrading.com/day-trading-risk-management/</w:t>
        </w:r>
      </w:hyperlink>
      <w:r w:rsidDel="00000000" w:rsidR="00000000" w:rsidRPr="00000000">
        <w:rPr>
          <w:rtl w:val="0"/>
        </w:rPr>
      </w:r>
    </w:p>
    <w:p w:rsidR="00000000" w:rsidDel="00000000" w:rsidP="00000000" w:rsidRDefault="00000000" w:rsidRPr="00000000" w14:paraId="0000011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Position Sizing - Strategies for Effective Risk Management - Earn2Trade Blog, accessed March 24, 2026, </w:t>
      </w:r>
      <w:hyperlink r:id="rId92">
        <w:r w:rsidDel="00000000" w:rsidR="00000000" w:rsidRPr="00000000">
          <w:rPr>
            <w:rFonts w:ascii="Google Sans" w:cs="Google Sans" w:eastAsia="Google Sans" w:hAnsi="Google Sans"/>
            <w:color w:val="0000ee"/>
            <w:sz w:val="24"/>
            <w:szCs w:val="24"/>
            <w:u w:val="single"/>
            <w:rtl w:val="0"/>
          </w:rPr>
          <w:t xml:space="preserve">https://www.earn2trade.com/blog/position-sizing-strategies/</w:t>
        </w:r>
      </w:hyperlink>
      <w:r w:rsidDel="00000000" w:rsidR="00000000" w:rsidRPr="00000000">
        <w:rPr>
          <w:rtl w:val="0"/>
        </w:rPr>
      </w:r>
    </w:p>
    <w:p w:rsidR="00000000" w:rsidDel="00000000" w:rsidP="00000000" w:rsidRDefault="00000000" w:rsidRPr="00000000" w14:paraId="0000011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ATR Multiple Stop — The Answer to Stop Loss Challenges? - GO Markets, accessed March 24, 2026, </w:t>
      </w:r>
      <w:hyperlink r:id="rId93">
        <w:r w:rsidDel="00000000" w:rsidR="00000000" w:rsidRPr="00000000">
          <w:rPr>
            <w:rFonts w:ascii="Google Sans" w:cs="Google Sans" w:eastAsia="Google Sans" w:hAnsi="Google Sans"/>
            <w:color w:val="0000ee"/>
            <w:sz w:val="24"/>
            <w:szCs w:val="24"/>
            <w:u w:val="single"/>
            <w:rtl w:val="0"/>
          </w:rPr>
          <w:t xml:space="preserve">https://www.gomarkets.com/en-au/articles/the-atr-multiple-stop----the-answer-to-stop-loss-challenges</w:t>
        </w:r>
      </w:hyperlink>
      <w:r w:rsidDel="00000000" w:rsidR="00000000" w:rsidRPr="00000000">
        <w:rPr>
          <w:rtl w:val="0"/>
        </w:rPr>
      </w:r>
    </w:p>
    <w:p w:rsidR="00000000" w:rsidDel="00000000" w:rsidP="00000000" w:rsidRDefault="00000000" w:rsidRPr="00000000" w14:paraId="0000011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 E-mini options - CME Group, accessed March 24, 2026, </w:t>
      </w:r>
      <w:hyperlink r:id="rId94">
        <w:r w:rsidDel="00000000" w:rsidR="00000000" w:rsidRPr="00000000">
          <w:rPr>
            <w:rFonts w:ascii="Google Sans" w:cs="Google Sans" w:eastAsia="Google Sans" w:hAnsi="Google Sans"/>
            <w:color w:val="0000ee"/>
            <w:sz w:val="24"/>
            <w:szCs w:val="24"/>
            <w:u w:val="single"/>
            <w:rtl w:val="0"/>
          </w:rPr>
          <w:t xml:space="preserve">https://www.cmegroup.com/trading/equity-index/us-index/micro-e-mini-options.html</w:t>
        </w:r>
      </w:hyperlink>
      <w:r w:rsidDel="00000000" w:rsidR="00000000" w:rsidRPr="00000000">
        <w:rPr>
          <w:rtl w:val="0"/>
        </w:rPr>
      </w:r>
    </w:p>
    <w:p w:rsidR="00000000" w:rsidDel="00000000" w:rsidP="00000000" w:rsidRDefault="00000000" w:rsidRPr="00000000" w14:paraId="0000011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Tick Size &amp; Tick Value - NinjaTrader, accessed March 24, 2026, </w:t>
      </w:r>
      <w:hyperlink r:id="rId95">
        <w:r w:rsidDel="00000000" w:rsidR="00000000" w:rsidRPr="00000000">
          <w:rPr>
            <w:rFonts w:ascii="Google Sans" w:cs="Google Sans" w:eastAsia="Google Sans" w:hAnsi="Google Sans"/>
            <w:color w:val="0000ee"/>
            <w:sz w:val="24"/>
            <w:szCs w:val="24"/>
            <w:u w:val="single"/>
            <w:rtl w:val="0"/>
          </w:rPr>
          <w:t xml:space="preserve">https://support.ninjatrader.com/s/article/Tick-Size-and-Tick-Value</w:t>
        </w:r>
      </w:hyperlink>
      <w:r w:rsidDel="00000000" w:rsidR="00000000" w:rsidRPr="00000000">
        <w:rPr>
          <w:rtl w:val="0"/>
        </w:rPr>
      </w:r>
    </w:p>
    <w:p w:rsidR="00000000" w:rsidDel="00000000" w:rsidP="00000000" w:rsidRDefault="00000000" w:rsidRPr="00000000" w14:paraId="0000011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Tick Size and Tick Value Work in Futures Trading? | Insignia Futures &amp; Options, accessed March 24, 2026, </w:t>
      </w:r>
      <w:hyperlink r:id="rId96">
        <w:r w:rsidDel="00000000" w:rsidR="00000000" w:rsidRPr="00000000">
          <w:rPr>
            <w:rFonts w:ascii="Google Sans" w:cs="Google Sans" w:eastAsia="Google Sans" w:hAnsi="Google Sans"/>
            <w:color w:val="0000ee"/>
            <w:sz w:val="24"/>
            <w:szCs w:val="24"/>
            <w:u w:val="single"/>
            <w:rtl w:val="0"/>
          </w:rPr>
          <w:t xml:space="preserve">https://insigniafutures.com/how-does-tick-size-and-tick-value-work-in-futures-trading/</w:t>
        </w:r>
      </w:hyperlink>
      <w:r w:rsidDel="00000000" w:rsidR="00000000" w:rsidRPr="00000000">
        <w:rPr>
          <w:rtl w:val="0"/>
        </w:rPr>
      </w:r>
    </w:p>
    <w:p w:rsidR="00000000" w:rsidDel="00000000" w:rsidP="00000000" w:rsidRDefault="00000000" w:rsidRPr="00000000" w14:paraId="0000011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Calculate Profit and Loss in Nasdaq Futures (NQ &amp; MNQ) Using Tick Values, accessed March 24, 2026, </w:t>
      </w:r>
      <w:hyperlink r:id="rId97">
        <w:r w:rsidDel="00000000" w:rsidR="00000000" w:rsidRPr="00000000">
          <w:rPr>
            <w:rFonts w:ascii="Google Sans" w:cs="Google Sans" w:eastAsia="Google Sans" w:hAnsi="Google Sans"/>
            <w:color w:val="0000ee"/>
            <w:sz w:val="24"/>
            <w:szCs w:val="24"/>
            <w:u w:val="single"/>
            <w:rtl w:val="0"/>
          </w:rPr>
          <w:t xml:space="preserve">https://www.quantvps.com/blog/how-to-calculate-profit-and-loss-in-nasdaq-futures-using-tick-values</w:t>
        </w:r>
      </w:hyperlink>
      <w:r w:rsidDel="00000000" w:rsidR="00000000" w:rsidRPr="00000000">
        <w:rPr>
          <w:rtl w:val="0"/>
        </w:rPr>
      </w:r>
    </w:p>
    <w:p w:rsidR="00000000" w:rsidDel="00000000" w:rsidP="00000000" w:rsidRDefault="00000000" w:rsidRPr="00000000" w14:paraId="0000011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Many Points Are in a Tick on NQ and MNQ Futures? - QuantVPS, accessed March 24, 2026, </w:t>
      </w:r>
      <w:hyperlink r:id="rId98">
        <w:r w:rsidDel="00000000" w:rsidR="00000000" w:rsidRPr="00000000">
          <w:rPr>
            <w:rFonts w:ascii="Google Sans" w:cs="Google Sans" w:eastAsia="Google Sans" w:hAnsi="Google Sans"/>
            <w:color w:val="0000ee"/>
            <w:sz w:val="24"/>
            <w:szCs w:val="24"/>
            <w:u w:val="single"/>
            <w:rtl w:val="0"/>
          </w:rPr>
          <w:t xml:space="preserve">https://www.quantvps.com/blog/how-many-points-are-in-a-tick-on-nasdaq-futures</w:t>
        </w:r>
      </w:hyperlink>
      <w:r w:rsidDel="00000000" w:rsidR="00000000" w:rsidRPr="00000000">
        <w:rPr>
          <w:rtl w:val="0"/>
        </w:rPr>
      </w:r>
    </w:p>
    <w:p w:rsidR="00000000" w:rsidDel="00000000" w:rsidP="00000000" w:rsidRDefault="00000000" w:rsidRPr="00000000" w14:paraId="0000011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MNQ Trading Strategies | Everything You Need to Trade Big Tech - Optimus Futures, accessed March 24, 2026, </w:t>
      </w:r>
      <w:hyperlink r:id="rId99">
        <w:r w:rsidDel="00000000" w:rsidR="00000000" w:rsidRPr="00000000">
          <w:rPr>
            <w:rFonts w:ascii="Google Sans" w:cs="Google Sans" w:eastAsia="Google Sans" w:hAnsi="Google Sans"/>
            <w:color w:val="0000ee"/>
            <w:sz w:val="24"/>
            <w:szCs w:val="24"/>
            <w:u w:val="single"/>
            <w:rtl w:val="0"/>
          </w:rPr>
          <w:t xml:space="preserve">https://optimusfutures.com/blog/mnq-trading-strategies/</w:t>
        </w:r>
      </w:hyperlink>
      <w:r w:rsidDel="00000000" w:rsidR="00000000" w:rsidRPr="00000000">
        <w:rPr>
          <w:rtl w:val="0"/>
        </w:rPr>
      </w:r>
    </w:p>
    <w:p w:rsidR="00000000" w:rsidDel="00000000" w:rsidP="00000000" w:rsidRDefault="00000000" w:rsidRPr="00000000" w14:paraId="0000011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Position Sizing Principles - Optimus Futures Learn Center, accessed March 24, 2026, </w:t>
      </w:r>
      <w:hyperlink r:id="rId100">
        <w:r w:rsidDel="00000000" w:rsidR="00000000" w:rsidRPr="00000000">
          <w:rPr>
            <w:rFonts w:ascii="Google Sans" w:cs="Google Sans" w:eastAsia="Google Sans" w:hAnsi="Google Sans"/>
            <w:color w:val="0000ee"/>
            <w:sz w:val="24"/>
            <w:szCs w:val="24"/>
            <w:u w:val="single"/>
            <w:rtl w:val="0"/>
          </w:rPr>
          <w:t xml:space="preserve">https://learn.optimusfutures.com/position-sizing</w:t>
        </w:r>
      </w:hyperlink>
      <w:r w:rsidDel="00000000" w:rsidR="00000000" w:rsidRPr="00000000">
        <w:rPr>
          <w:rtl w:val="0"/>
        </w:rPr>
      </w:r>
    </w:p>
    <w:p w:rsidR="00000000" w:rsidDel="00000000" w:rsidP="00000000" w:rsidRDefault="00000000" w:rsidRPr="00000000" w14:paraId="0000011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Futures Math while trading : r/FuturesTrading - Reddit, accessed March 24, 2026, </w:t>
      </w:r>
      <w:hyperlink r:id="rId101">
        <w:r w:rsidDel="00000000" w:rsidR="00000000" w:rsidRPr="00000000">
          <w:rPr>
            <w:rFonts w:ascii="Google Sans" w:cs="Google Sans" w:eastAsia="Google Sans" w:hAnsi="Google Sans"/>
            <w:color w:val="0000ee"/>
            <w:sz w:val="24"/>
            <w:szCs w:val="24"/>
            <w:u w:val="single"/>
            <w:rtl w:val="0"/>
          </w:rPr>
          <w:t xml:space="preserve">https://www.reddit.com/r/FuturesTrading/comments/1m7nrv8/futures_math_while_trading/</w:t>
        </w:r>
      </w:hyperlink>
      <w:r w:rsidDel="00000000" w:rsidR="00000000" w:rsidRPr="00000000">
        <w:rPr>
          <w:rtl w:val="0"/>
        </w:rPr>
      </w:r>
    </w:p>
    <w:p w:rsidR="00000000" w:rsidDel="00000000" w:rsidP="00000000" w:rsidRDefault="00000000" w:rsidRPr="00000000" w14:paraId="0000011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 E-mini Futures - CME Group, accessed March 24, 2026, </w:t>
      </w:r>
      <w:hyperlink r:id="rId102">
        <w:r w:rsidDel="00000000" w:rsidR="00000000" w:rsidRPr="00000000">
          <w:rPr>
            <w:rFonts w:ascii="Google Sans" w:cs="Google Sans" w:eastAsia="Google Sans" w:hAnsi="Google Sans"/>
            <w:color w:val="0000ee"/>
            <w:sz w:val="24"/>
            <w:szCs w:val="24"/>
            <w:u w:val="single"/>
            <w:rtl w:val="0"/>
          </w:rPr>
          <w:t xml:space="preserve">https://www.cmegroup.com/trading/equity-index/files/cme-micro-e-mini-futures-fact-card.pdf</w:t>
        </w:r>
      </w:hyperlink>
      <w:r w:rsidDel="00000000" w:rsidR="00000000" w:rsidRPr="00000000">
        <w:rPr>
          <w:rtl w:val="0"/>
        </w:rPr>
      </w:r>
    </w:p>
    <w:p w:rsidR="00000000" w:rsidDel="00000000" w:rsidP="00000000" w:rsidRDefault="00000000" w:rsidRPr="00000000" w14:paraId="0000011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 Futures - Charles Schwab, accessed March 24, 2026, </w:t>
      </w:r>
      <w:hyperlink r:id="rId103">
        <w:r w:rsidDel="00000000" w:rsidR="00000000" w:rsidRPr="00000000">
          <w:rPr>
            <w:rFonts w:ascii="Google Sans" w:cs="Google Sans" w:eastAsia="Google Sans" w:hAnsi="Google Sans"/>
            <w:color w:val="0000ee"/>
            <w:sz w:val="24"/>
            <w:szCs w:val="24"/>
            <w:u w:val="single"/>
            <w:rtl w:val="0"/>
          </w:rPr>
          <w:t xml:space="preserve">https://www.schwab.com/futures/micro-futures</w:t>
        </w:r>
      </w:hyperlink>
      <w:r w:rsidDel="00000000" w:rsidR="00000000" w:rsidRPr="00000000">
        <w:rPr>
          <w:rtl w:val="0"/>
        </w:rPr>
      </w:r>
    </w:p>
    <w:p w:rsidR="00000000" w:rsidDel="00000000" w:rsidP="00000000" w:rsidRDefault="00000000" w:rsidRPr="00000000" w14:paraId="0000011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Futures Margin - Interactive Brokers, accessed March 24, 2026, </w:t>
      </w:r>
      <w:hyperlink r:id="rId104">
        <w:r w:rsidDel="00000000" w:rsidR="00000000" w:rsidRPr="00000000">
          <w:rPr>
            <w:rFonts w:ascii="Google Sans" w:cs="Google Sans" w:eastAsia="Google Sans" w:hAnsi="Google Sans"/>
            <w:color w:val="0000ee"/>
            <w:sz w:val="24"/>
            <w:szCs w:val="24"/>
            <w:u w:val="single"/>
            <w:rtl w:val="0"/>
          </w:rPr>
          <w:t xml:space="preserve">https://www.interactivebrokers.com.au/en/trading/marginRequirements/marginFutures.php</w:t>
        </w:r>
      </w:hyperlink>
      <w:r w:rsidDel="00000000" w:rsidR="00000000" w:rsidRPr="00000000">
        <w:rPr>
          <w:rtl w:val="0"/>
        </w:rPr>
      </w:r>
    </w:p>
    <w:p w:rsidR="00000000" w:rsidDel="00000000" w:rsidP="00000000" w:rsidRDefault="00000000" w:rsidRPr="00000000" w14:paraId="0000011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Margin in Futures Trading? - NinjaTrader, accessed March 24, 2026, </w:t>
      </w:r>
      <w:hyperlink r:id="rId105">
        <w:r w:rsidDel="00000000" w:rsidR="00000000" w:rsidRPr="00000000">
          <w:rPr>
            <w:rFonts w:ascii="Google Sans" w:cs="Google Sans" w:eastAsia="Google Sans" w:hAnsi="Google Sans"/>
            <w:color w:val="0000ee"/>
            <w:sz w:val="24"/>
            <w:szCs w:val="24"/>
            <w:u w:val="single"/>
            <w:rtl w:val="0"/>
          </w:rPr>
          <w:t xml:space="preserve">https://ninjatrader.com/learn/how-to-trade-futures/using-margin/</w:t>
        </w:r>
      </w:hyperlink>
      <w:r w:rsidDel="00000000" w:rsidR="00000000" w:rsidRPr="00000000">
        <w:rPr>
          <w:rtl w:val="0"/>
        </w:rPr>
      </w:r>
    </w:p>
    <w:p w:rsidR="00000000" w:rsidDel="00000000" w:rsidP="00000000" w:rsidRDefault="00000000" w:rsidRPr="00000000" w14:paraId="0000011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Margin Requirements at NinjaTrader Brokerage, accessed March 24, 2026, </w:t>
      </w:r>
      <w:hyperlink r:id="rId106">
        <w:r w:rsidDel="00000000" w:rsidR="00000000" w:rsidRPr="00000000">
          <w:rPr>
            <w:rFonts w:ascii="Google Sans" w:cs="Google Sans" w:eastAsia="Google Sans" w:hAnsi="Google Sans"/>
            <w:color w:val="0000ee"/>
            <w:sz w:val="24"/>
            <w:szCs w:val="24"/>
            <w:u w:val="single"/>
            <w:rtl w:val="0"/>
          </w:rPr>
          <w:t xml:space="preserve">https://support.ninjatrader.com/s/article/How-Can-I-Find-NinjaTrader-Margin-Requirements?language=en_US</w:t>
        </w:r>
      </w:hyperlink>
      <w:r w:rsidDel="00000000" w:rsidR="00000000" w:rsidRPr="00000000">
        <w:rPr>
          <w:rtl w:val="0"/>
        </w:rPr>
      </w:r>
    </w:p>
    <w:p w:rsidR="00000000" w:rsidDel="00000000" w:rsidP="00000000" w:rsidRDefault="00000000" w:rsidRPr="00000000" w14:paraId="0000011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Intraday Margins in Futures Day Trading - NinjaTrader, accessed March 24, 2026, </w:t>
      </w:r>
      <w:hyperlink r:id="rId107">
        <w:r w:rsidDel="00000000" w:rsidR="00000000" w:rsidRPr="00000000">
          <w:rPr>
            <w:rFonts w:ascii="Google Sans" w:cs="Google Sans" w:eastAsia="Google Sans" w:hAnsi="Google Sans"/>
            <w:color w:val="0000ee"/>
            <w:sz w:val="24"/>
            <w:szCs w:val="24"/>
            <w:u w:val="single"/>
            <w:rtl w:val="0"/>
          </w:rPr>
          <w:t xml:space="preserve">https://ninjatrader.com/futures/blogs/futures-day-trading-margins-intraday-margin/</w:t>
        </w:r>
      </w:hyperlink>
      <w:r w:rsidDel="00000000" w:rsidR="00000000" w:rsidRPr="00000000">
        <w:rPr>
          <w:rtl w:val="0"/>
        </w:rPr>
      </w:r>
    </w:p>
    <w:p w:rsidR="00000000" w:rsidDel="00000000" w:rsidP="00000000" w:rsidRDefault="00000000" w:rsidRPr="00000000" w14:paraId="0000012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Margin Policy and Position Management in Futures Trading - NinjaTrader, accessed March 24, 2026, </w:t>
      </w:r>
      <w:hyperlink r:id="rId108">
        <w:r w:rsidDel="00000000" w:rsidR="00000000" w:rsidRPr="00000000">
          <w:rPr>
            <w:rFonts w:ascii="Google Sans" w:cs="Google Sans" w:eastAsia="Google Sans" w:hAnsi="Google Sans"/>
            <w:color w:val="0000ee"/>
            <w:sz w:val="24"/>
            <w:szCs w:val="24"/>
            <w:u w:val="single"/>
            <w:rtl w:val="0"/>
          </w:rPr>
          <w:t xml:space="preserve">https://ninjatrader.com/pricing/margins-position-management/</w:t>
        </w:r>
      </w:hyperlink>
      <w:r w:rsidDel="00000000" w:rsidR="00000000" w:rsidRPr="00000000">
        <w:rPr>
          <w:rtl w:val="0"/>
        </w:rPr>
      </w:r>
    </w:p>
    <w:p w:rsidR="00000000" w:rsidDel="00000000" w:rsidP="00000000" w:rsidRDefault="00000000" w:rsidRPr="00000000" w14:paraId="0000012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MNQ Tick Value: Micro E-mini Futures Contract Specs - QuantVPS, accessed March 24, 2026, </w:t>
      </w:r>
      <w:hyperlink r:id="rId109">
        <w:r w:rsidDel="00000000" w:rsidR="00000000" w:rsidRPr="00000000">
          <w:rPr>
            <w:rFonts w:ascii="Google Sans" w:cs="Google Sans" w:eastAsia="Google Sans" w:hAnsi="Google Sans"/>
            <w:color w:val="0000ee"/>
            <w:sz w:val="24"/>
            <w:szCs w:val="24"/>
            <w:u w:val="single"/>
            <w:rtl w:val="0"/>
          </w:rPr>
          <w:t xml:space="preserve">https://www.quantvps.com/blog/mnq-tick-value</w:t>
        </w:r>
      </w:hyperlink>
      <w:r w:rsidDel="00000000" w:rsidR="00000000" w:rsidRPr="00000000">
        <w:rPr>
          <w:rtl w:val="0"/>
        </w:rPr>
      </w:r>
    </w:p>
    <w:p w:rsidR="00000000" w:rsidDel="00000000" w:rsidP="00000000" w:rsidRDefault="00000000" w:rsidRPr="00000000" w14:paraId="0000012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Time of Day Affects Trade Success - LuxAlgo, accessed March 24, 2026, </w:t>
      </w:r>
      <w:hyperlink r:id="rId110">
        <w:r w:rsidDel="00000000" w:rsidR="00000000" w:rsidRPr="00000000">
          <w:rPr>
            <w:rFonts w:ascii="Google Sans" w:cs="Google Sans" w:eastAsia="Google Sans" w:hAnsi="Google Sans"/>
            <w:color w:val="0000ee"/>
            <w:sz w:val="24"/>
            <w:szCs w:val="24"/>
            <w:u w:val="single"/>
            <w:rtl w:val="0"/>
          </w:rPr>
          <w:t xml:space="preserve">https://www.luxalgo.com/blog/how-time-of-day-affects-trade-success/</w:t>
        </w:r>
      </w:hyperlink>
      <w:r w:rsidDel="00000000" w:rsidR="00000000" w:rsidRPr="00000000">
        <w:rPr>
          <w:rtl w:val="0"/>
        </w:rPr>
      </w:r>
    </w:p>
    <w:p w:rsidR="00000000" w:rsidDel="00000000" w:rsidP="00000000" w:rsidRDefault="00000000" w:rsidRPr="00000000" w14:paraId="0000012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best time of day to trade futures? - NinjaTrader, accessed March 24, 2026, </w:t>
      </w:r>
      <w:hyperlink r:id="rId111">
        <w:r w:rsidDel="00000000" w:rsidR="00000000" w:rsidRPr="00000000">
          <w:rPr>
            <w:rFonts w:ascii="Google Sans" w:cs="Google Sans" w:eastAsia="Google Sans" w:hAnsi="Google Sans"/>
            <w:color w:val="0000ee"/>
            <w:sz w:val="24"/>
            <w:szCs w:val="24"/>
            <w:u w:val="single"/>
            <w:rtl w:val="0"/>
          </w:rPr>
          <w:t xml:space="preserve">https://ninjatrader.com/futures/blogs/best-time-of-day-to-trade-futures/</w:t>
        </w:r>
      </w:hyperlink>
      <w:r w:rsidDel="00000000" w:rsidR="00000000" w:rsidRPr="00000000">
        <w:rPr>
          <w:rtl w:val="0"/>
        </w:rPr>
      </w:r>
    </w:p>
    <w:p w:rsidR="00000000" w:rsidDel="00000000" w:rsidP="00000000" w:rsidRDefault="00000000" w:rsidRPr="00000000" w14:paraId="0000012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Pre-Market Trading: Hours, Strategies &amp; Key Insights, accessed March 24, 2026, </w:t>
      </w:r>
      <w:hyperlink r:id="rId112">
        <w:r w:rsidDel="00000000" w:rsidR="00000000" w:rsidRPr="00000000">
          <w:rPr>
            <w:rFonts w:ascii="Google Sans" w:cs="Google Sans" w:eastAsia="Google Sans" w:hAnsi="Google Sans"/>
            <w:color w:val="0000ee"/>
            <w:sz w:val="24"/>
            <w:szCs w:val="24"/>
            <w:u w:val="single"/>
            <w:rtl w:val="0"/>
          </w:rPr>
          <w:t xml:space="preserve">https://www.startrader.com/knowledge-intermediate/pre-market-trading-hours-strategies-key-insights/</w:t>
        </w:r>
      </w:hyperlink>
      <w:r w:rsidDel="00000000" w:rsidR="00000000" w:rsidRPr="00000000">
        <w:rPr>
          <w:rtl w:val="0"/>
        </w:rPr>
      </w:r>
    </w:p>
    <w:p w:rsidR="00000000" w:rsidDel="00000000" w:rsidP="00000000" w:rsidRDefault="00000000" w:rsidRPr="00000000" w14:paraId="0000012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Trade in Premarket: A Stock &amp; Stock CFD Guide for Active Traders - XBTFX, accessed March 24, 2026, </w:t>
      </w:r>
      <w:hyperlink r:id="rId113">
        <w:r w:rsidDel="00000000" w:rsidR="00000000" w:rsidRPr="00000000">
          <w:rPr>
            <w:rFonts w:ascii="Google Sans" w:cs="Google Sans" w:eastAsia="Google Sans" w:hAnsi="Google Sans"/>
            <w:color w:val="0000ee"/>
            <w:sz w:val="24"/>
            <w:szCs w:val="24"/>
            <w:u w:val="single"/>
            <w:rtl w:val="0"/>
          </w:rPr>
          <w:t xml:space="preserve">https://xbtfx.com/article/how-to-trade-in-premarket</w:t>
        </w:r>
      </w:hyperlink>
      <w:r w:rsidDel="00000000" w:rsidR="00000000" w:rsidRPr="00000000">
        <w:rPr>
          <w:rtl w:val="0"/>
        </w:rPr>
      </w:r>
    </w:p>
    <w:p w:rsidR="00000000" w:rsidDel="00000000" w:rsidP="00000000" w:rsidRDefault="00000000" w:rsidRPr="00000000" w14:paraId="0000012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Power Hour in Stocks - Warrior Trading, accessed March 24, 2026, </w:t>
      </w:r>
      <w:hyperlink r:id="rId114">
        <w:r w:rsidDel="00000000" w:rsidR="00000000" w:rsidRPr="00000000">
          <w:rPr>
            <w:rFonts w:ascii="Google Sans" w:cs="Google Sans" w:eastAsia="Google Sans" w:hAnsi="Google Sans"/>
            <w:color w:val="0000ee"/>
            <w:sz w:val="24"/>
            <w:szCs w:val="24"/>
            <w:u w:val="single"/>
            <w:rtl w:val="0"/>
          </w:rPr>
          <w:t xml:space="preserve">https://www.warriortrading.com/power-hour-stocks/</w:t>
        </w:r>
      </w:hyperlink>
      <w:r w:rsidDel="00000000" w:rsidR="00000000" w:rsidRPr="00000000">
        <w:rPr>
          <w:rtl w:val="0"/>
        </w:rPr>
      </w:r>
    </w:p>
    <w:p w:rsidR="00000000" w:rsidDel="00000000" w:rsidP="00000000" w:rsidRDefault="00000000" w:rsidRPr="00000000" w14:paraId="0000012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Pre-Market Trading: Risks and Opportunities - Gotrade, accessed March 24, 2026, </w:t>
      </w:r>
      <w:hyperlink r:id="rId115">
        <w:r w:rsidDel="00000000" w:rsidR="00000000" w:rsidRPr="00000000">
          <w:rPr>
            <w:rFonts w:ascii="Google Sans" w:cs="Google Sans" w:eastAsia="Google Sans" w:hAnsi="Google Sans"/>
            <w:color w:val="0000ee"/>
            <w:sz w:val="24"/>
            <w:szCs w:val="24"/>
            <w:u w:val="single"/>
            <w:rtl w:val="0"/>
          </w:rPr>
          <w:t xml:space="preserve">https://www.heygotrade.com/en/blog/understanding-pre-market-trading</w:t>
        </w:r>
      </w:hyperlink>
      <w:r w:rsidDel="00000000" w:rsidR="00000000" w:rsidRPr="00000000">
        <w:rPr>
          <w:rtl w:val="0"/>
        </w:rPr>
      </w:r>
    </w:p>
    <w:p w:rsidR="00000000" w:rsidDel="00000000" w:rsidP="00000000" w:rsidRDefault="00000000" w:rsidRPr="00000000" w14:paraId="0000012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Steps to Build a Pre-Trading Routine | For Traders, accessed March 24, 2026, </w:t>
      </w:r>
      <w:hyperlink r:id="rId116">
        <w:r w:rsidDel="00000000" w:rsidR="00000000" w:rsidRPr="00000000">
          <w:rPr>
            <w:rFonts w:ascii="Google Sans" w:cs="Google Sans" w:eastAsia="Google Sans" w:hAnsi="Google Sans"/>
            <w:color w:val="0000ee"/>
            <w:sz w:val="24"/>
            <w:szCs w:val="24"/>
            <w:u w:val="single"/>
            <w:rtl w:val="0"/>
          </w:rPr>
          <w:t xml:space="preserve">https://www.fortraders.com/blog/7-steps-to-build-a-pre-trading-routine</w:t>
        </w:r>
      </w:hyperlink>
      <w:r w:rsidDel="00000000" w:rsidR="00000000" w:rsidRPr="00000000">
        <w:rPr>
          <w:rtl w:val="0"/>
        </w:rPr>
      </w:r>
    </w:p>
    <w:p w:rsidR="00000000" w:rsidDel="00000000" w:rsidP="00000000" w:rsidRDefault="00000000" w:rsidRPr="00000000" w14:paraId="0000012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range breakout trading strategy | Trader's Blog - FBS, accessed March 24, 2026, </w:t>
      </w:r>
      <w:hyperlink r:id="rId117">
        <w:r w:rsidDel="00000000" w:rsidR="00000000" w:rsidRPr="00000000">
          <w:rPr>
            <w:rFonts w:ascii="Google Sans" w:cs="Google Sans" w:eastAsia="Google Sans" w:hAnsi="Google Sans"/>
            <w:color w:val="0000ee"/>
            <w:sz w:val="24"/>
            <w:szCs w:val="24"/>
            <w:u w:val="single"/>
            <w:rtl w:val="0"/>
          </w:rPr>
          <w:t xml:space="preserve">https://fbs.com/fbs-academy/traders-blog/opening-range-breakout-trading-strategy</w:t>
        </w:r>
      </w:hyperlink>
      <w:r w:rsidDel="00000000" w:rsidR="00000000" w:rsidRPr="00000000">
        <w:rPr>
          <w:rtl w:val="0"/>
        </w:rPr>
      </w:r>
    </w:p>
    <w:p w:rsidR="00000000" w:rsidDel="00000000" w:rsidP="00000000" w:rsidRDefault="00000000" w:rsidRPr="00000000" w14:paraId="0000012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Checklist – Pre-Market Routine for Trader Template | Notion Marketplace, accessed March 24, 2026, </w:t>
      </w:r>
      <w:hyperlink r:id="rId118">
        <w:r w:rsidDel="00000000" w:rsidR="00000000" w:rsidRPr="00000000">
          <w:rPr>
            <w:rFonts w:ascii="Google Sans" w:cs="Google Sans" w:eastAsia="Google Sans" w:hAnsi="Google Sans"/>
            <w:color w:val="0000ee"/>
            <w:sz w:val="24"/>
            <w:szCs w:val="24"/>
            <w:u w:val="single"/>
            <w:rtl w:val="0"/>
          </w:rPr>
          <w:t xml:space="preserve">https://www.notion.com/templates/trading-checklist</w:t>
        </w:r>
      </w:hyperlink>
      <w:r w:rsidDel="00000000" w:rsidR="00000000" w:rsidRPr="00000000">
        <w:rPr>
          <w:rtl w:val="0"/>
        </w:rPr>
      </w:r>
    </w:p>
    <w:p w:rsidR="00000000" w:rsidDel="00000000" w:rsidP="00000000" w:rsidRDefault="00000000" w:rsidRPr="00000000" w14:paraId="0000012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to Know about the Nasdaq-100 Special Rebalance - Callan, accessed March 24, 2026, </w:t>
      </w:r>
      <w:hyperlink r:id="rId119">
        <w:r w:rsidDel="00000000" w:rsidR="00000000" w:rsidRPr="00000000">
          <w:rPr>
            <w:rFonts w:ascii="Google Sans" w:cs="Google Sans" w:eastAsia="Google Sans" w:hAnsi="Google Sans"/>
            <w:color w:val="0000ee"/>
            <w:sz w:val="24"/>
            <w:szCs w:val="24"/>
            <w:u w:val="single"/>
            <w:rtl w:val="0"/>
          </w:rPr>
          <w:t xml:space="preserve">https://www.callan.com/blog/nasdaq-100/</w:t>
        </w:r>
      </w:hyperlink>
      <w:r w:rsidDel="00000000" w:rsidR="00000000" w:rsidRPr="00000000">
        <w:rPr>
          <w:rtl w:val="0"/>
        </w:rPr>
      </w:r>
    </w:p>
    <w:p w:rsidR="00000000" w:rsidDel="00000000" w:rsidP="00000000" w:rsidRDefault="00000000" w:rsidRPr="00000000" w14:paraId="0000012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equal-weighted portfolio consisting of Apple, Microsoft, and Nvidia strongly correlates with the Nasdaq 100 Index - VT Markets, accessed March 24, 2026, </w:t>
      </w:r>
      <w:hyperlink r:id="rId120">
        <w:r w:rsidDel="00000000" w:rsidR="00000000" w:rsidRPr="00000000">
          <w:rPr>
            <w:rFonts w:ascii="Google Sans" w:cs="Google Sans" w:eastAsia="Google Sans" w:hAnsi="Google Sans"/>
            <w:color w:val="0000ee"/>
            <w:sz w:val="24"/>
            <w:szCs w:val="24"/>
            <w:u w:val="single"/>
            <w:rtl w:val="0"/>
          </w:rPr>
          <w:t xml:space="preserve">https://www.vtmarkets.com/live-updates/an-equal-weighted-portfolio-consisting-of-apple-microsoft-and-nvidia-strongly-correlates-with-the-nasdaq-100-index/</w:t>
        </w:r>
      </w:hyperlink>
      <w:r w:rsidDel="00000000" w:rsidR="00000000" w:rsidRPr="00000000">
        <w:rPr>
          <w:rtl w:val="0"/>
        </w:rPr>
      </w:r>
    </w:p>
    <w:p w:rsidR="00000000" w:rsidDel="00000000" w:rsidP="00000000" w:rsidRDefault="00000000" w:rsidRPr="00000000" w14:paraId="0000012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Magnificent Stock That Could Join Nvidia, Microsoft, and Apple in the $3 Trillion Club, accessed March 24, 2026, </w:t>
      </w:r>
      <w:hyperlink r:id="rId121">
        <w:r w:rsidDel="00000000" w:rsidR="00000000" w:rsidRPr="00000000">
          <w:rPr>
            <w:rFonts w:ascii="Google Sans" w:cs="Google Sans" w:eastAsia="Google Sans" w:hAnsi="Google Sans"/>
            <w:color w:val="0000ee"/>
            <w:sz w:val="24"/>
            <w:szCs w:val="24"/>
            <w:u w:val="single"/>
            <w:rtl w:val="0"/>
          </w:rPr>
          <w:t xml:space="preserve">https://www.nasdaq.com/articles/1-magnificent-stock-could-join-nvidia-microsoft-and-apple-3-trillion-club</w:t>
        </w:r>
      </w:hyperlink>
      <w:r w:rsidDel="00000000" w:rsidR="00000000" w:rsidRPr="00000000">
        <w:rPr>
          <w:rtl w:val="0"/>
        </w:rPr>
      </w:r>
    </w:p>
    <w:p w:rsidR="00000000" w:rsidDel="00000000" w:rsidP="00000000" w:rsidRDefault="00000000" w:rsidRPr="00000000" w14:paraId="0000012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Apple, Microsoft: Analysing the AI thesis and key risks in Q4 2025 earnings - Oanda, accessed March 24, 2026, </w:t>
      </w:r>
      <w:hyperlink r:id="rId122">
        <w:r w:rsidDel="00000000" w:rsidR="00000000" w:rsidRPr="00000000">
          <w:rPr>
            <w:rFonts w:ascii="Google Sans" w:cs="Google Sans" w:eastAsia="Google Sans" w:hAnsi="Google Sans"/>
            <w:color w:val="0000ee"/>
            <w:sz w:val="24"/>
            <w:szCs w:val="24"/>
            <w:u w:val="single"/>
            <w:rtl w:val="0"/>
          </w:rPr>
          <w:t xml:space="preserve">https://www.oanda.com/uk-en/trading/learn/strategies-for-trading-individual-instruments-and-asset-classes/analysing-ai-thesis-key-risks-q4-2025-earnings/</w:t>
        </w:r>
      </w:hyperlink>
      <w:r w:rsidDel="00000000" w:rsidR="00000000" w:rsidRPr="00000000">
        <w:rPr>
          <w:rtl w:val="0"/>
        </w:rPr>
      </w:r>
    </w:p>
    <w:p w:rsidR="00000000" w:rsidDel="00000000" w:rsidP="00000000" w:rsidRDefault="00000000" w:rsidRPr="00000000" w14:paraId="0000012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Micro Devices Trades Below Peer Valuation Despite 40% EPS Growth, accessed March 24, 2026, </w:t>
      </w:r>
      <w:hyperlink r:id="rId123">
        <w:r w:rsidDel="00000000" w:rsidR="00000000" w:rsidRPr="00000000">
          <w:rPr>
            <w:rFonts w:ascii="Google Sans" w:cs="Google Sans" w:eastAsia="Google Sans" w:hAnsi="Google Sans"/>
            <w:color w:val="0000ee"/>
            <w:sz w:val="24"/>
            <w:szCs w:val="24"/>
            <w:u w:val="single"/>
            <w:rtl w:val="0"/>
          </w:rPr>
          <w:t xml:space="preserve">https://www.investing.com/analysis/advanced-micro-devices-trades-below-peer-valuation-despite-40-eps-growth-200677114</w:t>
        </w:r>
      </w:hyperlink>
      <w:r w:rsidDel="00000000" w:rsidR="00000000" w:rsidRPr="00000000">
        <w:rPr>
          <w:rtl w:val="0"/>
        </w:rPr>
      </w:r>
    </w:p>
    <w:p w:rsidR="00000000" w:rsidDel="00000000" w:rsidP="00000000" w:rsidRDefault="00000000" w:rsidRPr="00000000" w14:paraId="0000013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Market Internals in Trading, accessed March 24, 2026, </w:t>
      </w:r>
      <w:hyperlink r:id="rId124">
        <w:r w:rsidDel="00000000" w:rsidR="00000000" w:rsidRPr="00000000">
          <w:rPr>
            <w:rFonts w:ascii="Google Sans" w:cs="Google Sans" w:eastAsia="Google Sans" w:hAnsi="Google Sans"/>
            <w:color w:val="0000ee"/>
            <w:sz w:val="24"/>
            <w:szCs w:val="24"/>
            <w:u w:val="single"/>
            <w:rtl w:val="0"/>
          </w:rPr>
          <w:t xml:space="preserve">https://www.simplertrading.com/blog/getting-started/market-internals</w:t>
        </w:r>
      </w:hyperlink>
      <w:r w:rsidDel="00000000" w:rsidR="00000000" w:rsidRPr="00000000">
        <w:rPr>
          <w:rtl w:val="0"/>
        </w:rPr>
      </w:r>
    </w:p>
    <w:p w:rsidR="00000000" w:rsidDel="00000000" w:rsidP="00000000" w:rsidRDefault="00000000" w:rsidRPr="00000000" w14:paraId="0000013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Key Market Internal Indicators for Day Traders | Scanz, accessed March 24, 2026, </w:t>
      </w:r>
      <w:hyperlink r:id="rId125">
        <w:r w:rsidDel="00000000" w:rsidR="00000000" w:rsidRPr="00000000">
          <w:rPr>
            <w:rFonts w:ascii="Google Sans" w:cs="Google Sans" w:eastAsia="Google Sans" w:hAnsi="Google Sans"/>
            <w:color w:val="0000ee"/>
            <w:sz w:val="24"/>
            <w:szCs w:val="24"/>
            <w:u w:val="single"/>
            <w:rtl w:val="0"/>
          </w:rPr>
          <w:t xml:space="preserve">https://scanz.com/market-internals/</w:t>
        </w:r>
      </w:hyperlink>
      <w:r w:rsidDel="00000000" w:rsidR="00000000" w:rsidRPr="00000000">
        <w:rPr>
          <w:rtl w:val="0"/>
        </w:rPr>
      </w:r>
    </w:p>
    <w:p w:rsidR="00000000" w:rsidDel="00000000" w:rsidP="00000000" w:rsidRDefault="00000000" w:rsidRPr="00000000" w14:paraId="0000013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 Trading using the Tick Index as an Indicator Part 1 - YouTube, accessed March 24, 2026, </w:t>
      </w:r>
      <w:hyperlink r:id="rId126">
        <w:r w:rsidDel="00000000" w:rsidR="00000000" w:rsidRPr="00000000">
          <w:rPr>
            <w:rFonts w:ascii="Google Sans" w:cs="Google Sans" w:eastAsia="Google Sans" w:hAnsi="Google Sans"/>
            <w:color w:val="0000ee"/>
            <w:sz w:val="24"/>
            <w:szCs w:val="24"/>
            <w:u w:val="single"/>
            <w:rtl w:val="0"/>
          </w:rPr>
          <w:t xml:space="preserve">https://www.youtube.com/watch?v=cLiT2l7kcZQ</w:t>
        </w:r>
      </w:hyperlink>
      <w:r w:rsidDel="00000000" w:rsidR="00000000" w:rsidRPr="00000000">
        <w:rPr>
          <w:rtl w:val="0"/>
        </w:rPr>
      </w:r>
    </w:p>
    <w:p w:rsidR="00000000" w:rsidDel="00000000" w:rsidP="00000000" w:rsidRDefault="00000000" w:rsidRPr="00000000" w14:paraId="0000013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 your futures trading with market internals data - Topstep, accessed March 24, 2026, </w:t>
      </w:r>
      <w:hyperlink r:id="rId127">
        <w:r w:rsidDel="00000000" w:rsidR="00000000" w:rsidRPr="00000000">
          <w:rPr>
            <w:rFonts w:ascii="Google Sans" w:cs="Google Sans" w:eastAsia="Google Sans" w:hAnsi="Google Sans"/>
            <w:color w:val="0000ee"/>
            <w:sz w:val="24"/>
            <w:szCs w:val="24"/>
            <w:u w:val="single"/>
            <w:rtl w:val="0"/>
          </w:rPr>
          <w:t xml:space="preserve">https://www.topstep.com/blog/beginners-guide-to-market-internals/</w:t>
        </w:r>
      </w:hyperlink>
      <w:r w:rsidDel="00000000" w:rsidR="00000000" w:rsidRPr="00000000">
        <w:rPr>
          <w:rtl w:val="0"/>
        </w:rPr>
      </w:r>
    </w:p>
    <w:p w:rsidR="00000000" w:rsidDel="00000000" w:rsidP="00000000" w:rsidRDefault="00000000" w:rsidRPr="00000000" w14:paraId="0000013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$ADD and $TICK to make winning trades in $SPY (part 1) - YouTube, accessed March 24, 2026, </w:t>
      </w:r>
      <w:hyperlink r:id="rId128">
        <w:r w:rsidDel="00000000" w:rsidR="00000000" w:rsidRPr="00000000">
          <w:rPr>
            <w:rFonts w:ascii="Google Sans" w:cs="Google Sans" w:eastAsia="Google Sans" w:hAnsi="Google Sans"/>
            <w:color w:val="0000ee"/>
            <w:sz w:val="24"/>
            <w:szCs w:val="24"/>
            <w:u w:val="single"/>
            <w:rtl w:val="0"/>
          </w:rPr>
          <w:t xml:space="preserve">https://www.youtube.com/watch?v=2ARyb9ihbYQ</w:t>
        </w:r>
      </w:hyperlink>
      <w:r w:rsidDel="00000000" w:rsidR="00000000" w:rsidRPr="00000000">
        <w:rPr>
          <w:rtl w:val="0"/>
        </w:rPr>
      </w:r>
    </w:p>
    <w:p w:rsidR="00000000" w:rsidDel="00000000" w:rsidP="00000000" w:rsidRDefault="00000000" w:rsidRPr="00000000" w14:paraId="0000013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CBOE NASDAQ Market Volatility Index (VXN) - Fidelity Investments, accessed March 24, 2026, </w:t>
      </w:r>
      <w:hyperlink r:id="rId129">
        <w:r w:rsidDel="00000000" w:rsidR="00000000" w:rsidRPr="00000000">
          <w:rPr>
            <w:rFonts w:ascii="Google Sans" w:cs="Google Sans" w:eastAsia="Google Sans" w:hAnsi="Google Sans"/>
            <w:color w:val="0000ee"/>
            <w:sz w:val="24"/>
            <w:szCs w:val="24"/>
            <w:u w:val="single"/>
            <w:rtl w:val="0"/>
          </w:rPr>
          <w:t xml:space="preserve">https://www.fidelity.com/learning-center/trading-investing/technical-analysis/technical-indicator-guide/cboe-nasdaq-vxn</w:t>
        </w:r>
      </w:hyperlink>
      <w:r w:rsidDel="00000000" w:rsidR="00000000" w:rsidRPr="00000000">
        <w:rPr>
          <w:rtl w:val="0"/>
        </w:rPr>
      </w:r>
    </w:p>
    <w:p w:rsidR="00000000" w:rsidDel="00000000" w:rsidP="00000000" w:rsidRDefault="00000000" w:rsidRPr="00000000" w14:paraId="0000013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Cboe Global Indices: VXN Index Dashboard, accessed March 24, 2026, </w:t>
      </w:r>
      <w:hyperlink r:id="rId130">
        <w:r w:rsidDel="00000000" w:rsidR="00000000" w:rsidRPr="00000000">
          <w:rPr>
            <w:rFonts w:ascii="Google Sans" w:cs="Google Sans" w:eastAsia="Google Sans" w:hAnsi="Google Sans"/>
            <w:color w:val="0000ee"/>
            <w:sz w:val="24"/>
            <w:szCs w:val="24"/>
            <w:u w:val="single"/>
            <w:rtl w:val="0"/>
          </w:rPr>
          <w:t xml:space="preserve">https://www.cboe.com/us/indices/dashboard/vxn/</w:t>
        </w:r>
      </w:hyperlink>
      <w:r w:rsidDel="00000000" w:rsidR="00000000" w:rsidRPr="00000000">
        <w:rPr>
          <w:rtl w:val="0"/>
        </w:rPr>
      </w:r>
    </w:p>
    <w:p w:rsidR="00000000" w:rsidDel="00000000" w:rsidP="00000000" w:rsidRDefault="00000000" w:rsidRPr="00000000" w14:paraId="0000013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Volatility Index Explained: Key Insights for Traders in 2026 - VT Markets, accessed March 24, 2026, </w:t>
      </w:r>
      <w:hyperlink r:id="rId131">
        <w:r w:rsidDel="00000000" w:rsidR="00000000" w:rsidRPr="00000000">
          <w:rPr>
            <w:rFonts w:ascii="Google Sans" w:cs="Google Sans" w:eastAsia="Google Sans" w:hAnsi="Google Sans"/>
            <w:color w:val="0000ee"/>
            <w:sz w:val="24"/>
            <w:szCs w:val="24"/>
            <w:u w:val="single"/>
            <w:rtl w:val="0"/>
          </w:rPr>
          <w:t xml:space="preserve">https://www.vtmarkets.com/opinion/the-volatility-index-explained-a-market-mirror-for-2026/</w:t>
        </w:r>
      </w:hyperlink>
      <w:r w:rsidDel="00000000" w:rsidR="00000000" w:rsidRPr="00000000">
        <w:rPr>
          <w:rtl w:val="0"/>
        </w:rPr>
      </w:r>
    </w:p>
    <w:p w:rsidR="00000000" w:rsidDel="00000000" w:rsidP="00000000" w:rsidRDefault="00000000" w:rsidRPr="00000000" w14:paraId="0000013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The Opening Range Breakout (ORB) Trading Strategy In Just 10 Minutes! - YouTube, accessed March 24, 2026, </w:t>
      </w:r>
      <w:hyperlink r:id="rId132">
        <w:r w:rsidDel="00000000" w:rsidR="00000000" w:rsidRPr="00000000">
          <w:rPr>
            <w:rFonts w:ascii="Google Sans" w:cs="Google Sans" w:eastAsia="Google Sans" w:hAnsi="Google Sans"/>
            <w:color w:val="0000ee"/>
            <w:sz w:val="24"/>
            <w:szCs w:val="24"/>
            <w:u w:val="single"/>
            <w:rtl w:val="0"/>
          </w:rPr>
          <w:t xml:space="preserve">https://www.youtube.com/watch?v=sv-ixHXUTSQ</w:t>
        </w:r>
      </w:hyperlink>
      <w:r w:rsidDel="00000000" w:rsidR="00000000" w:rsidRPr="00000000">
        <w:rPr>
          <w:rtl w:val="0"/>
        </w:rPr>
      </w:r>
    </w:p>
    <w:p w:rsidR="00000000" w:rsidDel="00000000" w:rsidP="00000000" w:rsidRDefault="00000000" w:rsidRPr="00000000" w14:paraId="0000013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Intraday Trading Strategies for E-mini Nasdaq 100 Futures - Hola Prime, accessed March 24, 2026, </w:t>
      </w:r>
      <w:hyperlink r:id="rId133">
        <w:r w:rsidDel="00000000" w:rsidR="00000000" w:rsidRPr="00000000">
          <w:rPr>
            <w:rFonts w:ascii="Google Sans" w:cs="Google Sans" w:eastAsia="Google Sans" w:hAnsi="Google Sans"/>
            <w:color w:val="0000ee"/>
            <w:sz w:val="24"/>
            <w:szCs w:val="24"/>
            <w:u w:val="single"/>
            <w:rtl w:val="0"/>
          </w:rPr>
          <w:t xml:space="preserve">https://holaprime.com/blogs/trading-education/best-intraday-trading-strategies-e-mini-nasdaq-100/</w:t>
        </w:r>
      </w:hyperlink>
      <w:r w:rsidDel="00000000" w:rsidR="00000000" w:rsidRPr="00000000">
        <w:rPr>
          <w:rtl w:val="0"/>
        </w:rPr>
      </w:r>
    </w:p>
    <w:p w:rsidR="00000000" w:rsidDel="00000000" w:rsidP="00000000" w:rsidRDefault="00000000" w:rsidRPr="00000000" w14:paraId="0000013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ORB (Open Range Breakout) Trading Strategy Explained for Futures Traders - MetroTrade, accessed March 24, 2026, </w:t>
      </w:r>
      <w:hyperlink r:id="rId134">
        <w:r w:rsidDel="00000000" w:rsidR="00000000" w:rsidRPr="00000000">
          <w:rPr>
            <w:rFonts w:ascii="Google Sans" w:cs="Google Sans" w:eastAsia="Google Sans" w:hAnsi="Google Sans"/>
            <w:color w:val="0000ee"/>
            <w:sz w:val="24"/>
            <w:szCs w:val="24"/>
            <w:u w:val="single"/>
            <w:rtl w:val="0"/>
          </w:rPr>
          <w:t xml:space="preserve">https://www.metrotrade.com/orb-open-range-breakout-trading-strategy/</w:t>
        </w:r>
      </w:hyperlink>
      <w:r w:rsidDel="00000000" w:rsidR="00000000" w:rsidRPr="00000000">
        <w:rPr>
          <w:rtl w:val="0"/>
        </w:rPr>
      </w:r>
    </w:p>
    <w:p w:rsidR="00000000" w:rsidDel="00000000" w:rsidP="00000000" w:rsidRDefault="00000000" w:rsidRPr="00000000" w14:paraId="0000013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the Opening Range Breakout(ORB) Strategy : r/Daytrading - Reddit, accessed March 24, 2026, </w:t>
      </w:r>
      <w:hyperlink r:id="rId135">
        <w:r w:rsidDel="00000000" w:rsidR="00000000" w:rsidRPr="00000000">
          <w:rPr>
            <w:rFonts w:ascii="Google Sans" w:cs="Google Sans" w:eastAsia="Google Sans" w:hAnsi="Google Sans"/>
            <w:color w:val="0000ee"/>
            <w:sz w:val="24"/>
            <w:szCs w:val="24"/>
            <w:u w:val="single"/>
            <w:rtl w:val="0"/>
          </w:rPr>
          <w:t xml:space="preserve">https://www.reddit.com/r/Daytrading/comments/qab971/trading_the_opening_range_breakoutorb_strategy/</w:t>
        </w:r>
      </w:hyperlink>
      <w:r w:rsidDel="00000000" w:rsidR="00000000" w:rsidRPr="00000000">
        <w:rPr>
          <w:rtl w:val="0"/>
        </w:rPr>
      </w:r>
    </w:p>
    <w:p w:rsidR="00000000" w:rsidDel="00000000" w:rsidP="00000000" w:rsidRDefault="00000000" w:rsidRPr="00000000" w14:paraId="0000013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opening range breakout (orb) trading strategy: how to trade the ORB setup with real market data | edgeful blog, accessed March 24, 2026, </w:t>
      </w:r>
      <w:hyperlink r:id="rId136">
        <w:r w:rsidDel="00000000" w:rsidR="00000000" w:rsidRPr="00000000">
          <w:rPr>
            <w:rFonts w:ascii="Google Sans" w:cs="Google Sans" w:eastAsia="Google Sans" w:hAnsi="Google Sans"/>
            <w:color w:val="0000ee"/>
            <w:sz w:val="24"/>
            <w:szCs w:val="24"/>
            <w:u w:val="single"/>
            <w:rtl w:val="0"/>
          </w:rPr>
          <w:t xml:space="preserve">https://www.edgeful.com/blog/posts/the-opening-range-breakout-orb-trading-strategy</w:t>
        </w:r>
      </w:hyperlink>
      <w:r w:rsidDel="00000000" w:rsidR="00000000" w:rsidRPr="00000000">
        <w:rPr>
          <w:rtl w:val="0"/>
        </w:rPr>
      </w:r>
    </w:p>
    <w:p w:rsidR="00000000" w:rsidDel="00000000" w:rsidP="00000000" w:rsidRDefault="00000000" w:rsidRPr="00000000" w14:paraId="0000013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VWAP for Futures Trading: What Traders Should Know - MetroTrade, accessed March 24, 2026, </w:t>
      </w:r>
      <w:hyperlink r:id="rId137">
        <w:r w:rsidDel="00000000" w:rsidR="00000000" w:rsidRPr="00000000">
          <w:rPr>
            <w:rFonts w:ascii="Google Sans" w:cs="Google Sans" w:eastAsia="Google Sans" w:hAnsi="Google Sans"/>
            <w:color w:val="0000ee"/>
            <w:sz w:val="24"/>
            <w:szCs w:val="24"/>
            <w:u w:val="single"/>
            <w:rtl w:val="0"/>
          </w:rPr>
          <w:t xml:space="preserve">https://www.metrotrade.com/understanding-vwap-for-futures-trading/</w:t>
        </w:r>
      </w:hyperlink>
      <w:r w:rsidDel="00000000" w:rsidR="00000000" w:rsidRPr="00000000">
        <w:rPr>
          <w:rtl w:val="0"/>
        </w:rPr>
      </w:r>
    </w:p>
    <w:p w:rsidR="00000000" w:rsidDel="00000000" w:rsidP="00000000" w:rsidRDefault="00000000" w:rsidRPr="00000000" w14:paraId="0000013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Professional Traders Really Use VWAP (It's Not What You Think) | by Steady Turtle Trading | Medium, accessed March 24, 2026, </w:t>
      </w:r>
      <w:hyperlink r:id="rId138">
        <w:r w:rsidDel="00000000" w:rsidR="00000000" w:rsidRPr="00000000">
          <w:rPr>
            <w:rFonts w:ascii="Google Sans" w:cs="Google Sans" w:eastAsia="Google Sans" w:hAnsi="Google Sans"/>
            <w:color w:val="0000ee"/>
            <w:sz w:val="24"/>
            <w:szCs w:val="24"/>
            <w:u w:val="single"/>
            <w:rtl w:val="0"/>
          </w:rPr>
          <w:t xml:space="preserve">https://medium.com/@steady-turtle-trading/how-professional-traders-really-use-vwap-its-not-what-you-think-cff7bfd9ecd0</w:t>
        </w:r>
      </w:hyperlink>
      <w:r w:rsidDel="00000000" w:rsidR="00000000" w:rsidRPr="00000000">
        <w:rPr>
          <w:rtl w:val="0"/>
        </w:rPr>
      </w:r>
    </w:p>
    <w:p w:rsidR="00000000" w:rsidDel="00000000" w:rsidP="00000000" w:rsidRDefault="00000000" w:rsidRPr="00000000" w14:paraId="0000013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VWAP Tutorial: Calculation, Uses, and Limitations - QuantInsti Blog, accessed March 24, 2026, </w:t>
      </w:r>
      <w:hyperlink r:id="rId139">
        <w:r w:rsidDel="00000000" w:rsidR="00000000" w:rsidRPr="00000000">
          <w:rPr>
            <w:rFonts w:ascii="Google Sans" w:cs="Google Sans" w:eastAsia="Google Sans" w:hAnsi="Google Sans"/>
            <w:color w:val="0000ee"/>
            <w:sz w:val="24"/>
            <w:szCs w:val="24"/>
            <w:u w:val="single"/>
            <w:rtl w:val="0"/>
          </w:rPr>
          <w:t xml:space="preserve">https://blog.quantinsti.com/vwap-strategy/</w:t>
        </w:r>
      </w:hyperlink>
      <w:r w:rsidDel="00000000" w:rsidR="00000000" w:rsidRPr="00000000">
        <w:rPr>
          <w:rtl w:val="0"/>
        </w:rPr>
      </w:r>
    </w:p>
    <w:p w:rsidR="00000000" w:rsidDel="00000000" w:rsidP="00000000" w:rsidRDefault="00000000" w:rsidRPr="00000000" w14:paraId="0000014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Volume-Weighted Indicators in Trading | Charles Schwab, accessed March 24, 2026, </w:t>
      </w:r>
      <w:hyperlink r:id="rId140">
        <w:r w:rsidDel="00000000" w:rsidR="00000000" w:rsidRPr="00000000">
          <w:rPr>
            <w:rFonts w:ascii="Google Sans" w:cs="Google Sans" w:eastAsia="Google Sans" w:hAnsi="Google Sans"/>
            <w:color w:val="0000ee"/>
            <w:sz w:val="24"/>
            <w:szCs w:val="24"/>
            <w:u w:val="single"/>
            <w:rtl w:val="0"/>
          </w:rPr>
          <w:t xml:space="preserve">https://www.schwab.com/learn/story/how-to-use-volume-weighted-indicators-trading</w:t>
        </w:r>
      </w:hyperlink>
      <w:r w:rsidDel="00000000" w:rsidR="00000000" w:rsidRPr="00000000">
        <w:rPr>
          <w:rtl w:val="0"/>
        </w:rPr>
      </w:r>
    </w:p>
    <w:p w:rsidR="00000000" w:rsidDel="00000000" w:rsidP="00000000" w:rsidRDefault="00000000" w:rsidRPr="00000000" w14:paraId="0000014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VWAP Strategy for Day Trading (Institutional Grade) - YouTube, accessed March 24, 2026, </w:t>
      </w:r>
      <w:hyperlink r:id="rId141">
        <w:r w:rsidDel="00000000" w:rsidR="00000000" w:rsidRPr="00000000">
          <w:rPr>
            <w:rFonts w:ascii="Google Sans" w:cs="Google Sans" w:eastAsia="Google Sans" w:hAnsi="Google Sans"/>
            <w:color w:val="0000ee"/>
            <w:sz w:val="24"/>
            <w:szCs w:val="24"/>
            <w:u w:val="single"/>
            <w:rtl w:val="0"/>
          </w:rPr>
          <w:t xml:space="preserve">https://www.youtube.com/watch?v=1HFoStW_wsc</w:t>
        </w:r>
      </w:hyperlink>
      <w:r w:rsidDel="00000000" w:rsidR="00000000" w:rsidRPr="00000000">
        <w:rPr>
          <w:rtl w:val="0"/>
        </w:rPr>
      </w:r>
    </w:p>
    <w:p w:rsidR="00000000" w:rsidDel="00000000" w:rsidP="00000000" w:rsidRDefault="00000000" w:rsidRPr="00000000" w14:paraId="0000014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EMA, MACD, and RSI Triple Indicator Momentum Strategy | by Sword Red - Medium, accessed March 24, 2026, </w:t>
      </w:r>
      <w:hyperlink r:id="rId142">
        <w:r w:rsidDel="00000000" w:rsidR="00000000" w:rsidRPr="00000000">
          <w:rPr>
            <w:rFonts w:ascii="Google Sans" w:cs="Google Sans" w:eastAsia="Google Sans" w:hAnsi="Google Sans"/>
            <w:color w:val="0000ee"/>
            <w:sz w:val="24"/>
            <w:szCs w:val="24"/>
            <w:u w:val="single"/>
            <w:rtl w:val="0"/>
          </w:rPr>
          <w:t xml:space="preserve">https://medium.com/@redsword_23261/ema-macd-and-rsi-triple-indicator-momentum-strategy-6a63156f8d1f</w:t>
        </w:r>
      </w:hyperlink>
      <w:r w:rsidDel="00000000" w:rsidR="00000000" w:rsidRPr="00000000">
        <w:rPr>
          <w:rtl w:val="0"/>
        </w:rPr>
      </w:r>
    </w:p>
    <w:p w:rsidR="00000000" w:rsidDel="00000000" w:rsidP="00000000" w:rsidRDefault="00000000" w:rsidRPr="00000000" w14:paraId="0000014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RSI + MACD + EMA Strategy | Automate 3 TradingView Indicators | No Code - YouTube, accessed March 24, 2026, </w:t>
      </w:r>
      <w:hyperlink r:id="rId143">
        <w:r w:rsidDel="00000000" w:rsidR="00000000" w:rsidRPr="00000000">
          <w:rPr>
            <w:rFonts w:ascii="Google Sans" w:cs="Google Sans" w:eastAsia="Google Sans" w:hAnsi="Google Sans"/>
            <w:color w:val="0000ee"/>
            <w:sz w:val="24"/>
            <w:szCs w:val="24"/>
            <w:u w:val="single"/>
            <w:rtl w:val="0"/>
          </w:rPr>
          <w:t xml:space="preserve">https://www.youtube.com/watch?v=UOnBJvH1sqg</w:t>
        </w:r>
      </w:hyperlink>
      <w:r w:rsidDel="00000000" w:rsidR="00000000" w:rsidRPr="00000000">
        <w:rPr>
          <w:rtl w:val="0"/>
        </w:rPr>
      </w:r>
    </w:p>
    <w:p w:rsidR="00000000" w:rsidDel="00000000" w:rsidP="00000000" w:rsidRDefault="00000000" w:rsidRPr="00000000" w14:paraId="0000014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the RSI: Proven Strategies for Smarter Trading Decisions - Oanda, accessed March 24, 2026, </w:t>
      </w:r>
      <w:hyperlink r:id="rId144">
        <w:r w:rsidDel="00000000" w:rsidR="00000000" w:rsidRPr="00000000">
          <w:rPr>
            <w:rFonts w:ascii="Google Sans" w:cs="Google Sans" w:eastAsia="Google Sans" w:hAnsi="Google Sans"/>
            <w:color w:val="0000ee"/>
            <w:sz w:val="24"/>
            <w:szCs w:val="24"/>
            <w:u w:val="single"/>
            <w:rtl w:val="0"/>
          </w:rPr>
          <w:t xml:space="preserve">https://www.oanda.com/us-en/trade-tap-blog/analysis/technical/mastering-rsi-trading-strategies/</w:t>
        </w:r>
      </w:hyperlink>
      <w:r w:rsidDel="00000000" w:rsidR="00000000" w:rsidRPr="00000000">
        <w:rPr>
          <w:rtl w:val="0"/>
        </w:rPr>
      </w:r>
    </w:p>
    <w:p w:rsidR="00000000" w:rsidDel="00000000" w:rsidP="00000000" w:rsidRDefault="00000000" w:rsidRPr="00000000" w14:paraId="0000014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RSI Indicator Guide: Calculation, Formula, Best Setting and Strategies | LiteFinance, accessed March 24, 2026, </w:t>
      </w:r>
      <w:hyperlink r:id="rId145">
        <w:r w:rsidDel="00000000" w:rsidR="00000000" w:rsidRPr="00000000">
          <w:rPr>
            <w:rFonts w:ascii="Google Sans" w:cs="Google Sans" w:eastAsia="Google Sans" w:hAnsi="Google Sans"/>
            <w:color w:val="0000ee"/>
            <w:sz w:val="24"/>
            <w:szCs w:val="24"/>
            <w:u w:val="single"/>
            <w:rtl w:val="0"/>
          </w:rPr>
          <w:t xml:space="preserve">https://www.litefinance.org/blog/for-beginners/best-technical-indicators/rsi-relative-strength-index/</w:t>
        </w:r>
      </w:hyperlink>
      <w:r w:rsidDel="00000000" w:rsidR="00000000" w:rsidRPr="00000000">
        <w:rPr>
          <w:rtl w:val="0"/>
        </w:rPr>
      </w:r>
    </w:p>
    <w:p w:rsidR="00000000" w:rsidDel="00000000" w:rsidP="00000000" w:rsidRDefault="00000000" w:rsidRPr="00000000" w14:paraId="0000014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Pivot Points: Definition, Formula &amp; Calculation, Types, Trading Guide, Limitations, accessed March 24, 2026, </w:t>
      </w:r>
      <w:hyperlink r:id="rId146">
        <w:r w:rsidDel="00000000" w:rsidR="00000000" w:rsidRPr="00000000">
          <w:rPr>
            <w:rFonts w:ascii="Google Sans" w:cs="Google Sans" w:eastAsia="Google Sans" w:hAnsi="Google Sans"/>
            <w:color w:val="0000ee"/>
            <w:sz w:val="24"/>
            <w:szCs w:val="24"/>
            <w:u w:val="single"/>
            <w:rtl w:val="0"/>
          </w:rPr>
          <w:t xml:space="preserve">https://www.strike.money/technical-analysis/pivot-points</w:t>
        </w:r>
      </w:hyperlink>
      <w:r w:rsidDel="00000000" w:rsidR="00000000" w:rsidRPr="00000000">
        <w:rPr>
          <w:rtl w:val="0"/>
        </w:rPr>
      </w:r>
    </w:p>
    <w:p w:rsidR="00000000" w:rsidDel="00000000" w:rsidP="00000000" w:rsidRDefault="00000000" w:rsidRPr="00000000" w14:paraId="0000014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Pivot Points in Trading: A Guide to Standard, Fibonacci, Woodie's &amp; Camarilla Strategies, accessed March 24, 2026, </w:t>
      </w:r>
      <w:hyperlink r:id="rId147">
        <w:r w:rsidDel="00000000" w:rsidR="00000000" w:rsidRPr="00000000">
          <w:rPr>
            <w:rFonts w:ascii="Google Sans" w:cs="Google Sans" w:eastAsia="Google Sans" w:hAnsi="Google Sans"/>
            <w:color w:val="0000ee"/>
            <w:sz w:val="24"/>
            <w:szCs w:val="24"/>
            <w:u w:val="single"/>
            <w:rtl w:val="0"/>
          </w:rPr>
          <w:t xml:space="preserve">https://www.tradejini.com/blogs/types-of-pivot-points-used-for-trading</w:t>
        </w:r>
      </w:hyperlink>
      <w:r w:rsidDel="00000000" w:rsidR="00000000" w:rsidRPr="00000000">
        <w:rPr>
          <w:rtl w:val="0"/>
        </w:rPr>
      </w:r>
    </w:p>
    <w:p w:rsidR="00000000" w:rsidDel="00000000" w:rsidP="00000000" w:rsidRDefault="00000000" w:rsidRPr="00000000" w14:paraId="0000014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March 24, 2026, </w:t>
      </w:r>
      <w:hyperlink r:id="rId148">
        <w:r w:rsidDel="00000000" w:rsidR="00000000" w:rsidRPr="00000000">
          <w:rPr>
            <w:rFonts w:ascii="Google Sans" w:cs="Google Sans" w:eastAsia="Google Sans" w:hAnsi="Google Sans"/>
            <w:color w:val="0000ee"/>
            <w:sz w:val="24"/>
            <w:szCs w:val="24"/>
            <w:u w:val="single"/>
            <w:rtl w:val="0"/>
          </w:rPr>
          <w:t xml:space="preserve">https://www.fortrade.com/a/blog/pivot-point-trading-approaches-to-enhance-your-investment-strategy/#:~:text=Like%20Woodie's%20pivot%20point%2C%20Camarilla,High%20%2D%20Low)%20x%201.0833)</w:t>
        </w:r>
      </w:hyperlink>
      <w:r w:rsidDel="00000000" w:rsidR="00000000" w:rsidRPr="00000000">
        <w:rPr>
          <w:rtl w:val="0"/>
        </w:rPr>
      </w:r>
    </w:p>
    <w:p w:rsidR="00000000" w:rsidDel="00000000" w:rsidP="00000000" w:rsidRDefault="00000000" w:rsidRPr="00000000" w14:paraId="0000014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Calculate Pivot Points - Cashback Forex, accessed March 24, 2026, </w:t>
      </w:r>
      <w:hyperlink r:id="rId149">
        <w:r w:rsidDel="00000000" w:rsidR="00000000" w:rsidRPr="00000000">
          <w:rPr>
            <w:rFonts w:ascii="Google Sans" w:cs="Google Sans" w:eastAsia="Google Sans" w:hAnsi="Google Sans"/>
            <w:color w:val="0000ee"/>
            <w:sz w:val="24"/>
            <w:szCs w:val="24"/>
            <w:u w:val="single"/>
            <w:rtl w:val="0"/>
          </w:rPr>
          <w:t xml:space="preserve">https://www.cashbackforex.com/article/calculate-pivot-point</w:t>
        </w:r>
      </w:hyperlink>
      <w:r w:rsidDel="00000000" w:rsidR="00000000" w:rsidRPr="00000000">
        <w:rPr>
          <w:rtl w:val="0"/>
        </w:rPr>
      </w:r>
    </w:p>
    <w:p w:rsidR="00000000" w:rsidDel="00000000" w:rsidP="00000000" w:rsidRDefault="00000000" w:rsidRPr="00000000" w14:paraId="0000014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Camarilla Pivot Points: Strategies for Trading Success - LiteFinance, accessed March 24, 2026, </w:t>
      </w:r>
      <w:hyperlink r:id="rId150">
        <w:r w:rsidDel="00000000" w:rsidR="00000000" w:rsidRPr="00000000">
          <w:rPr>
            <w:rFonts w:ascii="Google Sans" w:cs="Google Sans" w:eastAsia="Google Sans" w:hAnsi="Google Sans"/>
            <w:color w:val="0000ee"/>
            <w:sz w:val="24"/>
            <w:szCs w:val="24"/>
            <w:u w:val="single"/>
            <w:rtl w:val="0"/>
          </w:rPr>
          <w:t xml:space="preserve">https://www.litefinance.org/blog/for-beginners/trading-strategies/camarilla-pivot-points-strategy/</w:t>
        </w:r>
      </w:hyperlink>
      <w:r w:rsidDel="00000000" w:rsidR="00000000" w:rsidRPr="00000000">
        <w:rPr>
          <w:rtl w:val="0"/>
        </w:rPr>
      </w:r>
    </w:p>
    <w:p w:rsidR="00000000" w:rsidDel="00000000" w:rsidP="00000000" w:rsidRDefault="00000000" w:rsidRPr="00000000" w14:paraId="0000014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Fibonacci Retracement Levels: A Complete Trading Guide - Trade with the Pros, accessed March 24, 2026, </w:t>
      </w:r>
      <w:hyperlink r:id="rId151">
        <w:r w:rsidDel="00000000" w:rsidR="00000000" w:rsidRPr="00000000">
          <w:rPr>
            <w:rFonts w:ascii="Google Sans" w:cs="Google Sans" w:eastAsia="Google Sans" w:hAnsi="Google Sans"/>
            <w:color w:val="0000ee"/>
            <w:sz w:val="24"/>
            <w:szCs w:val="24"/>
            <w:u w:val="single"/>
            <w:rtl w:val="0"/>
          </w:rPr>
          <w:t xml:space="preserve">https://tradewiththepros.com/fibonacci-retracement-levels/</w:t>
        </w:r>
      </w:hyperlink>
      <w:r w:rsidDel="00000000" w:rsidR="00000000" w:rsidRPr="00000000">
        <w:rPr>
          <w:rtl w:val="0"/>
        </w:rPr>
      </w:r>
    </w:p>
    <w:p w:rsidR="00000000" w:rsidDel="00000000" w:rsidP="00000000" w:rsidRDefault="00000000" w:rsidRPr="00000000" w14:paraId="0000014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Fibonacci Retracement Levels Explained | Daily Price Action, accessed March 24, 2026, </w:t>
      </w:r>
      <w:hyperlink r:id="rId152">
        <w:r w:rsidDel="00000000" w:rsidR="00000000" w:rsidRPr="00000000">
          <w:rPr>
            <w:rFonts w:ascii="Google Sans" w:cs="Google Sans" w:eastAsia="Google Sans" w:hAnsi="Google Sans"/>
            <w:color w:val="0000ee"/>
            <w:sz w:val="24"/>
            <w:szCs w:val="24"/>
            <w:u w:val="single"/>
            <w:rtl w:val="0"/>
          </w:rPr>
          <w:t xml:space="preserve">https://dailypriceaction.com/forex-beginners/fibonacci-retracement-levels/</w:t>
        </w:r>
      </w:hyperlink>
      <w:r w:rsidDel="00000000" w:rsidR="00000000" w:rsidRPr="00000000">
        <w:rPr>
          <w:rtl w:val="0"/>
        </w:rPr>
      </w:r>
    </w:p>
    <w:p w:rsidR="00000000" w:rsidDel="00000000" w:rsidP="00000000" w:rsidRDefault="00000000" w:rsidRPr="00000000" w14:paraId="0000014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Fibonacci Retracement - How To Trade It - Alchemy Markets, accessed March 24, 2026, </w:t>
      </w:r>
      <w:hyperlink r:id="rId153">
        <w:r w:rsidDel="00000000" w:rsidR="00000000" w:rsidRPr="00000000">
          <w:rPr>
            <w:rFonts w:ascii="Google Sans" w:cs="Google Sans" w:eastAsia="Google Sans" w:hAnsi="Google Sans"/>
            <w:color w:val="0000ee"/>
            <w:sz w:val="24"/>
            <w:szCs w:val="24"/>
            <w:u w:val="single"/>
            <w:rtl w:val="0"/>
          </w:rPr>
          <w:t xml:space="preserve">https://alchemymarkets.com/education/indicators/fibonacci-retracement/</w:t>
        </w:r>
      </w:hyperlink>
      <w:r w:rsidDel="00000000" w:rsidR="00000000" w:rsidRPr="00000000">
        <w:rPr>
          <w:rtl w:val="0"/>
        </w:rPr>
      </w:r>
    </w:p>
    <w:p w:rsidR="00000000" w:rsidDel="00000000" w:rsidP="00000000" w:rsidRDefault="00000000" w:rsidRPr="00000000" w14:paraId="0000014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Fibonacci retracement levels in trading - Deriv Academy, accessed March 24, 2026, </w:t>
      </w:r>
      <w:hyperlink r:id="rId154">
        <w:r w:rsidDel="00000000" w:rsidR="00000000" w:rsidRPr="00000000">
          <w:rPr>
            <w:rFonts w:ascii="Google Sans" w:cs="Google Sans" w:eastAsia="Google Sans" w:hAnsi="Google Sans"/>
            <w:color w:val="0000ee"/>
            <w:sz w:val="24"/>
            <w:szCs w:val="24"/>
            <w:u w:val="single"/>
            <w:rtl w:val="0"/>
          </w:rPr>
          <w:t xml:space="preserve">https://traders-academy.deriv.com/trading-guides/fibonacci-retracement-levels-in-trading</w:t>
        </w:r>
      </w:hyperlink>
      <w:r w:rsidDel="00000000" w:rsidR="00000000" w:rsidRPr="00000000">
        <w:rPr>
          <w:rtl w:val="0"/>
        </w:rPr>
      </w:r>
    </w:p>
    <w:p w:rsidR="00000000" w:rsidDel="00000000" w:rsidP="00000000" w:rsidRDefault="00000000" w:rsidRPr="00000000" w14:paraId="0000014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Fibonacci Retracements - ChartSchool - StockCharts.com, accessed March 24, 2026, </w:t>
      </w:r>
      <w:hyperlink r:id="rId155">
        <w:r w:rsidDel="00000000" w:rsidR="00000000" w:rsidRPr="00000000">
          <w:rPr>
            <w:rFonts w:ascii="Google Sans" w:cs="Google Sans" w:eastAsia="Google Sans" w:hAnsi="Google Sans"/>
            <w:color w:val="0000ee"/>
            <w:sz w:val="24"/>
            <w:szCs w:val="24"/>
            <w:u w:val="single"/>
            <w:rtl w:val="0"/>
          </w:rPr>
          <w:t xml:space="preserve">https://chartschool.stockcharts.com/table-of-contents/chart-analysis/chart-annotation-tools/fibonacci-retracements</w:t>
        </w:r>
      </w:hyperlink>
      <w:r w:rsidDel="00000000" w:rsidR="00000000" w:rsidRPr="00000000">
        <w:rPr>
          <w:rtl w:val="0"/>
        </w:rPr>
      </w:r>
    </w:p>
    <w:p w:rsidR="00000000" w:rsidDel="00000000" w:rsidP="00000000" w:rsidRDefault="00000000" w:rsidRPr="00000000" w14:paraId="0000015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Futures Trading Risk Management - QuantVPS, accessed March 24, 2026, </w:t>
      </w:r>
      <w:hyperlink r:id="rId156">
        <w:r w:rsidDel="00000000" w:rsidR="00000000" w:rsidRPr="00000000">
          <w:rPr>
            <w:rFonts w:ascii="Google Sans" w:cs="Google Sans" w:eastAsia="Google Sans" w:hAnsi="Google Sans"/>
            <w:color w:val="0000ee"/>
            <w:sz w:val="24"/>
            <w:szCs w:val="24"/>
            <w:u w:val="single"/>
            <w:rtl w:val="0"/>
          </w:rPr>
          <w:t xml:space="preserve">https://www.quantvps.com/blog/futures-trading-risk-management</w:t>
        </w:r>
      </w:hyperlink>
      <w:r w:rsidDel="00000000" w:rsidR="00000000" w:rsidRPr="00000000">
        <w:rPr>
          <w:rtl w:val="0"/>
        </w:rPr>
      </w:r>
    </w:p>
    <w:p w:rsidR="00000000" w:rsidDel="00000000" w:rsidP="00000000" w:rsidRDefault="00000000" w:rsidRPr="00000000" w14:paraId="0000015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correlation between ATR, risk and profits : r/FuturesTrading - Reddit, accessed March 24, 2026, </w:t>
      </w:r>
      <w:hyperlink r:id="rId157">
        <w:r w:rsidDel="00000000" w:rsidR="00000000" w:rsidRPr="00000000">
          <w:rPr>
            <w:rFonts w:ascii="Google Sans" w:cs="Google Sans" w:eastAsia="Google Sans" w:hAnsi="Google Sans"/>
            <w:color w:val="0000ee"/>
            <w:sz w:val="24"/>
            <w:szCs w:val="24"/>
            <w:u w:val="single"/>
            <w:rtl w:val="0"/>
          </w:rPr>
          <w:t xml:space="preserve">https://www.reddit.com/r/FuturesTrading/comments/1f0l7jo/the_correlation_between_atr_risk_and_profits/</w:t>
        </w:r>
      </w:hyperlink>
      <w:r w:rsidDel="00000000" w:rsidR="00000000" w:rsidRPr="00000000">
        <w:rPr>
          <w:rtl w:val="0"/>
        </w:rPr>
      </w:r>
    </w:p>
    <w:p w:rsidR="00000000" w:rsidDel="00000000" w:rsidP="00000000" w:rsidRDefault="00000000" w:rsidRPr="00000000" w14:paraId="0000015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Stop-Loss Strategies for Algo Trading: 4 Methods - TradersPost, accessed March 24, 2026, </w:t>
      </w:r>
      <w:hyperlink r:id="rId158">
        <w:r w:rsidDel="00000000" w:rsidR="00000000" w:rsidRPr="00000000">
          <w:rPr>
            <w:rFonts w:ascii="Google Sans" w:cs="Google Sans" w:eastAsia="Google Sans" w:hAnsi="Google Sans"/>
            <w:color w:val="0000ee"/>
            <w:sz w:val="24"/>
            <w:szCs w:val="24"/>
            <w:u w:val="single"/>
            <w:rtl w:val="0"/>
          </w:rPr>
          <w:t xml:space="preserve">https://blog.traderspost.io/article/stop-loss-strategies-algorithmic-trading</w:t>
        </w:r>
      </w:hyperlink>
      <w:r w:rsidDel="00000000" w:rsidR="00000000" w:rsidRPr="00000000">
        <w:rPr>
          <w:rtl w:val="0"/>
        </w:rPr>
      </w:r>
    </w:p>
    <w:p w:rsidR="00000000" w:rsidDel="00000000" w:rsidP="00000000" w:rsidRDefault="00000000" w:rsidRPr="00000000" w14:paraId="0000015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ATR Trading Strategies Guide - TradersPost, accessed March 24, 2026, </w:t>
      </w:r>
      <w:hyperlink r:id="rId159">
        <w:r w:rsidDel="00000000" w:rsidR="00000000" w:rsidRPr="00000000">
          <w:rPr>
            <w:rFonts w:ascii="Google Sans" w:cs="Google Sans" w:eastAsia="Google Sans" w:hAnsi="Google Sans"/>
            <w:color w:val="0000ee"/>
            <w:sz w:val="24"/>
            <w:szCs w:val="24"/>
            <w:u w:val="single"/>
            <w:rtl w:val="0"/>
          </w:rPr>
          <w:t xml:space="preserve">https://blog.traderspost.io/article/atr-trading-strategies-guide</w:t>
        </w:r>
      </w:hyperlink>
      <w:r w:rsidDel="00000000" w:rsidR="00000000" w:rsidRPr="00000000">
        <w:rPr>
          <w:rtl w:val="0"/>
        </w:rPr>
      </w:r>
    </w:p>
    <w:p w:rsidR="00000000" w:rsidDel="00000000" w:rsidP="00000000" w:rsidRDefault="00000000" w:rsidRPr="00000000" w14:paraId="0000015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ATR Stop-Loss Strategies for Risk Control - LuxAlgo, accessed March 24, 2026, </w:t>
      </w:r>
      <w:hyperlink r:id="rId160">
        <w:r w:rsidDel="00000000" w:rsidR="00000000" w:rsidRPr="00000000">
          <w:rPr>
            <w:rFonts w:ascii="Google Sans" w:cs="Google Sans" w:eastAsia="Google Sans" w:hAnsi="Google Sans"/>
            <w:color w:val="0000ee"/>
            <w:sz w:val="24"/>
            <w:szCs w:val="24"/>
            <w:u w:val="single"/>
            <w:rtl w:val="0"/>
          </w:rPr>
          <w:t xml:space="preserve">https://www.luxalgo.com/blog/5-atr-stop-loss-strategies-for-risk-control/</w:t>
        </w:r>
      </w:hyperlink>
      <w:r w:rsidDel="00000000" w:rsidR="00000000" w:rsidRPr="00000000">
        <w:rPr>
          <w:rtl w:val="0"/>
        </w:rPr>
      </w:r>
    </w:p>
    <w:p w:rsidR="00000000" w:rsidDel="00000000" w:rsidP="00000000" w:rsidRDefault="00000000" w:rsidRPr="00000000" w14:paraId="0000015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traders use ATR to set stop-loss levels? - YouTube, accessed March 24, 2026, </w:t>
      </w:r>
      <w:hyperlink r:id="rId161">
        <w:r w:rsidDel="00000000" w:rsidR="00000000" w:rsidRPr="00000000">
          <w:rPr>
            <w:rFonts w:ascii="Google Sans" w:cs="Google Sans" w:eastAsia="Google Sans" w:hAnsi="Google Sans"/>
            <w:color w:val="0000ee"/>
            <w:sz w:val="24"/>
            <w:szCs w:val="24"/>
            <w:u w:val="single"/>
            <w:rtl w:val="0"/>
          </w:rPr>
          <w:t xml:space="preserve">https://www.youtube.com/shorts/0McJvz65dN8</w:t>
        </w:r>
      </w:hyperlink>
      <w:r w:rsidDel="00000000" w:rsidR="00000000" w:rsidRPr="00000000">
        <w:rPr>
          <w:rtl w:val="0"/>
        </w:rPr>
      </w:r>
    </w:p>
    <w:p w:rsidR="00000000" w:rsidDel="00000000" w:rsidP="00000000" w:rsidRDefault="00000000" w:rsidRPr="00000000" w14:paraId="0000015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 Traders, how do you calculate your position size / risk management? - Reddit, accessed March 24, 2026, </w:t>
      </w:r>
      <w:hyperlink r:id="rId162">
        <w:r w:rsidDel="00000000" w:rsidR="00000000" w:rsidRPr="00000000">
          <w:rPr>
            <w:rFonts w:ascii="Google Sans" w:cs="Google Sans" w:eastAsia="Google Sans" w:hAnsi="Google Sans"/>
            <w:color w:val="0000ee"/>
            <w:sz w:val="24"/>
            <w:szCs w:val="24"/>
            <w:u w:val="single"/>
            <w:rtl w:val="0"/>
          </w:rPr>
          <w:t xml:space="preserve">https://www.reddit.com/r/Daytrading/comments/1rfvtax/future_traders_how_do_you_calculate_your_position/</w:t>
        </w:r>
      </w:hyperlink>
      <w:r w:rsidDel="00000000" w:rsidR="00000000" w:rsidRPr="00000000">
        <w:rPr>
          <w:rtl w:val="0"/>
        </w:rPr>
      </w:r>
    </w:p>
    <w:p w:rsidR="00000000" w:rsidDel="00000000" w:rsidP="00000000" w:rsidRDefault="00000000" w:rsidRPr="00000000" w14:paraId="0000015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Position Sizing For Trading - Futures &amp; Forex - YouTube, accessed March 24, 2026, </w:t>
      </w:r>
      <w:hyperlink r:id="rId163">
        <w:r w:rsidDel="00000000" w:rsidR="00000000" w:rsidRPr="00000000">
          <w:rPr>
            <w:rFonts w:ascii="Google Sans" w:cs="Google Sans" w:eastAsia="Google Sans" w:hAnsi="Google Sans"/>
            <w:color w:val="0000ee"/>
            <w:sz w:val="24"/>
            <w:szCs w:val="24"/>
            <w:u w:val="single"/>
            <w:rtl w:val="0"/>
          </w:rPr>
          <w:t xml:space="preserve">https://www.youtube.com/watch?v=0OjlQ91TZiU</w:t>
        </w:r>
      </w:hyperlink>
      <w:r w:rsidDel="00000000" w:rsidR="00000000" w:rsidRPr="00000000">
        <w:rPr>
          <w:rtl w:val="0"/>
        </w:rPr>
      </w:r>
    </w:p>
    <w:p w:rsidR="00000000" w:rsidDel="00000000" w:rsidP="00000000" w:rsidRDefault="00000000" w:rsidRPr="00000000" w14:paraId="0000015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March 24, 2026, </w:t>
      </w:r>
      <w:hyperlink r:id="rId164">
        <w:r w:rsidDel="00000000" w:rsidR="00000000" w:rsidRPr="00000000">
          <w:rPr>
            <w:rFonts w:ascii="Google Sans" w:cs="Google Sans" w:eastAsia="Google Sans" w:hAnsi="Google Sans"/>
            <w:color w:val="0000ee"/>
            <w:sz w:val="24"/>
            <w:szCs w:val="24"/>
            <w:u w:val="single"/>
            <w:rtl w:val="0"/>
          </w:rPr>
          <w:t xml:space="preserve">https://www.pnlledger.com/expectancy-r-multiples-the-plain-english-guide/#:~:text=Because%20R%2Dmultiples%20normalize%20outcomes,That's%20it.</w:t>
        </w:r>
      </w:hyperlink>
      <w:r w:rsidDel="00000000" w:rsidR="00000000" w:rsidRPr="00000000">
        <w:rPr>
          <w:rtl w:val="0"/>
        </w:rPr>
      </w:r>
    </w:p>
    <w:p w:rsidR="00000000" w:rsidDel="00000000" w:rsidP="00000000" w:rsidRDefault="00000000" w:rsidRPr="00000000" w14:paraId="0000015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Journal Metrics: Expectancy, Drawdowns &amp; R-Multiples E... - LiquidityFinder, accessed March 24, 2026, </w:t>
      </w:r>
      <w:hyperlink r:id="rId165">
        <w:r w:rsidDel="00000000" w:rsidR="00000000" w:rsidRPr="00000000">
          <w:rPr>
            <w:rFonts w:ascii="Google Sans" w:cs="Google Sans" w:eastAsia="Google Sans" w:hAnsi="Google Sans"/>
            <w:color w:val="0000ee"/>
            <w:sz w:val="24"/>
            <w:szCs w:val="24"/>
            <w:u w:val="single"/>
            <w:rtl w:val="0"/>
          </w:rPr>
          <w:t xml:space="preserve">https://liquidityfinder.com/news/trading-journal-metrics-expectancy-drawdowns-and-r-multiples-explained-fc2af</w:t>
        </w:r>
      </w:hyperlink>
      <w:r w:rsidDel="00000000" w:rsidR="00000000" w:rsidRPr="00000000">
        <w:rPr>
          <w:rtl w:val="0"/>
        </w:rPr>
      </w:r>
    </w:p>
    <w:p w:rsidR="00000000" w:rsidDel="00000000" w:rsidP="00000000" w:rsidRDefault="00000000" w:rsidRPr="00000000" w14:paraId="0000015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Expectancy &amp; R-multiples: the plain-English guide - P&amp;L Ledger - PnL Calendar, accessed March 24, 2026, </w:t>
      </w:r>
      <w:hyperlink r:id="rId166">
        <w:r w:rsidDel="00000000" w:rsidR="00000000" w:rsidRPr="00000000">
          <w:rPr>
            <w:rFonts w:ascii="Google Sans" w:cs="Google Sans" w:eastAsia="Google Sans" w:hAnsi="Google Sans"/>
            <w:color w:val="0000ee"/>
            <w:sz w:val="24"/>
            <w:szCs w:val="24"/>
            <w:u w:val="single"/>
            <w:rtl w:val="0"/>
          </w:rPr>
          <w:t xml:space="preserve">https://www.pnlledger.com/expectancy-r-multiples-the-plain-english-guide/</w:t>
        </w:r>
      </w:hyperlink>
      <w:r w:rsidDel="00000000" w:rsidR="00000000" w:rsidRPr="00000000">
        <w:rPr>
          <w:rtl w:val="0"/>
        </w:rPr>
      </w:r>
    </w:p>
    <w:p w:rsidR="00000000" w:rsidDel="00000000" w:rsidP="00000000" w:rsidRDefault="00000000" w:rsidRPr="00000000" w14:paraId="0000015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Expectancy and R-Multiple - YouTube, accessed March 24, 2026, </w:t>
      </w:r>
      <w:hyperlink r:id="rId167">
        <w:r w:rsidDel="00000000" w:rsidR="00000000" w:rsidRPr="00000000">
          <w:rPr>
            <w:rFonts w:ascii="Google Sans" w:cs="Google Sans" w:eastAsia="Google Sans" w:hAnsi="Google Sans"/>
            <w:color w:val="0000ee"/>
            <w:sz w:val="24"/>
            <w:szCs w:val="24"/>
            <w:u w:val="single"/>
            <w:rtl w:val="0"/>
          </w:rPr>
          <w:t xml:space="preserve">https://www.youtube.com/watch?v=7Zettjhmod4</w:t>
        </w:r>
      </w:hyperlink>
      <w:r w:rsidDel="00000000" w:rsidR="00000000" w:rsidRPr="00000000">
        <w:rPr>
          <w:rtl w:val="0"/>
        </w:rPr>
      </w:r>
    </w:p>
    <w:p w:rsidR="00000000" w:rsidDel="00000000" w:rsidP="00000000" w:rsidRDefault="00000000" w:rsidRPr="00000000" w14:paraId="0000015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calculate expectancy on a strategy with two targets? : r/Forex - Reddit, accessed March 24, 2026, </w:t>
      </w:r>
      <w:hyperlink r:id="rId168">
        <w:r w:rsidDel="00000000" w:rsidR="00000000" w:rsidRPr="00000000">
          <w:rPr>
            <w:rFonts w:ascii="Google Sans" w:cs="Google Sans" w:eastAsia="Google Sans" w:hAnsi="Google Sans"/>
            <w:color w:val="0000ee"/>
            <w:sz w:val="24"/>
            <w:szCs w:val="24"/>
            <w:u w:val="single"/>
            <w:rtl w:val="0"/>
          </w:rPr>
          <w:t xml:space="preserve">https://www.reddit.com/r/Forex/comments/r5s1zp/how_do_i_calculate_expectancy_on_a_strategy_with/</w:t>
        </w:r>
      </w:hyperlink>
      <w:r w:rsidDel="00000000" w:rsidR="00000000" w:rsidRPr="00000000">
        <w:rPr>
          <w:rtl w:val="0"/>
        </w:rPr>
      </w:r>
    </w:p>
    <w:p w:rsidR="00000000" w:rsidDel="00000000" w:rsidP="00000000" w:rsidRDefault="00000000" w:rsidRPr="00000000" w14:paraId="0000015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Kelly Criterion vs Fixed Fractional: Which Risk Model Maximizes Long‑Term Growth?, accessed March 24, 2026, </w:t>
      </w:r>
      <w:hyperlink r:id="rId169">
        <w:r w:rsidDel="00000000" w:rsidR="00000000" w:rsidRPr="00000000">
          <w:rPr>
            <w:rFonts w:ascii="Google Sans" w:cs="Google Sans" w:eastAsia="Google Sans" w:hAnsi="Google Sans"/>
            <w:color w:val="0000ee"/>
            <w:sz w:val="24"/>
            <w:szCs w:val="24"/>
            <w:u w:val="single"/>
            <w:rtl w:val="0"/>
          </w:rPr>
          <w:t xml:space="preserve">https://medium.com/@tmapendembe_28659/kelly-criterion-vs-fixed-fractional-which-risk-model-maximizes-long-term-growth-972ecb606e6c</w:t>
        </w:r>
      </w:hyperlink>
      <w:r w:rsidDel="00000000" w:rsidR="00000000" w:rsidRPr="00000000">
        <w:rPr>
          <w:rtl w:val="0"/>
        </w:rPr>
      </w:r>
    </w:p>
    <w:p w:rsidR="00000000" w:rsidDel="00000000" w:rsidP="00000000" w:rsidRDefault="00000000" w:rsidRPr="00000000" w14:paraId="0000015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Smart Trader's Guide to Kelly's Criterion - tastylive, accessed March 24, 2026, </w:t>
      </w:r>
      <w:hyperlink r:id="rId170">
        <w:r w:rsidDel="00000000" w:rsidR="00000000" w:rsidRPr="00000000">
          <w:rPr>
            <w:rFonts w:ascii="Google Sans" w:cs="Google Sans" w:eastAsia="Google Sans" w:hAnsi="Google Sans"/>
            <w:color w:val="0000ee"/>
            <w:sz w:val="24"/>
            <w:szCs w:val="24"/>
            <w:u w:val="single"/>
            <w:rtl w:val="0"/>
          </w:rPr>
          <w:t xml:space="preserve">https://www.tastylive.com/news-insights/smart-trader-guide-kellys-criterion</w:t>
        </w:r>
      </w:hyperlink>
      <w:r w:rsidDel="00000000" w:rsidR="00000000" w:rsidRPr="00000000">
        <w:rPr>
          <w:rtl w:val="0"/>
        </w:rPr>
      </w:r>
    </w:p>
    <w:p w:rsidR="00000000" w:rsidDel="00000000" w:rsidP="00000000" w:rsidRDefault="00000000" w:rsidRPr="00000000" w14:paraId="0000015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Trade with the Kelly Criterion - YouTube, accessed March 24, 2026, </w:t>
      </w:r>
      <w:hyperlink r:id="rId171">
        <w:r w:rsidDel="00000000" w:rsidR="00000000" w:rsidRPr="00000000">
          <w:rPr>
            <w:rFonts w:ascii="Google Sans" w:cs="Google Sans" w:eastAsia="Google Sans" w:hAnsi="Google Sans"/>
            <w:color w:val="0000ee"/>
            <w:sz w:val="24"/>
            <w:szCs w:val="24"/>
            <w:u w:val="single"/>
            <w:rtl w:val="0"/>
          </w:rPr>
          <w:t xml:space="preserve">https://www.youtube.com/watch?v=7tvW3NvRnPk</w:t>
        </w:r>
      </w:hyperlink>
      <w:r w:rsidDel="00000000" w:rsidR="00000000" w:rsidRPr="00000000">
        <w:rPr>
          <w:rtl w:val="0"/>
        </w:rPr>
      </w:r>
    </w:p>
    <w:p w:rsidR="00000000" w:rsidDel="00000000" w:rsidP="00000000" w:rsidRDefault="00000000" w:rsidRPr="00000000" w14:paraId="0000016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Position Sizing in Trading: Strategies, Techniques, and Formula - QuantInsti Blog, accessed March 24, 2026, </w:t>
      </w:r>
      <w:hyperlink r:id="rId172">
        <w:r w:rsidDel="00000000" w:rsidR="00000000" w:rsidRPr="00000000">
          <w:rPr>
            <w:rFonts w:ascii="Google Sans" w:cs="Google Sans" w:eastAsia="Google Sans" w:hAnsi="Google Sans"/>
            <w:color w:val="0000ee"/>
            <w:sz w:val="24"/>
            <w:szCs w:val="24"/>
            <w:u w:val="single"/>
            <w:rtl w:val="0"/>
          </w:rPr>
          <w:t xml:space="preserve">https://blog.quantinsti.com/position-sizing/</w:t>
        </w:r>
      </w:hyperlink>
      <w:r w:rsidDel="00000000" w:rsidR="00000000" w:rsidRPr="00000000">
        <w:rPr>
          <w:rtl w:val="0"/>
        </w:rPr>
      </w:r>
    </w:p>
    <w:p w:rsidR="00000000" w:rsidDel="00000000" w:rsidP="00000000" w:rsidRDefault="00000000" w:rsidRPr="00000000" w14:paraId="0000016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Kelly Criterion : r/RealDayTrading - Reddit, accessed March 24, 2026, </w:t>
      </w:r>
      <w:hyperlink r:id="rId173">
        <w:r w:rsidDel="00000000" w:rsidR="00000000" w:rsidRPr="00000000">
          <w:rPr>
            <w:rFonts w:ascii="Google Sans" w:cs="Google Sans" w:eastAsia="Google Sans" w:hAnsi="Google Sans"/>
            <w:color w:val="0000ee"/>
            <w:sz w:val="24"/>
            <w:szCs w:val="24"/>
            <w:u w:val="single"/>
            <w:rtl w:val="0"/>
          </w:rPr>
          <w:t xml:space="preserve">https://www.reddit.com/r/RealDayTrading/comments/rn6rsi/kelly_criterion/</w:t>
        </w:r>
      </w:hyperlink>
      <w:r w:rsidDel="00000000" w:rsidR="00000000" w:rsidRPr="00000000">
        <w:rPr>
          <w:rtl w:val="0"/>
        </w:rPr>
      </w:r>
    </w:p>
    <w:p w:rsidR="00000000" w:rsidDel="00000000" w:rsidP="00000000" w:rsidRDefault="00000000" w:rsidRPr="00000000" w14:paraId="0000016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NASDAQ-100 INDEX® NDX®, accessed March 24, 2026, </w:t>
      </w:r>
      <w:hyperlink r:id="rId174">
        <w:r w:rsidDel="00000000" w:rsidR="00000000" w:rsidRPr="00000000">
          <w:rPr>
            <w:rFonts w:ascii="Google Sans" w:cs="Google Sans" w:eastAsia="Google Sans" w:hAnsi="Google Sans"/>
            <w:color w:val="0000ee"/>
            <w:sz w:val="24"/>
            <w:szCs w:val="24"/>
            <w:u w:val="single"/>
            <w:rtl w:val="0"/>
          </w:rPr>
          <w:t xml:space="preserve">https://indexes.nasdaq.com/docs/Methodology_NDX.pdf</w:t>
        </w:r>
      </w:hyperlink>
      <w:r w:rsidDel="00000000" w:rsidR="00000000" w:rsidRPr="00000000">
        <w:rPr>
          <w:rtl w:val="0"/>
        </w:rPr>
      </w:r>
    </w:p>
    <w:p w:rsidR="00000000" w:rsidDel="00000000" w:rsidP="00000000" w:rsidRDefault="00000000" w:rsidRPr="00000000" w14:paraId="0000016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 E-mini Nasdaq-100 Index Futures Trade Ideas — CME_MINI:MNQ1! - TradingView, accessed March 24, 2026, </w:t>
      </w:r>
      <w:hyperlink r:id="rId175">
        <w:r w:rsidDel="00000000" w:rsidR="00000000" w:rsidRPr="00000000">
          <w:rPr>
            <w:rFonts w:ascii="Google Sans" w:cs="Google Sans" w:eastAsia="Google Sans" w:hAnsi="Google Sans"/>
            <w:color w:val="0000ee"/>
            <w:sz w:val="24"/>
            <w:szCs w:val="24"/>
            <w:u w:val="single"/>
            <w:rtl w:val="0"/>
          </w:rPr>
          <w:t xml:space="preserve">https://www.tradingview.com/symbols/CME_MINI-MNQ1%21/ideas/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3.png"/><Relationship Id="rId41" Type="http://schemas.openxmlformats.org/officeDocument/2006/relationships/image" Target="media/image8.png"/><Relationship Id="rId44" Type="http://schemas.openxmlformats.org/officeDocument/2006/relationships/image" Target="media/image5.png"/><Relationship Id="rId43" Type="http://schemas.openxmlformats.org/officeDocument/2006/relationships/image" Target="media/image4.png"/><Relationship Id="rId46" Type="http://schemas.openxmlformats.org/officeDocument/2006/relationships/image" Target="media/image35.png"/><Relationship Id="rId45" Type="http://schemas.openxmlformats.org/officeDocument/2006/relationships/image" Target="media/image11.png"/><Relationship Id="rId107" Type="http://schemas.openxmlformats.org/officeDocument/2006/relationships/hyperlink" Target="https://ninjatrader.com/futures/blogs/futures-day-trading-margins-intraday-margin/" TargetMode="External"/><Relationship Id="rId106" Type="http://schemas.openxmlformats.org/officeDocument/2006/relationships/hyperlink" Target="https://support.ninjatrader.com/s/article/How-Can-I-Find-NinjaTrader-Margin-Requirements?language=en_US" TargetMode="External"/><Relationship Id="rId105" Type="http://schemas.openxmlformats.org/officeDocument/2006/relationships/hyperlink" Target="https://ninjatrader.com/learn/how-to-trade-futures/using-margin/" TargetMode="External"/><Relationship Id="rId104" Type="http://schemas.openxmlformats.org/officeDocument/2006/relationships/hyperlink" Target="https://www.interactivebrokers.com.au/en/trading/marginRequirements/marginFutures.php" TargetMode="External"/><Relationship Id="rId109" Type="http://schemas.openxmlformats.org/officeDocument/2006/relationships/hyperlink" Target="https://www.quantvps.com/blog/mnq-tick-value" TargetMode="External"/><Relationship Id="rId108" Type="http://schemas.openxmlformats.org/officeDocument/2006/relationships/hyperlink" Target="https://ninjatrader.com/pricing/margins-position-management/" TargetMode="External"/><Relationship Id="rId48" Type="http://schemas.openxmlformats.org/officeDocument/2006/relationships/image" Target="media/image36.png"/><Relationship Id="rId47" Type="http://schemas.openxmlformats.org/officeDocument/2006/relationships/image" Target="media/image47.png"/><Relationship Id="rId49" Type="http://schemas.openxmlformats.org/officeDocument/2006/relationships/image" Target="media/image43.png"/><Relationship Id="rId103" Type="http://schemas.openxmlformats.org/officeDocument/2006/relationships/hyperlink" Target="https://www.schwab.com/futures/micro-futures" TargetMode="External"/><Relationship Id="rId102" Type="http://schemas.openxmlformats.org/officeDocument/2006/relationships/hyperlink" Target="https://www.cmegroup.com/trading/equity-index/files/cme-micro-e-mini-futures-fact-card.pdf" TargetMode="External"/><Relationship Id="rId101" Type="http://schemas.openxmlformats.org/officeDocument/2006/relationships/hyperlink" Target="https://www.reddit.com/r/FuturesTrading/comments/1m7nrv8/futures_math_while_trading/" TargetMode="External"/><Relationship Id="rId100" Type="http://schemas.openxmlformats.org/officeDocument/2006/relationships/hyperlink" Target="https://learn.optimusfutures.com/position-sizing" TargetMode="External"/><Relationship Id="rId31" Type="http://schemas.openxmlformats.org/officeDocument/2006/relationships/image" Target="media/image22.png"/><Relationship Id="rId30" Type="http://schemas.openxmlformats.org/officeDocument/2006/relationships/image" Target="media/image14.png"/><Relationship Id="rId33" Type="http://schemas.openxmlformats.org/officeDocument/2006/relationships/image" Target="media/image21.png"/><Relationship Id="rId32" Type="http://schemas.openxmlformats.org/officeDocument/2006/relationships/image" Target="media/image16.png"/><Relationship Id="rId35" Type="http://schemas.openxmlformats.org/officeDocument/2006/relationships/image" Target="media/image29.png"/><Relationship Id="rId34" Type="http://schemas.openxmlformats.org/officeDocument/2006/relationships/image" Target="media/image19.png"/><Relationship Id="rId37" Type="http://schemas.openxmlformats.org/officeDocument/2006/relationships/image" Target="media/image1.png"/><Relationship Id="rId36" Type="http://schemas.openxmlformats.org/officeDocument/2006/relationships/image" Target="media/image10.png"/><Relationship Id="rId175" Type="http://schemas.openxmlformats.org/officeDocument/2006/relationships/hyperlink" Target="https://www.tradingview.com/symbols/CME_MINI-MNQ1%21/ideas/" TargetMode="External"/><Relationship Id="rId39" Type="http://schemas.openxmlformats.org/officeDocument/2006/relationships/image" Target="media/image6.png"/><Relationship Id="rId174" Type="http://schemas.openxmlformats.org/officeDocument/2006/relationships/hyperlink" Target="https://indexes.nasdaq.com/docs/Methodology_NDX.pdf" TargetMode="External"/><Relationship Id="rId38" Type="http://schemas.openxmlformats.org/officeDocument/2006/relationships/image" Target="media/image2.png"/><Relationship Id="rId173" Type="http://schemas.openxmlformats.org/officeDocument/2006/relationships/hyperlink" Target="https://www.reddit.com/r/RealDayTrading/comments/rn6rsi/kelly_criterion/" TargetMode="External"/><Relationship Id="rId20" Type="http://schemas.openxmlformats.org/officeDocument/2006/relationships/image" Target="media/image30.png"/><Relationship Id="rId22" Type="http://schemas.openxmlformats.org/officeDocument/2006/relationships/image" Target="media/image26.png"/><Relationship Id="rId21" Type="http://schemas.openxmlformats.org/officeDocument/2006/relationships/image" Target="media/image25.png"/><Relationship Id="rId24" Type="http://schemas.openxmlformats.org/officeDocument/2006/relationships/image" Target="media/image62.png"/><Relationship Id="rId23" Type="http://schemas.openxmlformats.org/officeDocument/2006/relationships/image" Target="media/image63.png"/><Relationship Id="rId129" Type="http://schemas.openxmlformats.org/officeDocument/2006/relationships/hyperlink" Target="https://www.fidelity.com/learning-center/trading-investing/technical-analysis/technical-indicator-guide/cboe-nasdaq-vxn" TargetMode="External"/><Relationship Id="rId128" Type="http://schemas.openxmlformats.org/officeDocument/2006/relationships/hyperlink" Target="https://www.youtube.com/watch?v=2ARyb9ihbYQ" TargetMode="External"/><Relationship Id="rId127" Type="http://schemas.openxmlformats.org/officeDocument/2006/relationships/hyperlink" Target="https://www.topstep.com/blog/beginners-guide-to-market-internals/" TargetMode="External"/><Relationship Id="rId126" Type="http://schemas.openxmlformats.org/officeDocument/2006/relationships/hyperlink" Target="https://www.youtube.com/watch?v=cLiT2l7kcZQ" TargetMode="External"/><Relationship Id="rId26" Type="http://schemas.openxmlformats.org/officeDocument/2006/relationships/image" Target="media/image17.png"/><Relationship Id="rId121" Type="http://schemas.openxmlformats.org/officeDocument/2006/relationships/hyperlink" Target="https://www.nasdaq.com/articles/1-magnificent-stock-could-join-nvidia-microsoft-and-apple-3-trillion-club" TargetMode="External"/><Relationship Id="rId25" Type="http://schemas.openxmlformats.org/officeDocument/2006/relationships/image" Target="media/image64.png"/><Relationship Id="rId120" Type="http://schemas.openxmlformats.org/officeDocument/2006/relationships/hyperlink" Target="https://www.vtmarkets.com/live-updates/an-equal-weighted-portfolio-consisting-of-apple-microsoft-and-nvidia-strongly-correlates-with-the-nasdaq-100-index/" TargetMode="External"/><Relationship Id="rId28" Type="http://schemas.openxmlformats.org/officeDocument/2006/relationships/image" Target="media/image18.png"/><Relationship Id="rId27" Type="http://schemas.openxmlformats.org/officeDocument/2006/relationships/image" Target="media/image13.png"/><Relationship Id="rId125" Type="http://schemas.openxmlformats.org/officeDocument/2006/relationships/hyperlink" Target="https://scanz.com/market-internals/" TargetMode="External"/><Relationship Id="rId29" Type="http://schemas.openxmlformats.org/officeDocument/2006/relationships/image" Target="media/image12.png"/><Relationship Id="rId124" Type="http://schemas.openxmlformats.org/officeDocument/2006/relationships/hyperlink" Target="https://www.simplertrading.com/blog/getting-started/market-internals" TargetMode="External"/><Relationship Id="rId123" Type="http://schemas.openxmlformats.org/officeDocument/2006/relationships/hyperlink" Target="https://www.investing.com/analysis/advanced-micro-devices-trades-below-peer-valuation-despite-40-eps-growth-200677114" TargetMode="External"/><Relationship Id="rId122" Type="http://schemas.openxmlformats.org/officeDocument/2006/relationships/hyperlink" Target="https://www.oanda.com/uk-en/trading/learn/strategies-for-trading-individual-instruments-and-asset-classes/analysing-ai-thesis-key-risks-q4-2025-earnings/" TargetMode="External"/><Relationship Id="rId95" Type="http://schemas.openxmlformats.org/officeDocument/2006/relationships/hyperlink" Target="https://support.ninjatrader.com/s/article/Tick-Size-and-Tick-Value" TargetMode="External"/><Relationship Id="rId94" Type="http://schemas.openxmlformats.org/officeDocument/2006/relationships/hyperlink" Target="https://www.cmegroup.com/trading/equity-index/us-index/micro-e-mini-options.html" TargetMode="External"/><Relationship Id="rId97" Type="http://schemas.openxmlformats.org/officeDocument/2006/relationships/hyperlink" Target="https://www.quantvps.com/blog/how-to-calculate-profit-and-loss-in-nasdaq-futures-using-tick-values" TargetMode="External"/><Relationship Id="rId96" Type="http://schemas.openxmlformats.org/officeDocument/2006/relationships/hyperlink" Target="https://insigniafutures.com/how-does-tick-size-and-tick-value-work-in-futures-trading/" TargetMode="External"/><Relationship Id="rId11" Type="http://schemas.openxmlformats.org/officeDocument/2006/relationships/image" Target="media/image66.png"/><Relationship Id="rId99" Type="http://schemas.openxmlformats.org/officeDocument/2006/relationships/hyperlink" Target="https://optimusfutures.com/blog/mnq-trading-strategies/" TargetMode="External"/><Relationship Id="rId10" Type="http://schemas.openxmlformats.org/officeDocument/2006/relationships/image" Target="media/image69.png"/><Relationship Id="rId98" Type="http://schemas.openxmlformats.org/officeDocument/2006/relationships/hyperlink" Target="https://www.quantvps.com/blog/how-many-points-are-in-a-tick-on-nasdaq-futures" TargetMode="External"/><Relationship Id="rId13" Type="http://schemas.openxmlformats.org/officeDocument/2006/relationships/image" Target="media/image70.png"/><Relationship Id="rId12" Type="http://schemas.openxmlformats.org/officeDocument/2006/relationships/image" Target="media/image67.png"/><Relationship Id="rId91" Type="http://schemas.openxmlformats.org/officeDocument/2006/relationships/hyperlink" Target="https://www.warriortrading.com/day-trading-risk-management/" TargetMode="External"/><Relationship Id="rId90" Type="http://schemas.openxmlformats.org/officeDocument/2006/relationships/hyperlink" Target="https://www.cmegroup.com/markets/equities/nasdaq/micro-e-mini-nasdaq-100.html" TargetMode="External"/><Relationship Id="rId93" Type="http://schemas.openxmlformats.org/officeDocument/2006/relationships/hyperlink" Target="https://www.gomarkets.com/en-au/articles/the-atr-multiple-stop----the-answer-to-stop-loss-challenges" TargetMode="External"/><Relationship Id="rId92" Type="http://schemas.openxmlformats.org/officeDocument/2006/relationships/hyperlink" Target="https://www.earn2trade.com/blog/position-sizing-strategies/" TargetMode="External"/><Relationship Id="rId118" Type="http://schemas.openxmlformats.org/officeDocument/2006/relationships/hyperlink" Target="https://www.notion.com/templates/trading-checklist" TargetMode="External"/><Relationship Id="rId117" Type="http://schemas.openxmlformats.org/officeDocument/2006/relationships/hyperlink" Target="https://fbs.com/fbs-academy/traders-blog/opening-range-breakout-trading-strategy" TargetMode="External"/><Relationship Id="rId116" Type="http://schemas.openxmlformats.org/officeDocument/2006/relationships/hyperlink" Target="https://www.fortraders.com/blog/7-steps-to-build-a-pre-trading-routine" TargetMode="External"/><Relationship Id="rId115" Type="http://schemas.openxmlformats.org/officeDocument/2006/relationships/hyperlink" Target="https://www.heygotrade.com/en/blog/understanding-pre-market-trading" TargetMode="External"/><Relationship Id="rId119" Type="http://schemas.openxmlformats.org/officeDocument/2006/relationships/hyperlink" Target="https://www.callan.com/blog/nasdaq-100/" TargetMode="External"/><Relationship Id="rId15" Type="http://schemas.openxmlformats.org/officeDocument/2006/relationships/image" Target="media/image71.png"/><Relationship Id="rId110" Type="http://schemas.openxmlformats.org/officeDocument/2006/relationships/hyperlink" Target="https://www.luxalgo.com/blog/how-time-of-day-affects-trade-success/" TargetMode="External"/><Relationship Id="rId14" Type="http://schemas.openxmlformats.org/officeDocument/2006/relationships/image" Target="media/image75.png"/><Relationship Id="rId17" Type="http://schemas.openxmlformats.org/officeDocument/2006/relationships/image" Target="media/image74.png"/><Relationship Id="rId16" Type="http://schemas.openxmlformats.org/officeDocument/2006/relationships/image" Target="media/image73.png"/><Relationship Id="rId19" Type="http://schemas.openxmlformats.org/officeDocument/2006/relationships/image" Target="media/image78.png"/><Relationship Id="rId114" Type="http://schemas.openxmlformats.org/officeDocument/2006/relationships/hyperlink" Target="https://www.warriortrading.com/power-hour-stocks/" TargetMode="External"/><Relationship Id="rId18" Type="http://schemas.openxmlformats.org/officeDocument/2006/relationships/image" Target="media/image79.png"/><Relationship Id="rId113" Type="http://schemas.openxmlformats.org/officeDocument/2006/relationships/hyperlink" Target="https://xbtfx.com/article/how-to-trade-in-premarket" TargetMode="External"/><Relationship Id="rId112" Type="http://schemas.openxmlformats.org/officeDocument/2006/relationships/hyperlink" Target="https://www.startrader.com/knowledge-intermediate/pre-market-trading-hours-strategies-key-insights/" TargetMode="External"/><Relationship Id="rId111" Type="http://schemas.openxmlformats.org/officeDocument/2006/relationships/hyperlink" Target="https://ninjatrader.com/futures/blogs/best-time-of-day-to-trade-futures/" TargetMode="External"/><Relationship Id="rId84" Type="http://schemas.openxmlformats.org/officeDocument/2006/relationships/image" Target="media/image9.png"/><Relationship Id="rId83" Type="http://schemas.openxmlformats.org/officeDocument/2006/relationships/image" Target="media/image15.png"/><Relationship Id="rId86" Type="http://schemas.openxmlformats.org/officeDocument/2006/relationships/hyperlink" Target="https://ninjatrader.com/futures/blogs/nasdaq-futures-trading-strategies/" TargetMode="External"/><Relationship Id="rId85" Type="http://schemas.openxmlformats.org/officeDocument/2006/relationships/hyperlink" Target="https://www.cmegroup.com/markets/equities/nasdaq/micro-e-mini-nasdaq-100.contractSpecs.html" TargetMode="External"/><Relationship Id="rId88" Type="http://schemas.openxmlformats.org/officeDocument/2006/relationships/hyperlink" Target="https://www.cmegroup.com/markets/equities/nasdaq/nasdaq-futures.html" TargetMode="External"/><Relationship Id="rId150" Type="http://schemas.openxmlformats.org/officeDocument/2006/relationships/hyperlink" Target="https://www.litefinance.org/blog/for-beginners/trading-strategies/camarilla-pivot-points-strategy/" TargetMode="External"/><Relationship Id="rId87" Type="http://schemas.openxmlformats.org/officeDocument/2006/relationships/hyperlink" Target="https://ir.nasdaq.com/news-releases/news-release-details/annual-changes-nasdaq-100-indexr-2" TargetMode="External"/><Relationship Id="rId89" Type="http://schemas.openxmlformats.org/officeDocument/2006/relationships/hyperlink" Target="https://www.tradingsim.com/blog/mastering-nasdaq-futures-trading-strategies-for-tech-indices" TargetMode="External"/><Relationship Id="rId80"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6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ashbackforex.com/article/calculate-pivot-point" TargetMode="External"/><Relationship Id="rId4" Type="http://schemas.openxmlformats.org/officeDocument/2006/relationships/numbering" Target="numbering.xml"/><Relationship Id="rId148" Type="http://schemas.openxmlformats.org/officeDocument/2006/relationships/hyperlink" Target="https://www.fortrade.com/a/blog/pivot-point-trading-approaches-to-enhance-your-investment-strategy/#:~:text=Like%20Woodie's%20pivot%20point%2C%20Camarilla,High%20%2D%20Low)%20x%201.0833)" TargetMode="External"/><Relationship Id="rId9" Type="http://schemas.openxmlformats.org/officeDocument/2006/relationships/image" Target="media/image72.png"/><Relationship Id="rId143" Type="http://schemas.openxmlformats.org/officeDocument/2006/relationships/hyperlink" Target="https://www.youtube.com/watch?v=UOnBJvH1sqg" TargetMode="External"/><Relationship Id="rId142" Type="http://schemas.openxmlformats.org/officeDocument/2006/relationships/hyperlink" Target="https://medium.com/@redsword_23261/ema-macd-and-rsi-triple-indicator-momentum-strategy-6a63156f8d1f" TargetMode="External"/><Relationship Id="rId141" Type="http://schemas.openxmlformats.org/officeDocument/2006/relationships/hyperlink" Target="https://www.youtube.com/watch?v=1HFoStW_wsc" TargetMode="External"/><Relationship Id="rId140" Type="http://schemas.openxmlformats.org/officeDocument/2006/relationships/hyperlink" Target="https://www.schwab.com/learn/story/how-to-use-volume-weighted-indicators-trading" TargetMode="External"/><Relationship Id="rId5" Type="http://schemas.openxmlformats.org/officeDocument/2006/relationships/styles" Target="styles.xml"/><Relationship Id="rId147" Type="http://schemas.openxmlformats.org/officeDocument/2006/relationships/hyperlink" Target="https://www.tradejini.com/blogs/types-of-pivot-points-used-for-trading" TargetMode="External"/><Relationship Id="rId6" Type="http://schemas.openxmlformats.org/officeDocument/2006/relationships/image" Target="media/image60.png"/><Relationship Id="rId146" Type="http://schemas.openxmlformats.org/officeDocument/2006/relationships/hyperlink" Target="https://www.strike.money/technical-analysis/pivot-points" TargetMode="External"/><Relationship Id="rId7" Type="http://schemas.openxmlformats.org/officeDocument/2006/relationships/image" Target="media/image24.png"/><Relationship Id="rId145" Type="http://schemas.openxmlformats.org/officeDocument/2006/relationships/hyperlink" Target="https://www.litefinance.org/blog/for-beginners/best-technical-indicators/rsi-relative-strength-index/" TargetMode="External"/><Relationship Id="rId8" Type="http://schemas.openxmlformats.org/officeDocument/2006/relationships/image" Target="media/image58.png"/><Relationship Id="rId144" Type="http://schemas.openxmlformats.org/officeDocument/2006/relationships/hyperlink" Target="https://www.oanda.com/us-en/trade-tap-blog/analysis/technical/mastering-rsi-trading-strategies/" TargetMode="External"/><Relationship Id="rId73" Type="http://schemas.openxmlformats.org/officeDocument/2006/relationships/image" Target="media/image51.png"/><Relationship Id="rId72" Type="http://schemas.openxmlformats.org/officeDocument/2006/relationships/image" Target="media/image46.png"/><Relationship Id="rId75" Type="http://schemas.openxmlformats.org/officeDocument/2006/relationships/image" Target="media/image52.png"/><Relationship Id="rId74" Type="http://schemas.openxmlformats.org/officeDocument/2006/relationships/image" Target="media/image49.png"/><Relationship Id="rId77" Type="http://schemas.openxmlformats.org/officeDocument/2006/relationships/image" Target="media/image41.png"/><Relationship Id="rId76" Type="http://schemas.openxmlformats.org/officeDocument/2006/relationships/image" Target="media/image40.png"/><Relationship Id="rId79" Type="http://schemas.openxmlformats.org/officeDocument/2006/relationships/image" Target="media/image65.png"/><Relationship Id="rId78" Type="http://schemas.openxmlformats.org/officeDocument/2006/relationships/image" Target="media/image42.png"/><Relationship Id="rId71" Type="http://schemas.openxmlformats.org/officeDocument/2006/relationships/image" Target="media/image50.png"/><Relationship Id="rId70" Type="http://schemas.openxmlformats.org/officeDocument/2006/relationships/image" Target="media/image48.png"/><Relationship Id="rId139" Type="http://schemas.openxmlformats.org/officeDocument/2006/relationships/hyperlink" Target="https://blog.quantinsti.com/vwap-strategy/" TargetMode="External"/><Relationship Id="rId138" Type="http://schemas.openxmlformats.org/officeDocument/2006/relationships/hyperlink" Target="https://medium.com/@steady-turtle-trading/how-professional-traders-really-use-vwap-its-not-what-you-think-cff7bfd9ecd0" TargetMode="External"/><Relationship Id="rId137" Type="http://schemas.openxmlformats.org/officeDocument/2006/relationships/hyperlink" Target="https://www.metrotrade.com/understanding-vwap-for-futures-trading/" TargetMode="External"/><Relationship Id="rId132" Type="http://schemas.openxmlformats.org/officeDocument/2006/relationships/hyperlink" Target="https://www.youtube.com/watch?v=sv-ixHXUTSQ" TargetMode="External"/><Relationship Id="rId131" Type="http://schemas.openxmlformats.org/officeDocument/2006/relationships/hyperlink" Target="https://www.vtmarkets.com/opinion/the-volatility-index-explained-a-market-mirror-for-2026/" TargetMode="External"/><Relationship Id="rId130" Type="http://schemas.openxmlformats.org/officeDocument/2006/relationships/hyperlink" Target="https://www.cboe.com/us/indices/dashboard/vxn/" TargetMode="External"/><Relationship Id="rId136" Type="http://schemas.openxmlformats.org/officeDocument/2006/relationships/hyperlink" Target="https://www.edgeful.com/blog/posts/the-opening-range-breakout-orb-trading-strategy" TargetMode="External"/><Relationship Id="rId135" Type="http://schemas.openxmlformats.org/officeDocument/2006/relationships/hyperlink" Target="https://www.reddit.com/r/Daytrading/comments/qab971/trading_the_opening_range_breakoutorb_strategy/" TargetMode="External"/><Relationship Id="rId134" Type="http://schemas.openxmlformats.org/officeDocument/2006/relationships/hyperlink" Target="https://www.metrotrade.com/orb-open-range-breakout-trading-strategy/" TargetMode="External"/><Relationship Id="rId133" Type="http://schemas.openxmlformats.org/officeDocument/2006/relationships/hyperlink" Target="https://holaprime.com/blogs/trading-education/best-intraday-trading-strategies-e-mini-nasdaq-100/" TargetMode="External"/><Relationship Id="rId62" Type="http://schemas.openxmlformats.org/officeDocument/2006/relationships/image" Target="media/image59.png"/><Relationship Id="rId61" Type="http://schemas.openxmlformats.org/officeDocument/2006/relationships/image" Target="media/image53.png"/><Relationship Id="rId64" Type="http://schemas.openxmlformats.org/officeDocument/2006/relationships/image" Target="media/image61.png"/><Relationship Id="rId63" Type="http://schemas.openxmlformats.org/officeDocument/2006/relationships/image" Target="media/image38.png"/><Relationship Id="rId66" Type="http://schemas.openxmlformats.org/officeDocument/2006/relationships/image" Target="media/image55.png"/><Relationship Id="rId172" Type="http://schemas.openxmlformats.org/officeDocument/2006/relationships/hyperlink" Target="https://blog.quantinsti.com/position-sizing/" TargetMode="External"/><Relationship Id="rId65" Type="http://schemas.openxmlformats.org/officeDocument/2006/relationships/image" Target="media/image57.png"/><Relationship Id="rId171" Type="http://schemas.openxmlformats.org/officeDocument/2006/relationships/hyperlink" Target="https://www.youtube.com/watch?v=7tvW3NvRnPk" TargetMode="External"/><Relationship Id="rId68" Type="http://schemas.openxmlformats.org/officeDocument/2006/relationships/image" Target="media/image56.png"/><Relationship Id="rId170" Type="http://schemas.openxmlformats.org/officeDocument/2006/relationships/hyperlink" Target="https://www.tastylive.com/news-insights/smart-trader-guide-kellys-criterion" TargetMode="External"/><Relationship Id="rId67" Type="http://schemas.openxmlformats.org/officeDocument/2006/relationships/image" Target="media/image54.png"/><Relationship Id="rId60" Type="http://schemas.openxmlformats.org/officeDocument/2006/relationships/image" Target="media/image32.png"/><Relationship Id="rId165" Type="http://schemas.openxmlformats.org/officeDocument/2006/relationships/hyperlink" Target="https://liquidityfinder.com/news/trading-journal-metrics-expectancy-drawdowns-and-r-multiples-explained-fc2af" TargetMode="External"/><Relationship Id="rId69" Type="http://schemas.openxmlformats.org/officeDocument/2006/relationships/image" Target="media/image45.png"/><Relationship Id="rId164" Type="http://schemas.openxmlformats.org/officeDocument/2006/relationships/hyperlink" Target="https://www.pnlledger.com/expectancy-r-multiples-the-plain-english-guide/#:~:text=Because%20R%2Dmultiples%20normalize%20outcomes,That's%20it." TargetMode="External"/><Relationship Id="rId163" Type="http://schemas.openxmlformats.org/officeDocument/2006/relationships/hyperlink" Target="https://www.youtube.com/watch?v=0OjlQ91TZiU" TargetMode="External"/><Relationship Id="rId162" Type="http://schemas.openxmlformats.org/officeDocument/2006/relationships/hyperlink" Target="https://www.reddit.com/r/Daytrading/comments/1rfvtax/future_traders_how_do_you_calculate_your_position/" TargetMode="External"/><Relationship Id="rId169" Type="http://schemas.openxmlformats.org/officeDocument/2006/relationships/hyperlink" Target="https://medium.com/@tmapendembe_28659/kelly-criterion-vs-fixed-fractional-which-risk-model-maximizes-long-term-growth-972ecb606e6c" TargetMode="External"/><Relationship Id="rId168" Type="http://schemas.openxmlformats.org/officeDocument/2006/relationships/hyperlink" Target="https://www.reddit.com/r/Forex/comments/r5s1zp/how_do_i_calculate_expectancy_on_a_strategy_with/" TargetMode="External"/><Relationship Id="rId167" Type="http://schemas.openxmlformats.org/officeDocument/2006/relationships/hyperlink" Target="https://www.youtube.com/watch?v=7Zettjhmod4" TargetMode="External"/><Relationship Id="rId166" Type="http://schemas.openxmlformats.org/officeDocument/2006/relationships/hyperlink" Target="https://www.pnlledger.com/expectancy-r-multiples-the-plain-english-guide/" TargetMode="External"/><Relationship Id="rId51" Type="http://schemas.openxmlformats.org/officeDocument/2006/relationships/image" Target="media/image39.png"/><Relationship Id="rId50" Type="http://schemas.openxmlformats.org/officeDocument/2006/relationships/image" Target="media/image37.png"/><Relationship Id="rId53" Type="http://schemas.openxmlformats.org/officeDocument/2006/relationships/image" Target="media/image31.png"/><Relationship Id="rId52" Type="http://schemas.openxmlformats.org/officeDocument/2006/relationships/image" Target="media/image44.png"/><Relationship Id="rId55" Type="http://schemas.openxmlformats.org/officeDocument/2006/relationships/image" Target="media/image27.png"/><Relationship Id="rId161" Type="http://schemas.openxmlformats.org/officeDocument/2006/relationships/hyperlink" Target="https://www.youtube.com/shorts/0McJvz65dN8" TargetMode="External"/><Relationship Id="rId54" Type="http://schemas.openxmlformats.org/officeDocument/2006/relationships/image" Target="media/image23.png"/><Relationship Id="rId160" Type="http://schemas.openxmlformats.org/officeDocument/2006/relationships/hyperlink" Target="https://www.luxalgo.com/blog/5-atr-stop-loss-strategies-for-risk-control/" TargetMode="External"/><Relationship Id="rId57" Type="http://schemas.openxmlformats.org/officeDocument/2006/relationships/image" Target="media/image20.png"/><Relationship Id="rId56" Type="http://schemas.openxmlformats.org/officeDocument/2006/relationships/image" Target="media/image28.png"/><Relationship Id="rId159" Type="http://schemas.openxmlformats.org/officeDocument/2006/relationships/hyperlink" Target="https://blog.traderspost.io/article/atr-trading-strategies-guide" TargetMode="External"/><Relationship Id="rId59" Type="http://schemas.openxmlformats.org/officeDocument/2006/relationships/image" Target="media/image34.png"/><Relationship Id="rId154" Type="http://schemas.openxmlformats.org/officeDocument/2006/relationships/hyperlink" Target="https://traders-academy.deriv.com/trading-guides/fibonacci-retracement-levels-in-trading" TargetMode="External"/><Relationship Id="rId58" Type="http://schemas.openxmlformats.org/officeDocument/2006/relationships/image" Target="media/image33.png"/><Relationship Id="rId153" Type="http://schemas.openxmlformats.org/officeDocument/2006/relationships/hyperlink" Target="https://alchemymarkets.com/education/indicators/fibonacci-retracement/" TargetMode="External"/><Relationship Id="rId152" Type="http://schemas.openxmlformats.org/officeDocument/2006/relationships/hyperlink" Target="https://dailypriceaction.com/forex-beginners/fibonacci-retracement-levels/" TargetMode="External"/><Relationship Id="rId151" Type="http://schemas.openxmlformats.org/officeDocument/2006/relationships/hyperlink" Target="https://tradewiththepros.com/fibonacci-retracement-levels/" TargetMode="External"/><Relationship Id="rId158" Type="http://schemas.openxmlformats.org/officeDocument/2006/relationships/hyperlink" Target="https://blog.traderspost.io/article/stop-loss-strategies-algorithmic-trading" TargetMode="External"/><Relationship Id="rId157" Type="http://schemas.openxmlformats.org/officeDocument/2006/relationships/hyperlink" Target="https://www.reddit.com/r/FuturesTrading/comments/1f0l7jo/the_correlation_between_atr_risk_and_profits/" TargetMode="External"/><Relationship Id="rId156" Type="http://schemas.openxmlformats.org/officeDocument/2006/relationships/hyperlink" Target="https://www.quantvps.com/blog/futures-trading-risk-management" TargetMode="External"/><Relationship Id="rId155" Type="http://schemas.openxmlformats.org/officeDocument/2006/relationships/hyperlink" Target="https://chartschool.stockcharts.com/table-of-contents/chart-analysis/chart-annotation-tools/fibonacci-retracem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