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900"/>
        <w:jc w:val="center"/>
      </w:pPr>
      <w:r>
        <w:rPr>
          <w:rFonts w:ascii="Aptos Display" w:hAnsi="Aptos Display"/>
          <w:b/>
          <w:color w:val="17365D"/>
          <w:sz w:val="62"/>
        </w:rPr>
        <w:t>TELEGRAM STOCK</w:t>
        <w:br/>
        <w:t>BREAKOUT ANALYZER</w:t>
      </w:r>
    </w:p>
    <w:p>
      <w:pPr>
        <w:widowControl/>
        <w:jc w:val="center"/>
      </w:pPr>
      <w:r>
        <w:rPr>
          <w:color w:val="1F7A8C"/>
          <w:sz w:val="32"/>
        </w:rPr>
        <w:t>User Guide, Factor Reference and Decision Logic</w:t>
      </w:r>
    </w:p>
    <w:p>
      <w:pPr>
        <w:widowControl/>
        <w:spacing w:before="400"/>
        <w:jc w:val="center"/>
      </w:pPr>
      <w:r>
        <w:rPr>
          <w:i/>
          <w:color w:val="5B6573"/>
          <w:sz w:val="22"/>
        </w:rPr>
        <w:t>Upstox-powered NSE/BSE breakout validation via Telegram</w:t>
      </w: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
              <w:rPr>
                <w:b/>
                <w:color w:val="17365D"/>
                <w:sz w:val="20"/>
              </w:rPr>
              <w:t>Purpose</w:t>
              <w:br/>
            </w:r>
            <w:r>
              <w:rPr>
                <w:color w:val="273444"/>
                <w:sz w:val="19"/>
              </w:rPr>
              <w:t>This guide explains what the bot evaluates, why each factor matters, how scoring and risk management work, how to format Telegram signals, and how to interpret ENTER, WAIT and REJECT results.</w:t>
            </w:r>
          </w:p>
        </w:tc>
      </w:tr>
    </w:tbl>
    <w:p>
      <w:pPr>
        <w:widowControl/>
        <w:spacing w:after="40"/>
      </w:pPr>
    </w:p>
    <w:tbl>
      <w:tblPr>
        <w:tblW w:type="auto" w:w="0"/>
        <w:jc w:val="center"/>
        <w:tblLook w:firstColumn="1" w:firstRow="1" w:lastColumn="0" w:lastRow="0" w:noHBand="0" w:noVBand="1" w:val="04A0"/>
      </w:tblPr>
      <w:tblGrid>
        <w:gridCol w:w="10080"/>
      </w:tblGrid>
      <w:tr>
        <w:tc>
          <w:tcPr>
            <w:tcW w:type="dxa" w:w="10080"/>
            <w:shd w:fill="FFF2CC"/>
            <w:tcMar>
              <w:top w:w="160" w:type="dxa"/>
              <w:start w:w="180" w:type="dxa"/>
              <w:bottom w:w="160" w:type="dxa"/>
              <w:end w:w="180" w:type="dxa"/>
            </w:tcMar>
          </w:tcPr>
          <w:p>
            <w:r/>
            <w:r>
              <w:rPr>
                <w:b/>
                <w:color w:val="17365D"/>
                <w:sz w:val="20"/>
              </w:rPr>
              <w:t>Important limitation</w:t>
              <w:br/>
            </w:r>
            <w:r>
              <w:rPr>
                <w:color w:val="273444"/>
                <w:sz w:val="19"/>
              </w:rPr>
              <w:t>The system is an educational research and decision-support tool. It does not guarantee profits, does not replace professional financial advice, and should not place orders automatically. Verify prices, corporate announcements, liquidity, and your personal risk tolerance before acting.</w:t>
            </w:r>
          </w:p>
        </w:tc>
      </w:tr>
    </w:tbl>
    <w:p>
      <w:pPr>
        <w:widowControl/>
        <w:spacing w:after="40"/>
      </w:pPr>
    </w:p>
    <w:p>
      <w:pPr>
        <w:widowControl/>
        <w:spacing w:before="440"/>
        <w:jc w:val="center"/>
      </w:pPr>
      <w:r>
        <w:rPr>
          <w:b/>
          <w:color w:val="17365D"/>
          <w:sz w:val="22"/>
        </w:rPr>
        <w:t>Prepared for Rehan Shaikh</w:t>
      </w:r>
    </w:p>
    <w:p>
      <w:pPr>
        <w:widowControl/>
        <w:jc w:val="center"/>
      </w:pPr>
      <w:r>
        <w:rPr>
          <w:color w:val="5B6573"/>
          <w:sz w:val="20"/>
        </w:rPr>
        <w:t>Version 1.1  |  September 2026</w:t>
      </w:r>
    </w:p>
    <w:p>
      <w:pPr>
        <w:widowControl/>
      </w:pPr>
      <w:r>
        <w:br w:type="page"/>
      </w:r>
    </w:p>
    <w:p>
      <w:pPr>
        <w:pStyle w:val="Title"/>
        <w:widowControl/>
      </w:pPr>
      <w:r>
        <w:t>Contents</w:t>
      </w:r>
    </w:p>
    <w:p>
      <w:pPr>
        <w:widowControl/>
        <w:spacing w:after="100"/>
        <w:ind w:left="360"/>
      </w:pPr>
      <w:r>
        <w:t>1. System overview</w:t>
      </w:r>
    </w:p>
    <w:p>
      <w:pPr>
        <w:widowControl/>
        <w:spacing w:after="100"/>
        <w:ind w:left="360"/>
      </w:pPr>
      <w:r>
        <w:t>2. How to send a signal</w:t>
      </w:r>
    </w:p>
    <w:p>
      <w:pPr>
        <w:widowControl/>
        <w:spacing w:after="100"/>
        <w:ind w:left="360"/>
      </w:pPr>
      <w:r>
        <w:t>3. Data flow and system components</w:t>
      </w:r>
    </w:p>
    <w:p>
      <w:pPr>
        <w:widowControl/>
        <w:spacing w:after="100"/>
        <w:ind w:left="360"/>
      </w:pPr>
      <w:r>
        <w:t>4. Factors evaluated and why they matter</w:t>
      </w:r>
    </w:p>
    <w:p>
      <w:pPr>
        <w:widowControl/>
        <w:spacing w:after="100"/>
        <w:ind w:left="360"/>
      </w:pPr>
      <w:r>
        <w:t>5. Scoring and decision logic</w:t>
      </w:r>
    </w:p>
    <w:p>
      <w:pPr>
        <w:widowControl/>
        <w:spacing w:after="100"/>
        <w:ind w:left="360"/>
      </w:pPr>
      <w:r>
        <w:t>6. Target interpretation and reward/risk</w:t>
      </w:r>
    </w:p>
    <w:p>
      <w:pPr>
        <w:widowControl/>
        <w:spacing w:after="100"/>
        <w:ind w:left="360"/>
      </w:pPr>
      <w:r>
        <w:t>7. ATR and position-sizing logic</w:t>
      </w:r>
    </w:p>
    <w:p>
      <w:pPr>
        <w:widowControl/>
        <w:spacing w:after="100"/>
        <w:ind w:left="360"/>
      </w:pPr>
      <w:r>
        <w:t>8. Reading the Telegram report</w:t>
      </w:r>
    </w:p>
    <w:p>
      <w:pPr>
        <w:widowControl/>
        <w:spacing w:after="100"/>
        <w:ind w:left="360"/>
      </w:pPr>
      <w:r>
        <w:t>9. Special cases and data limitations</w:t>
      </w:r>
    </w:p>
    <w:p>
      <w:pPr>
        <w:widowControl/>
        <w:spacing w:after="100"/>
        <w:ind w:left="360"/>
      </w:pPr>
      <w:r>
        <w:t>10. Daily operating procedure</w:t>
      </w:r>
    </w:p>
    <w:p>
      <w:pPr>
        <w:widowControl/>
        <w:spacing w:after="100"/>
        <w:ind w:left="360"/>
      </w:pPr>
      <w:r>
        <w:t>11. Troubleshooting</w:t>
      </w:r>
    </w:p>
    <w:p>
      <w:pPr>
        <w:widowControl/>
        <w:spacing w:after="100"/>
        <w:ind w:left="360"/>
      </w:pPr>
      <w:r>
        <w:t>12. Reference formulas and examples</w:t>
      </w:r>
    </w:p>
    <w:tbl>
      <w:tblPr>
        <w:tblW w:type="auto" w:w="0"/>
        <w:jc w:val="center"/>
        <w:tblLook w:firstColumn="1" w:firstRow="1" w:lastColumn="0" w:lastRow="0" w:noHBand="0" w:noVBand="1" w:val="04A0"/>
      </w:tblPr>
      <w:tblGrid>
        <w:gridCol w:w="10080"/>
      </w:tblGrid>
      <w:tr>
        <w:tc>
          <w:tcPr>
            <w:tcW w:type="dxa" w:w="10080"/>
            <w:shd w:fill="E2F0D9"/>
            <w:tcMar>
              <w:top w:w="160" w:type="dxa"/>
              <w:start w:w="180" w:type="dxa"/>
              <w:bottom w:w="160" w:type="dxa"/>
              <w:end w:w="180" w:type="dxa"/>
            </w:tcMar>
          </w:tcPr>
          <w:p>
            <w:r/>
            <w:r>
              <w:rPr>
                <w:b/>
                <w:color w:val="17365D"/>
                <w:sz w:val="20"/>
              </w:rPr>
              <w:t>At a glance</w:t>
              <w:br/>
            </w:r>
            <w:r>
              <w:rPr>
                <w:color w:val="273444"/>
                <w:sz w:val="19"/>
              </w:rPr>
              <w:t>Input: Telegram breakout message. Data: Upstox NSE/BSE instrument master, latest price, and daily historical candles. Output: technical evidence, risk/reward, quantity limits, and ENTER/WAIT/REJECT classification.</w:t>
            </w:r>
          </w:p>
        </w:tc>
      </w:tr>
    </w:tbl>
    <w:p>
      <w:pPr>
        <w:widowControl/>
        <w:spacing w:after="40"/>
      </w:pPr>
    </w:p>
    <w:p>
      <w:pPr>
        <w:widowControl/>
      </w:pPr>
      <w:r>
        <w:br w:type="page"/>
      </w:r>
    </w:p>
    <w:p>
      <w:pPr>
        <w:pStyle w:val="Title"/>
        <w:widowControl/>
      </w:pPr>
      <w:r>
        <w:t>1. System Overview</w:t>
      </w:r>
    </w:p>
    <w:p>
      <w:pPr>
        <w:widowControl/>
      </w:pPr>
      <w:r>
        <w:t>The Telegram Stock Breakout Analyzer validates positional long-breakout messages. It parses the trade details, resolves the NSE/BSE instrument, retrieves historical daily candles from Upstox, calculates technical indicators, applies transparent scoring rules, performs capital-aware position sizing, and sends a structured report back to Telegram.</w:t>
      </w:r>
    </w:p>
    <w:tbl>
      <w:tblPr>
        <w:tblStyle w:val="TableGrid"/>
        <w:tblW w:type="auto" w:w="0"/>
        <w:jc w:val="center"/>
        <w:tblLook w:firstColumn="1" w:firstRow="1" w:lastColumn="0" w:lastRow="0" w:noHBand="0" w:noVBand="1" w:val="04A0"/>
      </w:tblPr>
      <w:tblGrid>
        <w:gridCol w:w="5040"/>
        <w:gridCol w:w="5040"/>
      </w:tblGrid>
      <w:tr>
        <w:tc>
          <w:tcPr>
            <w:tcW w:type="dxa" w:w="1584"/>
            <w:shd w:fill="17365D"/>
            <w:vAlign w:val="center"/>
            <w:tcMar>
              <w:top w:w="100" w:type="dxa"/>
              <w:start w:w="120" w:type="dxa"/>
              <w:bottom w:w="100" w:type="dxa"/>
              <w:end w:w="120" w:type="dxa"/>
            </w:tcMar>
          </w:tcPr>
          <w:p>
            <w:pPr>
              <w:jc w:val="center"/>
            </w:pPr>
            <w:r/>
            <w:r>
              <w:rPr>
                <w:rFonts w:ascii="Aptos" w:hAnsi="Aptos"/>
                <w:b/>
                <w:color w:val="FFFFFF"/>
                <w:sz w:val="18"/>
              </w:rPr>
              <w:t>Stage</w:t>
            </w:r>
          </w:p>
        </w:tc>
        <w:tc>
          <w:tcPr>
            <w:tcW w:type="dxa" w:w="7776"/>
            <w:shd w:fill="17365D"/>
            <w:vAlign w:val="center"/>
            <w:tcMar>
              <w:top w:w="100" w:type="dxa"/>
              <w:start w:w="120" w:type="dxa"/>
              <w:bottom w:w="100" w:type="dxa"/>
              <w:end w:w="120" w:type="dxa"/>
            </w:tcMar>
          </w:tcPr>
          <w:p>
            <w:pPr>
              <w:jc w:val="center"/>
            </w:pPr>
            <w:r/>
            <w:r>
              <w:rPr>
                <w:rFonts w:ascii="Aptos" w:hAnsi="Aptos"/>
                <w:b/>
                <w:color w:val="FFFFFF"/>
                <w:sz w:val="18"/>
              </w:rPr>
              <w:t>What the system does</w:t>
            </w:r>
          </w:p>
        </w:tc>
      </w:tr>
      <w:tr>
        <w:tc>
          <w:tcPr>
            <w:tcW w:type="dxa" w:w="1584"/>
            <w:vAlign w:val="center"/>
            <w:tcMar>
              <w:top w:w="100" w:type="dxa"/>
              <w:start w:w="120" w:type="dxa"/>
              <w:bottom w:w="100" w:type="dxa"/>
              <w:end w:w="120" w:type="dxa"/>
            </w:tcMar>
          </w:tcPr>
          <w:p>
            <w:pPr>
              <w:jc w:val="center"/>
            </w:pPr>
            <w:r/>
            <w:r>
              <w:rPr>
                <w:rFonts w:ascii="Aptos" w:hAnsi="Aptos"/>
                <w:b w:val="0"/>
                <w:color w:val="1F2933"/>
                <w:sz w:val="17"/>
              </w:rPr>
              <w:t>1. Receive</w:t>
            </w:r>
          </w:p>
        </w:tc>
        <w:tc>
          <w:tcPr>
            <w:tcW w:type="dxa" w:w="7776"/>
            <w:vAlign w:val="center"/>
            <w:tcMar>
              <w:top w:w="100" w:type="dxa"/>
              <w:start w:w="120" w:type="dxa"/>
              <w:bottom w:w="100" w:type="dxa"/>
              <w:end w:w="120" w:type="dxa"/>
            </w:tcMar>
          </w:tcPr>
          <w:p>
            <w:pPr>
              <w:jc w:val="left"/>
            </w:pPr>
            <w:r/>
            <w:r>
              <w:rPr>
                <w:rFonts w:ascii="Aptos" w:hAnsi="Aptos"/>
                <w:b w:val="0"/>
                <w:color w:val="1F2933"/>
                <w:sz w:val="17"/>
              </w:rPr>
              <w:t>Reads the Telegram message.</w:t>
            </w:r>
          </w:p>
        </w:tc>
      </w:tr>
      <w:tr>
        <w:tc>
          <w:tcPr>
            <w:tcW w:type="dxa" w:w="1584"/>
            <w:shd w:fill="F4F7FA"/>
            <w:vAlign w:val="center"/>
            <w:tcMar>
              <w:top w:w="100" w:type="dxa"/>
              <w:start w:w="120" w:type="dxa"/>
              <w:bottom w:w="100" w:type="dxa"/>
              <w:end w:w="120" w:type="dxa"/>
            </w:tcMar>
          </w:tcPr>
          <w:p>
            <w:pPr>
              <w:jc w:val="center"/>
            </w:pPr>
            <w:r/>
            <w:r>
              <w:rPr>
                <w:rFonts w:ascii="Aptos" w:hAnsi="Aptos"/>
                <w:b w:val="0"/>
                <w:color w:val="1F2933"/>
                <w:sz w:val="17"/>
              </w:rPr>
              <w:t>2. Parse</w:t>
            </w:r>
          </w:p>
        </w:tc>
        <w:tc>
          <w:tcPr>
            <w:tcW w:type="dxa" w:w="7776"/>
            <w:shd w:fill="F4F7FA"/>
            <w:vAlign w:val="center"/>
            <w:tcMar>
              <w:top w:w="100" w:type="dxa"/>
              <w:start w:w="120" w:type="dxa"/>
              <w:bottom w:w="100" w:type="dxa"/>
              <w:end w:w="120" w:type="dxa"/>
            </w:tcMar>
          </w:tcPr>
          <w:p>
            <w:pPr>
              <w:jc w:val="left"/>
            </w:pPr>
            <w:r/>
            <w:r>
              <w:rPr>
                <w:rFonts w:ascii="Aptos" w:hAnsi="Aptos"/>
                <w:b w:val="0"/>
                <w:color w:val="1F2933"/>
                <w:sz w:val="17"/>
              </w:rPr>
              <w:t>Extracts symbol, breakout range, stop loss, targets, capital and holding period.</w:t>
            </w:r>
          </w:p>
        </w:tc>
      </w:tr>
      <w:tr>
        <w:tc>
          <w:tcPr>
            <w:tcW w:type="dxa" w:w="1584"/>
            <w:vAlign w:val="center"/>
            <w:tcMar>
              <w:top w:w="100" w:type="dxa"/>
              <w:start w:w="120" w:type="dxa"/>
              <w:bottom w:w="100" w:type="dxa"/>
              <w:end w:w="120" w:type="dxa"/>
            </w:tcMar>
          </w:tcPr>
          <w:p>
            <w:pPr>
              <w:jc w:val="center"/>
            </w:pPr>
            <w:r/>
            <w:r>
              <w:rPr>
                <w:rFonts w:ascii="Aptos" w:hAnsi="Aptos"/>
                <w:b w:val="0"/>
                <w:color w:val="1F2933"/>
                <w:sz w:val="17"/>
              </w:rPr>
              <w:t>3. Resolve</w:t>
            </w:r>
          </w:p>
        </w:tc>
        <w:tc>
          <w:tcPr>
            <w:tcW w:type="dxa" w:w="7776"/>
            <w:vAlign w:val="center"/>
            <w:tcMar>
              <w:top w:w="100" w:type="dxa"/>
              <w:start w:w="120" w:type="dxa"/>
              <w:bottom w:w="100" w:type="dxa"/>
              <w:end w:w="120" w:type="dxa"/>
            </w:tcMar>
          </w:tcPr>
          <w:p>
            <w:pPr>
              <w:jc w:val="left"/>
            </w:pPr>
            <w:r/>
            <w:r>
              <w:rPr>
                <w:rFonts w:ascii="Aptos" w:hAnsi="Aptos"/>
                <w:b w:val="0"/>
                <w:color w:val="1F2933"/>
                <w:sz w:val="17"/>
              </w:rPr>
              <w:t>Maps the trading symbol to the Upstox instrument key.</w:t>
            </w:r>
          </w:p>
        </w:tc>
      </w:tr>
      <w:tr>
        <w:tc>
          <w:tcPr>
            <w:tcW w:type="dxa" w:w="1584"/>
            <w:shd w:fill="F4F7FA"/>
            <w:vAlign w:val="center"/>
            <w:tcMar>
              <w:top w:w="100" w:type="dxa"/>
              <w:start w:w="120" w:type="dxa"/>
              <w:bottom w:w="100" w:type="dxa"/>
              <w:end w:w="120" w:type="dxa"/>
            </w:tcMar>
          </w:tcPr>
          <w:p>
            <w:pPr>
              <w:jc w:val="center"/>
            </w:pPr>
            <w:r/>
            <w:r>
              <w:rPr>
                <w:rFonts w:ascii="Aptos" w:hAnsi="Aptos"/>
                <w:b w:val="0"/>
                <w:color w:val="1F2933"/>
                <w:sz w:val="17"/>
              </w:rPr>
              <w:t>4. Retrieve</w:t>
            </w:r>
          </w:p>
        </w:tc>
        <w:tc>
          <w:tcPr>
            <w:tcW w:type="dxa" w:w="7776"/>
            <w:shd w:fill="F4F7FA"/>
            <w:vAlign w:val="center"/>
            <w:tcMar>
              <w:top w:w="100" w:type="dxa"/>
              <w:start w:w="120" w:type="dxa"/>
              <w:bottom w:w="100" w:type="dxa"/>
              <w:end w:w="120" w:type="dxa"/>
            </w:tcMar>
          </w:tcPr>
          <w:p>
            <w:pPr>
              <w:jc w:val="left"/>
            </w:pPr>
            <w:r/>
            <w:r>
              <w:rPr>
                <w:rFonts w:ascii="Aptos" w:hAnsi="Aptos"/>
                <w:b w:val="0"/>
                <w:color w:val="1F2933"/>
                <w:sz w:val="17"/>
              </w:rPr>
              <w:t>Downloads daily OHLCV candles and quote data.</w:t>
            </w:r>
          </w:p>
        </w:tc>
      </w:tr>
      <w:tr>
        <w:tc>
          <w:tcPr>
            <w:tcW w:type="dxa" w:w="1584"/>
            <w:vAlign w:val="center"/>
            <w:tcMar>
              <w:top w:w="100" w:type="dxa"/>
              <w:start w:w="120" w:type="dxa"/>
              <w:bottom w:w="100" w:type="dxa"/>
              <w:end w:w="120" w:type="dxa"/>
            </w:tcMar>
          </w:tcPr>
          <w:p>
            <w:pPr>
              <w:jc w:val="center"/>
            </w:pPr>
            <w:r/>
            <w:r>
              <w:rPr>
                <w:rFonts w:ascii="Aptos" w:hAnsi="Aptos"/>
                <w:b w:val="0"/>
                <w:color w:val="1F2933"/>
                <w:sz w:val="17"/>
              </w:rPr>
              <w:t>5. Analyze</w:t>
            </w:r>
          </w:p>
        </w:tc>
        <w:tc>
          <w:tcPr>
            <w:tcW w:type="dxa" w:w="7776"/>
            <w:vAlign w:val="center"/>
            <w:tcMar>
              <w:top w:w="100" w:type="dxa"/>
              <w:start w:w="120" w:type="dxa"/>
              <w:bottom w:w="100" w:type="dxa"/>
              <w:end w:w="120" w:type="dxa"/>
            </w:tcMar>
          </w:tcPr>
          <w:p>
            <w:pPr>
              <w:jc w:val="left"/>
            </w:pPr>
            <w:r/>
            <w:r>
              <w:rPr>
                <w:rFonts w:ascii="Aptos" w:hAnsi="Aptos"/>
                <w:b w:val="0"/>
                <w:color w:val="1F2933"/>
                <w:sz w:val="17"/>
              </w:rPr>
              <w:t>Calculates EMA20, EMA50, RSI14, ATR14 and 20-session volume ratio.</w:t>
            </w:r>
          </w:p>
        </w:tc>
      </w:tr>
      <w:tr>
        <w:tc>
          <w:tcPr>
            <w:tcW w:type="dxa" w:w="1584"/>
            <w:shd w:fill="F4F7FA"/>
            <w:vAlign w:val="center"/>
            <w:tcMar>
              <w:top w:w="100" w:type="dxa"/>
              <w:start w:w="120" w:type="dxa"/>
              <w:bottom w:w="100" w:type="dxa"/>
              <w:end w:w="120" w:type="dxa"/>
            </w:tcMar>
          </w:tcPr>
          <w:p>
            <w:pPr>
              <w:jc w:val="center"/>
            </w:pPr>
            <w:r/>
            <w:r>
              <w:rPr>
                <w:rFonts w:ascii="Aptos" w:hAnsi="Aptos"/>
                <w:b w:val="0"/>
                <w:color w:val="1F2933"/>
                <w:sz w:val="17"/>
              </w:rPr>
              <w:t>6. Score</w:t>
            </w:r>
          </w:p>
        </w:tc>
        <w:tc>
          <w:tcPr>
            <w:tcW w:type="dxa" w:w="7776"/>
            <w:shd w:fill="F4F7FA"/>
            <w:vAlign w:val="center"/>
            <w:tcMar>
              <w:top w:w="100" w:type="dxa"/>
              <w:start w:w="120" w:type="dxa"/>
              <w:bottom w:w="100" w:type="dxa"/>
              <w:end w:w="120" w:type="dxa"/>
            </w:tcMar>
          </w:tcPr>
          <w:p>
            <w:pPr>
              <w:jc w:val="left"/>
            </w:pPr>
            <w:r/>
            <w:r>
              <w:rPr>
                <w:rFonts w:ascii="Aptos" w:hAnsi="Aptos"/>
                <w:b w:val="0"/>
                <w:color w:val="1F2933"/>
                <w:sz w:val="17"/>
              </w:rPr>
              <w:t>Applies breakout, trend, momentum, volume and reward/risk rules.</w:t>
            </w:r>
          </w:p>
        </w:tc>
      </w:tr>
      <w:tr>
        <w:tc>
          <w:tcPr>
            <w:tcW w:type="dxa" w:w="1584"/>
            <w:vAlign w:val="center"/>
            <w:tcMar>
              <w:top w:w="100" w:type="dxa"/>
              <w:start w:w="120" w:type="dxa"/>
              <w:bottom w:w="100" w:type="dxa"/>
              <w:end w:w="120" w:type="dxa"/>
            </w:tcMar>
          </w:tcPr>
          <w:p>
            <w:pPr>
              <w:jc w:val="center"/>
            </w:pPr>
            <w:r/>
            <w:r>
              <w:rPr>
                <w:rFonts w:ascii="Aptos" w:hAnsi="Aptos"/>
                <w:b w:val="0"/>
                <w:color w:val="1F2933"/>
                <w:sz w:val="17"/>
              </w:rPr>
              <w:t>7. Size</w:t>
            </w:r>
          </w:p>
        </w:tc>
        <w:tc>
          <w:tcPr>
            <w:tcW w:type="dxa" w:w="7776"/>
            <w:vAlign w:val="center"/>
            <w:tcMar>
              <w:top w:w="100" w:type="dxa"/>
              <w:start w:w="120" w:type="dxa"/>
              <w:bottom w:w="100" w:type="dxa"/>
              <w:end w:w="120" w:type="dxa"/>
            </w:tcMar>
          </w:tcPr>
          <w:p>
            <w:pPr>
              <w:jc w:val="left"/>
            </w:pPr>
            <w:r/>
            <w:r>
              <w:rPr>
                <w:rFonts w:ascii="Aptos" w:hAnsi="Aptos"/>
                <w:b w:val="0"/>
                <w:color w:val="1F2933"/>
                <w:sz w:val="17"/>
              </w:rPr>
              <w:t>Calculates quantity allowed by risk and by available capital.</w:t>
            </w:r>
          </w:p>
        </w:tc>
      </w:tr>
      <w:tr>
        <w:tc>
          <w:tcPr>
            <w:tcW w:type="dxa" w:w="1584"/>
            <w:shd w:fill="F4F7FA"/>
            <w:vAlign w:val="center"/>
            <w:tcMar>
              <w:top w:w="100" w:type="dxa"/>
              <w:start w:w="120" w:type="dxa"/>
              <w:bottom w:w="100" w:type="dxa"/>
              <w:end w:w="120" w:type="dxa"/>
            </w:tcMar>
          </w:tcPr>
          <w:p>
            <w:pPr>
              <w:jc w:val="center"/>
            </w:pPr>
            <w:r/>
            <w:r>
              <w:rPr>
                <w:rFonts w:ascii="Aptos" w:hAnsi="Aptos"/>
                <w:b w:val="0"/>
                <w:color w:val="1F2933"/>
                <w:sz w:val="17"/>
              </w:rPr>
              <w:t>8. Report</w:t>
            </w:r>
          </w:p>
        </w:tc>
        <w:tc>
          <w:tcPr>
            <w:tcW w:type="dxa" w:w="7776"/>
            <w:shd w:fill="F4F7FA"/>
            <w:vAlign w:val="center"/>
            <w:tcMar>
              <w:top w:w="100" w:type="dxa"/>
              <w:start w:w="120" w:type="dxa"/>
              <w:bottom w:w="100" w:type="dxa"/>
              <w:end w:w="120" w:type="dxa"/>
            </w:tcMar>
          </w:tcPr>
          <w:p>
            <w:pPr>
              <w:jc w:val="left"/>
            </w:pPr>
            <w:r/>
            <w:r>
              <w:rPr>
                <w:rFonts w:ascii="Aptos" w:hAnsi="Aptos"/>
                <w:b w:val="0"/>
                <w:color w:val="1F2933"/>
                <w:sz w:val="17"/>
              </w:rPr>
              <w:t>Returns decision, confidence, evidence and risk-management details.</w:t>
            </w:r>
          </w:p>
        </w:tc>
      </w:tr>
    </w:tbl>
    <w:p>
      <w:pPr>
        <w:widowControl/>
        <w:spacing w:after="40"/>
      </w:pPr>
    </w:p>
    <w:p>
      <w:pPr>
        <w:pStyle w:val="Heading1"/>
        <w:widowControl/>
      </w:pPr>
      <w:r>
        <w:t>What the system does not do</w:t>
      </w:r>
    </w:p>
    <w:p>
      <w:pPr>
        <w:pStyle w:val="ListBullet"/>
        <w:widowControl/>
        <w:spacing w:after="60"/>
      </w:pPr>
      <w:r>
        <w:rPr>
          <w:sz w:val="20"/>
        </w:rPr>
        <w:t>It does not guarantee a profitable trade.</w:t>
      </w:r>
    </w:p>
    <w:p>
      <w:pPr>
        <w:pStyle w:val="ListBullet"/>
        <w:widowControl/>
        <w:spacing w:after="60"/>
      </w:pPr>
      <w:r>
        <w:rPr>
          <w:sz w:val="20"/>
        </w:rPr>
        <w:t>It does not automatically place an Upstox order.</w:t>
      </w:r>
    </w:p>
    <w:p>
      <w:pPr>
        <w:pStyle w:val="ListBullet"/>
        <w:widowControl/>
        <w:spacing w:after="60"/>
      </w:pPr>
      <w:r>
        <w:rPr>
          <w:sz w:val="20"/>
        </w:rPr>
        <w:t>It does not replace exchange announcements, corporate-event checks or professional advice.</w:t>
      </w:r>
    </w:p>
    <w:p>
      <w:pPr>
        <w:pStyle w:val="ListBullet"/>
        <w:widowControl/>
        <w:spacing w:after="60"/>
      </w:pPr>
      <w:r>
        <w:rPr>
          <w:sz w:val="20"/>
        </w:rPr>
        <w:t>It does not infer missing inputs silently. Missing or insufficient data are reported.</w:t>
      </w:r>
    </w:p>
    <w:p>
      <w:pPr>
        <w:pStyle w:val="Title"/>
        <w:widowControl/>
      </w:pPr>
      <w:r>
        <w:t>2. How to Send a Signal</w:t>
      </w:r>
    </w:p>
    <w:p>
      <w:pPr>
        <w:pStyle w:val="Heading1"/>
        <w:widowControl/>
      </w:pPr>
      <w:r>
        <w:t>Recommended message format</w:t>
      </w:r>
    </w:p>
    <w:tbl>
      <w:tblPr>
        <w:tblW w:type="auto" w:w="0"/>
        <w:tblLook w:firstColumn="1" w:firstRow="1" w:lastColumn="0" w:lastRow="0" w:noHBand="0" w:noVBand="1" w:val="04A0"/>
      </w:tblPr>
      <w:tblGrid>
        <w:gridCol w:w="10080"/>
      </w:tblGrid>
      <w:tr>
        <w:tc>
          <w:tcPr>
            <w:tcW w:type="dxa" w:w="10080"/>
            <w:shd w:fill="F2F2F2"/>
            <w:tcMar>
              <w:top w:w="140" w:type="dxa"/>
              <w:start w:w="160" w:type="dxa"/>
              <w:bottom w:w="140" w:type="dxa"/>
              <w:end w:w="160" w:type="dxa"/>
            </w:tcMar>
          </w:tcPr>
          <w:p>
            <w:pPr>
              <w:spacing w:after="0"/>
            </w:pPr>
            <w:r/>
            <w:r>
              <w:rPr>
                <w:rFonts w:ascii="Consolas" w:hAnsi="Consolas"/>
                <w:color w:val="202124"/>
                <w:sz w:val="17"/>
              </w:rPr>
              <w:t>TORNT POWER</w:t>
              <w:br/>
              <w:t>Looks Good ABOVE 1241-1245</w:t>
              <w:br/>
              <w:t>SL 1190</w:t>
              <w:br/>
              <w:t>Targets 1275-1300-1325-1350</w:t>
              <w:br/>
              <w:t>Capital 50000</w:t>
              <w:br/>
              <w:t>Hold few weeks</w:t>
            </w:r>
          </w:p>
        </w:tc>
      </w:tr>
    </w:tbl>
    <w:p>
      <w:pPr>
        <w:widowControl/>
        <w:spacing w:after="20"/>
      </w:pP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7365D"/>
            <w:vAlign w:val="center"/>
            <w:tcMar>
              <w:top w:w="100" w:type="dxa"/>
              <w:start w:w="120" w:type="dxa"/>
              <w:bottom w:w="100" w:type="dxa"/>
              <w:end w:w="120" w:type="dxa"/>
            </w:tcMar>
          </w:tcPr>
          <w:p>
            <w:pPr>
              <w:jc w:val="center"/>
            </w:pPr>
            <w:r/>
            <w:r>
              <w:rPr>
                <w:rFonts w:ascii="Aptos" w:hAnsi="Aptos"/>
                <w:b/>
                <w:color w:val="FFFFFF"/>
                <w:sz w:val="18"/>
              </w:rPr>
              <w:t>Field</w:t>
            </w:r>
          </w:p>
        </w:tc>
        <w:tc>
          <w:tcPr>
            <w:tcW w:type="dxa" w:w="4608"/>
            <w:shd w:fill="17365D"/>
            <w:vAlign w:val="center"/>
            <w:tcMar>
              <w:top w:w="100" w:type="dxa"/>
              <w:start w:w="120" w:type="dxa"/>
              <w:bottom w:w="100" w:type="dxa"/>
              <w:end w:w="120" w:type="dxa"/>
            </w:tcMar>
          </w:tcPr>
          <w:p>
            <w:pPr>
              <w:jc w:val="center"/>
            </w:pPr>
            <w:r/>
            <w:r>
              <w:rPr>
                <w:rFonts w:ascii="Aptos" w:hAnsi="Aptos"/>
                <w:b/>
                <w:color w:val="FFFFFF"/>
                <w:sz w:val="18"/>
              </w:rPr>
              <w:t>Meaning</w:t>
            </w:r>
          </w:p>
        </w:tc>
        <w:tc>
          <w:tcPr>
            <w:tcW w:type="dxa" w:w="3024"/>
            <w:shd w:fill="17365D"/>
            <w:vAlign w:val="center"/>
            <w:tcMar>
              <w:top w:w="100" w:type="dxa"/>
              <w:start w:w="120" w:type="dxa"/>
              <w:bottom w:w="100" w:type="dxa"/>
              <w:end w:w="120" w:type="dxa"/>
            </w:tcMar>
          </w:tcPr>
          <w:p>
            <w:pPr>
              <w:jc w:val="center"/>
            </w:pPr>
            <w:r/>
            <w:r>
              <w:rPr>
                <w:rFonts w:ascii="Aptos" w:hAnsi="Aptos"/>
                <w:b/>
                <w:color w:val="FFFFFF"/>
                <w:sz w:val="18"/>
              </w:rPr>
              <w:t>Example</w:t>
            </w:r>
          </w:p>
        </w:tc>
      </w:tr>
      <w:tr>
        <w:tc>
          <w:tcPr>
            <w:tcW w:type="dxa" w:w="1872"/>
            <w:vAlign w:val="center"/>
            <w:tcMar>
              <w:top w:w="100" w:type="dxa"/>
              <w:start w:w="120" w:type="dxa"/>
              <w:bottom w:w="100" w:type="dxa"/>
              <w:end w:w="120" w:type="dxa"/>
            </w:tcMar>
          </w:tcPr>
          <w:p>
            <w:pPr>
              <w:jc w:val="center"/>
            </w:pPr>
            <w:r/>
            <w:r>
              <w:rPr>
                <w:rFonts w:ascii="Aptos" w:hAnsi="Aptos"/>
                <w:b w:val="0"/>
                <w:color w:val="1F2933"/>
                <w:sz w:val="17"/>
              </w:rPr>
              <w:t>Symbol</w:t>
            </w:r>
          </w:p>
        </w:tc>
        <w:tc>
          <w:tcPr>
            <w:tcW w:type="dxa" w:w="4608"/>
            <w:vAlign w:val="center"/>
            <w:tcMar>
              <w:top w:w="100" w:type="dxa"/>
              <w:start w:w="120" w:type="dxa"/>
              <w:bottom w:w="100" w:type="dxa"/>
              <w:end w:w="120" w:type="dxa"/>
            </w:tcMar>
          </w:tcPr>
          <w:p>
            <w:pPr>
              <w:jc w:val="left"/>
            </w:pPr>
            <w:r/>
            <w:r>
              <w:rPr>
                <w:rFonts w:ascii="Aptos" w:hAnsi="Aptos"/>
                <w:b w:val="0"/>
                <w:color w:val="1F2933"/>
                <w:sz w:val="17"/>
              </w:rPr>
              <w:t>NSE/BSE trading symbol or recognizable displayed name.</w:t>
            </w:r>
          </w:p>
        </w:tc>
        <w:tc>
          <w:tcPr>
            <w:tcW w:type="dxa" w:w="3024"/>
            <w:vAlign w:val="center"/>
            <w:tcMar>
              <w:top w:w="100" w:type="dxa"/>
              <w:start w:w="120" w:type="dxa"/>
              <w:bottom w:w="100" w:type="dxa"/>
              <w:end w:w="120" w:type="dxa"/>
            </w:tcMar>
          </w:tcPr>
          <w:p>
            <w:pPr>
              <w:jc w:val="left"/>
            </w:pPr>
            <w:r/>
            <w:r>
              <w:rPr>
                <w:rFonts w:ascii="Aptos" w:hAnsi="Aptos"/>
                <w:b w:val="0"/>
                <w:color w:val="1F2933"/>
                <w:sz w:val="17"/>
              </w:rPr>
              <w:t>TORNT POWER</w:t>
            </w:r>
          </w:p>
        </w:tc>
      </w:tr>
      <w:tr>
        <w:tc>
          <w:tcPr>
            <w:tcW w:type="dxa" w:w="1872"/>
            <w:shd w:fill="F4F7FA"/>
            <w:vAlign w:val="center"/>
            <w:tcMar>
              <w:top w:w="100" w:type="dxa"/>
              <w:start w:w="120" w:type="dxa"/>
              <w:bottom w:w="100" w:type="dxa"/>
              <w:end w:w="120" w:type="dxa"/>
            </w:tcMar>
          </w:tcPr>
          <w:p>
            <w:pPr>
              <w:jc w:val="center"/>
            </w:pPr>
            <w:r/>
            <w:r>
              <w:rPr>
                <w:rFonts w:ascii="Aptos" w:hAnsi="Aptos"/>
                <w:b w:val="0"/>
                <w:color w:val="1F2933"/>
                <w:sz w:val="17"/>
              </w:rPr>
              <w:t>Breakout</w:t>
            </w:r>
          </w:p>
        </w:tc>
        <w:tc>
          <w:tcPr>
            <w:tcW w:type="dxa" w:w="4608"/>
            <w:shd w:fill="F4F7FA"/>
            <w:vAlign w:val="center"/>
            <w:tcMar>
              <w:top w:w="100" w:type="dxa"/>
              <w:start w:w="120" w:type="dxa"/>
              <w:bottom w:w="100" w:type="dxa"/>
              <w:end w:w="120" w:type="dxa"/>
            </w:tcMar>
          </w:tcPr>
          <w:p>
            <w:pPr>
              <w:jc w:val="left"/>
            </w:pPr>
            <w:r/>
            <w:r>
              <w:rPr>
                <w:rFonts w:ascii="Aptos" w:hAnsi="Aptos"/>
                <w:b w:val="0"/>
                <w:color w:val="1F2933"/>
                <w:sz w:val="17"/>
              </w:rPr>
              <w:t>Trigger price or trigger range. The upper value is used as the planned entry.</w:t>
            </w:r>
          </w:p>
        </w:tc>
        <w:tc>
          <w:tcPr>
            <w:tcW w:type="dxa" w:w="3024"/>
            <w:shd w:fill="F4F7FA"/>
            <w:vAlign w:val="center"/>
            <w:tcMar>
              <w:top w:w="100" w:type="dxa"/>
              <w:start w:w="120" w:type="dxa"/>
              <w:bottom w:w="100" w:type="dxa"/>
              <w:end w:w="120" w:type="dxa"/>
            </w:tcMar>
          </w:tcPr>
          <w:p>
            <w:pPr>
              <w:jc w:val="left"/>
            </w:pPr>
            <w:r/>
            <w:r>
              <w:rPr>
                <w:rFonts w:ascii="Aptos" w:hAnsi="Aptos"/>
                <w:b w:val="0"/>
                <w:color w:val="1F2933"/>
                <w:sz w:val="17"/>
              </w:rPr>
              <w:t>1241-1245 → entry 1245</w:t>
            </w:r>
          </w:p>
        </w:tc>
      </w:tr>
      <w:tr>
        <w:tc>
          <w:tcPr>
            <w:tcW w:type="dxa" w:w="1872"/>
            <w:vAlign w:val="center"/>
            <w:tcMar>
              <w:top w:w="100" w:type="dxa"/>
              <w:start w:w="120" w:type="dxa"/>
              <w:bottom w:w="100" w:type="dxa"/>
              <w:end w:w="120" w:type="dxa"/>
            </w:tcMar>
          </w:tcPr>
          <w:p>
            <w:pPr>
              <w:jc w:val="center"/>
            </w:pPr>
            <w:r/>
            <w:r>
              <w:rPr>
                <w:rFonts w:ascii="Aptos" w:hAnsi="Aptos"/>
                <w:b w:val="0"/>
                <w:color w:val="1F2933"/>
                <w:sz w:val="17"/>
              </w:rPr>
              <w:t>SL</w:t>
            </w:r>
          </w:p>
        </w:tc>
        <w:tc>
          <w:tcPr>
            <w:tcW w:type="dxa" w:w="4608"/>
            <w:vAlign w:val="center"/>
            <w:tcMar>
              <w:top w:w="100" w:type="dxa"/>
              <w:start w:w="120" w:type="dxa"/>
              <w:bottom w:w="100" w:type="dxa"/>
              <w:end w:w="120" w:type="dxa"/>
            </w:tcMar>
          </w:tcPr>
          <w:p>
            <w:pPr>
              <w:jc w:val="left"/>
            </w:pPr>
            <w:r/>
            <w:r>
              <w:rPr>
                <w:rFonts w:ascii="Aptos" w:hAnsi="Aptos"/>
                <w:b w:val="0"/>
                <w:color w:val="1F2933"/>
                <w:sz w:val="17"/>
              </w:rPr>
              <w:t>Technical invalidation or stop-loss price.</w:t>
            </w:r>
          </w:p>
        </w:tc>
        <w:tc>
          <w:tcPr>
            <w:tcW w:type="dxa" w:w="3024"/>
            <w:vAlign w:val="center"/>
            <w:tcMar>
              <w:top w:w="100" w:type="dxa"/>
              <w:start w:w="120" w:type="dxa"/>
              <w:bottom w:w="100" w:type="dxa"/>
              <w:end w:w="120" w:type="dxa"/>
            </w:tcMar>
          </w:tcPr>
          <w:p>
            <w:pPr>
              <w:jc w:val="left"/>
            </w:pPr>
            <w:r/>
            <w:r>
              <w:rPr>
                <w:rFonts w:ascii="Aptos" w:hAnsi="Aptos"/>
                <w:b w:val="0"/>
                <w:color w:val="1F2933"/>
                <w:sz w:val="17"/>
              </w:rPr>
              <w:t>1190</w:t>
            </w:r>
          </w:p>
        </w:tc>
      </w:tr>
      <w:tr>
        <w:tc>
          <w:tcPr>
            <w:tcW w:type="dxa" w:w="1872"/>
            <w:shd w:fill="F4F7FA"/>
            <w:vAlign w:val="center"/>
            <w:tcMar>
              <w:top w:w="100" w:type="dxa"/>
              <w:start w:w="120" w:type="dxa"/>
              <w:bottom w:w="100" w:type="dxa"/>
              <w:end w:w="120" w:type="dxa"/>
            </w:tcMar>
          </w:tcPr>
          <w:p>
            <w:pPr>
              <w:jc w:val="center"/>
            </w:pPr>
            <w:r/>
            <w:r>
              <w:rPr>
                <w:rFonts w:ascii="Aptos" w:hAnsi="Aptos"/>
                <w:b w:val="0"/>
                <w:color w:val="1F2933"/>
                <w:sz w:val="17"/>
              </w:rPr>
              <w:t>Targets</w:t>
            </w:r>
          </w:p>
        </w:tc>
        <w:tc>
          <w:tcPr>
            <w:tcW w:type="dxa" w:w="4608"/>
            <w:shd w:fill="F4F7FA"/>
            <w:vAlign w:val="center"/>
            <w:tcMar>
              <w:top w:w="100" w:type="dxa"/>
              <w:start w:w="120" w:type="dxa"/>
              <w:bottom w:w="100" w:type="dxa"/>
              <w:end w:w="120" w:type="dxa"/>
            </w:tcMar>
          </w:tcPr>
          <w:p>
            <w:pPr>
              <w:jc w:val="left"/>
            </w:pPr>
            <w:r/>
            <w:r>
              <w:rPr>
                <w:rFonts w:ascii="Aptos" w:hAnsi="Aptos"/>
                <w:b w:val="0"/>
                <w:color w:val="1F2933"/>
                <w:sz w:val="17"/>
              </w:rPr>
              <w:t>Absolute prices or points from entry.</w:t>
            </w:r>
          </w:p>
        </w:tc>
        <w:tc>
          <w:tcPr>
            <w:tcW w:type="dxa" w:w="3024"/>
            <w:shd w:fill="F4F7FA"/>
            <w:vAlign w:val="center"/>
            <w:tcMar>
              <w:top w:w="100" w:type="dxa"/>
              <w:start w:w="120" w:type="dxa"/>
              <w:bottom w:w="100" w:type="dxa"/>
              <w:end w:w="120" w:type="dxa"/>
            </w:tcMar>
          </w:tcPr>
          <w:p>
            <w:pPr>
              <w:jc w:val="left"/>
            </w:pPr>
            <w:r/>
            <w:r>
              <w:rPr>
                <w:rFonts w:ascii="Aptos" w:hAnsi="Aptos"/>
                <w:b w:val="0"/>
                <w:color w:val="1F2933"/>
                <w:sz w:val="17"/>
              </w:rPr>
              <w:t>1275-1350 or 5-10-15 points</w:t>
            </w:r>
          </w:p>
        </w:tc>
      </w:tr>
      <w:tr>
        <w:tc>
          <w:tcPr>
            <w:tcW w:type="dxa" w:w="1872"/>
            <w:vAlign w:val="center"/>
            <w:tcMar>
              <w:top w:w="100" w:type="dxa"/>
              <w:start w:w="120" w:type="dxa"/>
              <w:bottom w:w="100" w:type="dxa"/>
              <w:end w:w="120" w:type="dxa"/>
            </w:tcMar>
          </w:tcPr>
          <w:p>
            <w:pPr>
              <w:jc w:val="center"/>
            </w:pPr>
            <w:r/>
            <w:r>
              <w:rPr>
                <w:rFonts w:ascii="Aptos" w:hAnsi="Aptos"/>
                <w:b w:val="0"/>
                <w:color w:val="1F2933"/>
                <w:sz w:val="17"/>
              </w:rPr>
              <w:t>Capital</w:t>
            </w:r>
          </w:p>
        </w:tc>
        <w:tc>
          <w:tcPr>
            <w:tcW w:type="dxa" w:w="4608"/>
            <w:vAlign w:val="center"/>
            <w:tcMar>
              <w:top w:w="100" w:type="dxa"/>
              <w:start w:w="120" w:type="dxa"/>
              <w:bottom w:w="100" w:type="dxa"/>
              <w:end w:w="120" w:type="dxa"/>
            </w:tcMar>
          </w:tcPr>
          <w:p>
            <w:pPr>
              <w:jc w:val="left"/>
            </w:pPr>
            <w:r/>
            <w:r>
              <w:rPr>
                <w:rFonts w:ascii="Aptos" w:hAnsi="Aptos"/>
                <w:b w:val="0"/>
                <w:color w:val="1F2933"/>
                <w:sz w:val="17"/>
              </w:rPr>
              <w:t>Capital available for this calculation.</w:t>
            </w:r>
          </w:p>
        </w:tc>
        <w:tc>
          <w:tcPr>
            <w:tcW w:type="dxa" w:w="3024"/>
            <w:vAlign w:val="center"/>
            <w:tcMar>
              <w:top w:w="100" w:type="dxa"/>
              <w:start w:w="120" w:type="dxa"/>
              <w:bottom w:w="100" w:type="dxa"/>
              <w:end w:w="120" w:type="dxa"/>
            </w:tcMar>
          </w:tcPr>
          <w:p>
            <w:pPr>
              <w:jc w:val="left"/>
            </w:pPr>
            <w:r/>
            <w:r>
              <w:rPr>
                <w:rFonts w:ascii="Aptos" w:hAnsi="Aptos"/>
                <w:b w:val="0"/>
                <w:color w:val="1F2933"/>
                <w:sz w:val="17"/>
              </w:rPr>
              <w:t>50000</w:t>
            </w:r>
          </w:p>
        </w:tc>
      </w:tr>
      <w:tr>
        <w:tc>
          <w:tcPr>
            <w:tcW w:type="dxa" w:w="1872"/>
            <w:shd w:fill="F4F7FA"/>
            <w:vAlign w:val="center"/>
            <w:tcMar>
              <w:top w:w="100" w:type="dxa"/>
              <w:start w:w="120" w:type="dxa"/>
              <w:bottom w:w="100" w:type="dxa"/>
              <w:end w:w="120" w:type="dxa"/>
            </w:tcMar>
          </w:tcPr>
          <w:p>
            <w:pPr>
              <w:jc w:val="center"/>
            </w:pPr>
            <w:r/>
            <w:r>
              <w:rPr>
                <w:rFonts w:ascii="Aptos" w:hAnsi="Aptos"/>
                <w:b w:val="0"/>
                <w:color w:val="1F2933"/>
                <w:sz w:val="17"/>
              </w:rPr>
              <w:t>Holding period</w:t>
            </w:r>
          </w:p>
        </w:tc>
        <w:tc>
          <w:tcPr>
            <w:tcW w:type="dxa" w:w="4608"/>
            <w:shd w:fill="F4F7FA"/>
            <w:vAlign w:val="center"/>
            <w:tcMar>
              <w:top w:w="100" w:type="dxa"/>
              <w:start w:w="120" w:type="dxa"/>
              <w:bottom w:w="100" w:type="dxa"/>
              <w:end w:w="120" w:type="dxa"/>
            </w:tcMar>
          </w:tcPr>
          <w:p>
            <w:pPr>
              <w:jc w:val="left"/>
            </w:pPr>
            <w:r/>
            <w:r>
              <w:rPr>
                <w:rFonts w:ascii="Aptos" w:hAnsi="Aptos"/>
                <w:b w:val="0"/>
                <w:color w:val="1F2933"/>
                <w:sz w:val="17"/>
              </w:rPr>
              <w:t>Context for the setup.</w:t>
            </w:r>
          </w:p>
        </w:tc>
        <w:tc>
          <w:tcPr>
            <w:tcW w:type="dxa" w:w="3024"/>
            <w:shd w:fill="F4F7FA"/>
            <w:vAlign w:val="center"/>
            <w:tcMar>
              <w:top w:w="100" w:type="dxa"/>
              <w:start w:w="120" w:type="dxa"/>
              <w:bottom w:w="100" w:type="dxa"/>
              <w:end w:w="120" w:type="dxa"/>
            </w:tcMar>
          </w:tcPr>
          <w:p>
            <w:pPr>
              <w:jc w:val="left"/>
            </w:pPr>
            <w:r/>
            <w:r>
              <w:rPr>
                <w:rFonts w:ascii="Aptos" w:hAnsi="Aptos"/>
                <w:b w:val="0"/>
                <w:color w:val="1F2933"/>
                <w:sz w:val="17"/>
              </w:rPr>
              <w:t>few weeks</w:t>
            </w:r>
          </w:p>
        </w:tc>
      </w:tr>
    </w:tbl>
    <w:p>
      <w:pPr>
        <w:widowControl/>
        <w:spacing w:after="40"/>
      </w:pPr>
    </w:p>
    <w:tbl>
      <w:tblPr>
        <w:tblW w:type="auto" w:w="0"/>
        <w:jc w:val="center"/>
        <w:tblLook w:firstColumn="1" w:firstRow="1" w:lastColumn="0" w:lastRow="0" w:noHBand="0" w:noVBand="1" w:val="04A0"/>
      </w:tblPr>
      <w:tblGrid>
        <w:gridCol w:w="10080"/>
      </w:tblGrid>
      <w:tr>
        <w:tc>
          <w:tcPr>
            <w:tcW w:type="dxa" w:w="10080"/>
            <w:shd w:fill="FFF2CC"/>
            <w:tcMar>
              <w:top w:w="160" w:type="dxa"/>
              <w:start w:w="180" w:type="dxa"/>
              <w:bottom w:w="160" w:type="dxa"/>
              <w:end w:w="180" w:type="dxa"/>
            </w:tcMar>
          </w:tcPr>
          <w:p>
            <w:r/>
            <w:r>
              <w:rPr>
                <w:b/>
                <w:color w:val="17365D"/>
                <w:sz w:val="20"/>
              </w:rPr>
              <w:t>Default capital</w:t>
              <w:br/>
            </w:r>
            <w:r>
              <w:rPr>
                <w:color w:val="273444"/>
                <w:sz w:val="19"/>
              </w:rPr>
              <w:t>If the message does not include Capital, the parser assigns ₹50,000. The risk percentage remains 1% in Version 1.1.</w:t>
            </w:r>
          </w:p>
        </w:tc>
      </w:tr>
    </w:tbl>
    <w:p>
      <w:pPr>
        <w:widowControl/>
        <w:spacing w:after="40"/>
      </w:pPr>
    </w:p>
    <w:p>
      <w:pPr>
        <w:pStyle w:val="Heading1"/>
        <w:widowControl/>
      </w:pPr>
      <w:r>
        <w:t>Accepted target styles</w:t>
      </w:r>
    </w:p>
    <w:tbl>
      <w:tblPr>
        <w:tblW w:type="auto" w:w="0"/>
        <w:tblLook w:firstColumn="1" w:firstRow="1" w:lastColumn="0" w:lastRow="0" w:noHBand="0" w:noVBand="1" w:val="04A0"/>
      </w:tblPr>
      <w:tblGrid>
        <w:gridCol w:w="10080"/>
      </w:tblGrid>
      <w:tr>
        <w:tc>
          <w:tcPr>
            <w:tcW w:type="dxa" w:w="10080"/>
            <w:shd w:fill="F2F2F2"/>
            <w:tcMar>
              <w:top w:w="140" w:type="dxa"/>
              <w:start w:w="160" w:type="dxa"/>
              <w:bottom w:w="140" w:type="dxa"/>
              <w:end w:w="160" w:type="dxa"/>
            </w:tcMar>
          </w:tcPr>
          <w:p>
            <w:pPr>
              <w:spacing w:after="0"/>
            </w:pPr>
            <w:r/>
            <w:r>
              <w:rPr>
                <w:rFonts w:ascii="Consolas" w:hAnsi="Consolas"/>
                <w:color w:val="202124"/>
                <w:sz w:val="17"/>
              </w:rPr>
              <w:t>Absolute prices: Targets 1275-1300-1325-1350</w:t>
              <w:br/>
              <w:t>Points from entry: Targets 5-10-15-20 points from entry</w:t>
            </w:r>
          </w:p>
        </w:tc>
      </w:tr>
    </w:tbl>
    <w:p>
      <w:pPr>
        <w:widowControl/>
        <w:spacing w:after="20"/>
      </w:pPr>
    </w:p>
    <w:p>
      <w:pPr>
        <w:widowControl/>
      </w:pPr>
      <w:r>
        <w:t>When targets are expressed as points and each number is lower than the breakout price, the engine adds each point value to the breakout. Example: breakout ₹335 plus 30 points becomes a target of ₹365.</w:t>
      </w:r>
    </w:p>
    <w:p>
      <w:pPr>
        <w:pStyle w:val="Title"/>
        <w:widowControl/>
      </w:pPr>
      <w:r>
        <w:t>3. Data Flow and Components</w:t>
      </w:r>
    </w:p>
    <w:tbl>
      <w:tblPr>
        <w:tblStyle w:val="TableGrid"/>
        <w:tblW w:type="auto" w:w="0"/>
        <w:jc w:val="center"/>
        <w:tblLook w:firstColumn="1" w:firstRow="1" w:lastColumn="0" w:lastRow="0" w:noHBand="0" w:noVBand="1" w:val="04A0"/>
      </w:tblPr>
      <w:tblGrid>
        <w:gridCol w:w="5040"/>
        <w:gridCol w:w="5040"/>
      </w:tblGrid>
      <w:tr>
        <w:tc>
          <w:tcPr>
            <w:tcW w:type="dxa" w:w="2592"/>
            <w:shd w:fill="17365D"/>
            <w:vAlign w:val="center"/>
            <w:tcMar>
              <w:top w:w="100" w:type="dxa"/>
              <w:start w:w="120" w:type="dxa"/>
              <w:bottom w:w="100" w:type="dxa"/>
              <w:end w:w="120" w:type="dxa"/>
            </w:tcMar>
          </w:tcPr>
          <w:p>
            <w:pPr>
              <w:jc w:val="center"/>
            </w:pPr>
            <w:r/>
            <w:r>
              <w:rPr>
                <w:rFonts w:ascii="Aptos" w:hAnsi="Aptos"/>
                <w:b/>
                <w:color w:val="FFFFFF"/>
                <w:sz w:val="18"/>
              </w:rPr>
              <w:t>Component</w:t>
            </w:r>
          </w:p>
        </w:tc>
        <w:tc>
          <w:tcPr>
            <w:tcW w:type="dxa" w:w="6912"/>
            <w:shd w:fill="17365D"/>
            <w:vAlign w:val="center"/>
            <w:tcMar>
              <w:top w:w="100" w:type="dxa"/>
              <w:start w:w="120" w:type="dxa"/>
              <w:bottom w:w="100" w:type="dxa"/>
              <w:end w:w="120" w:type="dxa"/>
            </w:tcMar>
          </w:tcPr>
          <w:p>
            <w:pPr>
              <w:jc w:val="center"/>
            </w:pPr>
            <w:r/>
            <w:r>
              <w:rPr>
                <w:rFonts w:ascii="Aptos" w:hAnsi="Aptos"/>
                <w:b/>
                <w:color w:val="FFFFFF"/>
                <w:sz w:val="18"/>
              </w:rPr>
              <w:t>Responsibility</w:t>
            </w:r>
          </w:p>
        </w:tc>
      </w:tr>
      <w:tr>
        <w:tc>
          <w:tcPr>
            <w:tcW w:type="dxa" w:w="2592"/>
            <w:vAlign w:val="center"/>
            <w:tcMar>
              <w:top w:w="100" w:type="dxa"/>
              <w:start w:w="120" w:type="dxa"/>
              <w:bottom w:w="100" w:type="dxa"/>
              <w:end w:w="120" w:type="dxa"/>
            </w:tcMar>
          </w:tcPr>
          <w:p>
            <w:pPr>
              <w:jc w:val="center"/>
            </w:pPr>
            <w:r/>
            <w:r>
              <w:rPr>
                <w:rFonts w:ascii="Aptos" w:hAnsi="Aptos"/>
                <w:b w:val="0"/>
                <w:color w:val="1F2933"/>
                <w:sz w:val="17"/>
              </w:rPr>
              <w:t>bot.py</w:t>
            </w:r>
          </w:p>
        </w:tc>
        <w:tc>
          <w:tcPr>
            <w:tcW w:type="dxa" w:w="6912"/>
            <w:vAlign w:val="center"/>
            <w:tcMar>
              <w:top w:w="100" w:type="dxa"/>
              <w:start w:w="120" w:type="dxa"/>
              <w:bottom w:w="100" w:type="dxa"/>
              <w:end w:w="120" w:type="dxa"/>
            </w:tcMar>
          </w:tcPr>
          <w:p>
            <w:pPr>
              <w:jc w:val="left"/>
            </w:pPr>
            <w:r/>
            <w:r>
              <w:rPr>
                <w:rFonts w:ascii="Aptos" w:hAnsi="Aptos"/>
                <w:b w:val="0"/>
                <w:color w:val="1F2933"/>
                <w:sz w:val="17"/>
              </w:rPr>
              <w:t>Runs Telegram polling, receives text, handles errors and sends the final report.</w:t>
            </w:r>
          </w:p>
        </w:tc>
      </w:tr>
      <w:tr>
        <w:tc>
          <w:tcPr>
            <w:tcW w:type="dxa" w:w="2592"/>
            <w:shd w:fill="F4F7FA"/>
            <w:vAlign w:val="center"/>
            <w:tcMar>
              <w:top w:w="100" w:type="dxa"/>
              <w:start w:w="120" w:type="dxa"/>
              <w:bottom w:w="100" w:type="dxa"/>
              <w:end w:w="120" w:type="dxa"/>
            </w:tcMar>
          </w:tcPr>
          <w:p>
            <w:pPr>
              <w:jc w:val="center"/>
            </w:pPr>
            <w:r/>
            <w:r>
              <w:rPr>
                <w:rFonts w:ascii="Aptos" w:hAnsi="Aptos"/>
                <w:b w:val="0"/>
                <w:color w:val="1F2933"/>
                <w:sz w:val="17"/>
              </w:rPr>
              <w:t>parser.py</w:t>
            </w:r>
          </w:p>
        </w:tc>
        <w:tc>
          <w:tcPr>
            <w:tcW w:type="dxa" w:w="6912"/>
            <w:shd w:fill="F4F7FA"/>
            <w:vAlign w:val="center"/>
            <w:tcMar>
              <w:top w:w="100" w:type="dxa"/>
              <w:start w:w="120" w:type="dxa"/>
              <w:bottom w:w="100" w:type="dxa"/>
              <w:end w:w="120" w:type="dxa"/>
            </w:tcMar>
          </w:tcPr>
          <w:p>
            <w:pPr>
              <w:jc w:val="left"/>
            </w:pPr>
            <w:r/>
            <w:r>
              <w:rPr>
                <w:rFonts w:ascii="Aptos" w:hAnsi="Aptos"/>
                <w:b w:val="0"/>
                <w:color w:val="1F2933"/>
                <w:sz w:val="17"/>
              </w:rPr>
              <w:t>Cleans HTML line breaks and extracts all signal fields.</w:t>
            </w:r>
          </w:p>
        </w:tc>
      </w:tr>
      <w:tr>
        <w:tc>
          <w:tcPr>
            <w:tcW w:type="dxa" w:w="2592"/>
            <w:vAlign w:val="center"/>
            <w:tcMar>
              <w:top w:w="100" w:type="dxa"/>
              <w:start w:w="120" w:type="dxa"/>
              <w:bottom w:w="100" w:type="dxa"/>
              <w:end w:w="120" w:type="dxa"/>
            </w:tcMar>
          </w:tcPr>
          <w:p>
            <w:pPr>
              <w:jc w:val="center"/>
            </w:pPr>
            <w:r/>
            <w:r>
              <w:rPr>
                <w:rFonts w:ascii="Aptos" w:hAnsi="Aptos"/>
                <w:b w:val="0"/>
                <w:color w:val="1F2933"/>
                <w:sz w:val="17"/>
              </w:rPr>
              <w:t>instrument_resolver.py</w:t>
            </w:r>
          </w:p>
        </w:tc>
        <w:tc>
          <w:tcPr>
            <w:tcW w:type="dxa" w:w="6912"/>
            <w:vAlign w:val="center"/>
            <w:tcMar>
              <w:top w:w="100" w:type="dxa"/>
              <w:start w:w="120" w:type="dxa"/>
              <w:bottom w:w="100" w:type="dxa"/>
              <w:end w:w="120" w:type="dxa"/>
            </w:tcMar>
          </w:tcPr>
          <w:p>
            <w:pPr>
              <w:jc w:val="left"/>
            </w:pPr>
            <w:r/>
            <w:r>
              <w:rPr>
                <w:rFonts w:ascii="Aptos" w:hAnsi="Aptos"/>
                <w:b w:val="0"/>
                <w:color w:val="1F2933"/>
                <w:sz w:val="17"/>
              </w:rPr>
              <w:t>Finds the Upstox instrument key from instruments.csv.</w:t>
            </w:r>
          </w:p>
        </w:tc>
      </w:tr>
      <w:tr>
        <w:tc>
          <w:tcPr>
            <w:tcW w:type="dxa" w:w="2592"/>
            <w:shd w:fill="F4F7FA"/>
            <w:vAlign w:val="center"/>
            <w:tcMar>
              <w:top w:w="100" w:type="dxa"/>
              <w:start w:w="120" w:type="dxa"/>
              <w:bottom w:w="100" w:type="dxa"/>
              <w:end w:w="120" w:type="dxa"/>
            </w:tcMar>
          </w:tcPr>
          <w:p>
            <w:pPr>
              <w:jc w:val="center"/>
            </w:pPr>
            <w:r/>
            <w:r>
              <w:rPr>
                <w:rFonts w:ascii="Aptos" w:hAnsi="Aptos"/>
                <w:b w:val="0"/>
                <w:color w:val="1F2933"/>
                <w:sz w:val="17"/>
              </w:rPr>
              <w:t>upstox_client.py</w:t>
            </w:r>
          </w:p>
        </w:tc>
        <w:tc>
          <w:tcPr>
            <w:tcW w:type="dxa" w:w="6912"/>
            <w:shd w:fill="F4F7FA"/>
            <w:vAlign w:val="center"/>
            <w:tcMar>
              <w:top w:w="100" w:type="dxa"/>
              <w:start w:w="120" w:type="dxa"/>
              <w:bottom w:w="100" w:type="dxa"/>
              <w:end w:w="120" w:type="dxa"/>
            </w:tcMar>
          </w:tcPr>
          <w:p>
            <w:pPr>
              <w:jc w:val="left"/>
            </w:pPr>
            <w:r/>
            <w:r>
              <w:rPr>
                <w:rFonts w:ascii="Aptos" w:hAnsi="Aptos"/>
                <w:b w:val="0"/>
                <w:color w:val="1F2933"/>
                <w:sz w:val="17"/>
              </w:rPr>
              <w:t>Calls Upstox profile, quote and historical-candle APIs.</w:t>
            </w:r>
          </w:p>
        </w:tc>
      </w:tr>
      <w:tr>
        <w:tc>
          <w:tcPr>
            <w:tcW w:type="dxa" w:w="2592"/>
            <w:vAlign w:val="center"/>
            <w:tcMar>
              <w:top w:w="100" w:type="dxa"/>
              <w:start w:w="120" w:type="dxa"/>
              <w:bottom w:w="100" w:type="dxa"/>
              <w:end w:w="120" w:type="dxa"/>
            </w:tcMar>
          </w:tcPr>
          <w:p>
            <w:pPr>
              <w:jc w:val="center"/>
            </w:pPr>
            <w:r/>
            <w:r>
              <w:rPr>
                <w:rFonts w:ascii="Aptos" w:hAnsi="Aptos"/>
                <w:b w:val="0"/>
                <w:color w:val="1F2933"/>
                <w:sz w:val="17"/>
              </w:rPr>
              <w:t>historical_data.py</w:t>
            </w:r>
          </w:p>
        </w:tc>
        <w:tc>
          <w:tcPr>
            <w:tcW w:type="dxa" w:w="6912"/>
            <w:vAlign w:val="center"/>
            <w:tcMar>
              <w:top w:w="100" w:type="dxa"/>
              <w:start w:w="120" w:type="dxa"/>
              <w:bottom w:w="100" w:type="dxa"/>
              <w:end w:w="120" w:type="dxa"/>
            </w:tcMar>
          </w:tcPr>
          <w:p>
            <w:pPr>
              <w:jc w:val="left"/>
            </w:pPr>
            <w:r/>
            <w:r>
              <w:rPr>
                <w:rFonts w:ascii="Aptos" w:hAnsi="Aptos"/>
                <w:b w:val="0"/>
                <w:color w:val="1F2933"/>
                <w:sz w:val="17"/>
              </w:rPr>
              <w:t>Converts the candle response into a chronological Pandas DataFrame.</w:t>
            </w:r>
          </w:p>
        </w:tc>
      </w:tr>
      <w:tr>
        <w:tc>
          <w:tcPr>
            <w:tcW w:type="dxa" w:w="2592"/>
            <w:shd w:fill="F4F7FA"/>
            <w:vAlign w:val="center"/>
            <w:tcMar>
              <w:top w:w="100" w:type="dxa"/>
              <w:start w:w="120" w:type="dxa"/>
              <w:bottom w:w="100" w:type="dxa"/>
              <w:end w:w="120" w:type="dxa"/>
            </w:tcMar>
          </w:tcPr>
          <w:p>
            <w:pPr>
              <w:jc w:val="center"/>
            </w:pPr>
            <w:r/>
            <w:r>
              <w:rPr>
                <w:rFonts w:ascii="Aptos" w:hAnsi="Aptos"/>
                <w:b w:val="0"/>
                <w:color w:val="1F2933"/>
                <w:sz w:val="17"/>
              </w:rPr>
              <w:t>technical_analysis.py</w:t>
            </w:r>
          </w:p>
        </w:tc>
        <w:tc>
          <w:tcPr>
            <w:tcW w:type="dxa" w:w="6912"/>
            <w:shd w:fill="F4F7FA"/>
            <w:vAlign w:val="center"/>
            <w:tcMar>
              <w:top w:w="100" w:type="dxa"/>
              <w:start w:w="120" w:type="dxa"/>
              <w:bottom w:w="100" w:type="dxa"/>
              <w:end w:w="120" w:type="dxa"/>
            </w:tcMar>
          </w:tcPr>
          <w:p>
            <w:pPr>
              <w:jc w:val="left"/>
            </w:pPr>
            <w:r/>
            <w:r>
              <w:rPr>
                <w:rFonts w:ascii="Aptos" w:hAnsi="Aptos"/>
                <w:b w:val="0"/>
                <w:color w:val="1F2933"/>
                <w:sz w:val="17"/>
              </w:rPr>
              <w:t>Calculates EMA20, EMA50, RSI14, VOL20, volume ratio and ATR14.</w:t>
            </w:r>
          </w:p>
        </w:tc>
      </w:tr>
      <w:tr>
        <w:tc>
          <w:tcPr>
            <w:tcW w:type="dxa" w:w="2592"/>
            <w:vAlign w:val="center"/>
            <w:tcMar>
              <w:top w:w="100" w:type="dxa"/>
              <w:start w:w="120" w:type="dxa"/>
              <w:bottom w:w="100" w:type="dxa"/>
              <w:end w:w="120" w:type="dxa"/>
            </w:tcMar>
          </w:tcPr>
          <w:p>
            <w:pPr>
              <w:jc w:val="center"/>
            </w:pPr>
            <w:r/>
            <w:r>
              <w:rPr>
                <w:rFonts w:ascii="Aptos" w:hAnsi="Aptos"/>
                <w:b w:val="0"/>
                <w:color w:val="1F2933"/>
                <w:sz w:val="17"/>
              </w:rPr>
              <w:t>decision_engine.py</w:t>
            </w:r>
          </w:p>
        </w:tc>
        <w:tc>
          <w:tcPr>
            <w:tcW w:type="dxa" w:w="6912"/>
            <w:vAlign w:val="center"/>
            <w:tcMar>
              <w:top w:w="100" w:type="dxa"/>
              <w:start w:w="120" w:type="dxa"/>
              <w:bottom w:w="100" w:type="dxa"/>
              <w:end w:w="120" w:type="dxa"/>
            </w:tcMar>
          </w:tcPr>
          <w:p>
            <w:pPr>
              <w:jc w:val="left"/>
            </w:pPr>
            <w:r/>
            <w:r>
              <w:rPr>
                <w:rFonts w:ascii="Aptos" w:hAnsi="Aptos"/>
                <w:b w:val="0"/>
                <w:color w:val="1F2933"/>
                <w:sz w:val="17"/>
              </w:rPr>
              <w:t>Scores the setup, calculates confidence and determines position size.</w:t>
            </w:r>
          </w:p>
        </w:tc>
      </w:tr>
      <w:tr>
        <w:tc>
          <w:tcPr>
            <w:tcW w:type="dxa" w:w="2592"/>
            <w:shd w:fill="F4F7FA"/>
            <w:vAlign w:val="center"/>
            <w:tcMar>
              <w:top w:w="100" w:type="dxa"/>
              <w:start w:w="120" w:type="dxa"/>
              <w:bottom w:w="100" w:type="dxa"/>
              <w:end w:w="120" w:type="dxa"/>
            </w:tcMar>
          </w:tcPr>
          <w:p>
            <w:pPr>
              <w:jc w:val="center"/>
            </w:pPr>
            <w:r/>
            <w:r>
              <w:rPr>
                <w:rFonts w:ascii="Aptos" w:hAnsi="Aptos"/>
                <w:b w:val="0"/>
                <w:color w:val="1F2933"/>
                <w:sz w:val="17"/>
              </w:rPr>
              <w:t>report_generator.py</w:t>
            </w:r>
          </w:p>
        </w:tc>
        <w:tc>
          <w:tcPr>
            <w:tcW w:type="dxa" w:w="6912"/>
            <w:shd w:fill="F4F7FA"/>
            <w:vAlign w:val="center"/>
            <w:tcMar>
              <w:top w:w="100" w:type="dxa"/>
              <w:start w:w="120" w:type="dxa"/>
              <w:bottom w:w="100" w:type="dxa"/>
              <w:end w:w="120" w:type="dxa"/>
            </w:tcMar>
          </w:tcPr>
          <w:p>
            <w:pPr>
              <w:jc w:val="left"/>
            </w:pPr>
            <w:r/>
            <w:r>
              <w:rPr>
                <w:rFonts w:ascii="Aptos" w:hAnsi="Aptos"/>
                <w:b w:val="0"/>
                <w:color w:val="1F2933"/>
                <w:sz w:val="17"/>
              </w:rPr>
              <w:t>Formats the Telegram output.</w:t>
            </w:r>
          </w:p>
        </w:tc>
      </w:tr>
      <w:tr>
        <w:tc>
          <w:tcPr>
            <w:tcW w:type="dxa" w:w="2592"/>
            <w:vAlign w:val="center"/>
            <w:tcMar>
              <w:top w:w="100" w:type="dxa"/>
              <w:start w:w="120" w:type="dxa"/>
              <w:bottom w:w="100" w:type="dxa"/>
              <w:end w:w="120" w:type="dxa"/>
            </w:tcMar>
          </w:tcPr>
          <w:p>
            <w:pPr>
              <w:jc w:val="center"/>
            </w:pPr>
            <w:r/>
            <w:r>
              <w:rPr>
                <w:rFonts w:ascii="Aptos" w:hAnsi="Aptos"/>
                <w:b w:val="0"/>
                <w:color w:val="1F2933"/>
                <w:sz w:val="17"/>
              </w:rPr>
              <w:t>workflow.py</w:t>
            </w:r>
          </w:p>
        </w:tc>
        <w:tc>
          <w:tcPr>
            <w:tcW w:type="dxa" w:w="6912"/>
            <w:vAlign w:val="center"/>
            <w:tcMar>
              <w:top w:w="100" w:type="dxa"/>
              <w:start w:w="120" w:type="dxa"/>
              <w:bottom w:w="100" w:type="dxa"/>
              <w:end w:w="120" w:type="dxa"/>
            </w:tcMar>
          </w:tcPr>
          <w:p>
            <w:pPr>
              <w:jc w:val="left"/>
            </w:pPr>
            <w:r/>
            <w:r>
              <w:rPr>
                <w:rFonts w:ascii="Aptos" w:hAnsi="Aptos"/>
                <w:b w:val="0"/>
                <w:color w:val="1F2933"/>
                <w:sz w:val="17"/>
              </w:rPr>
              <w:t>Connects the complete pipeline in one analyze_stock() function.</w:t>
            </w:r>
          </w:p>
        </w:tc>
      </w:tr>
    </w:tbl>
    <w:p>
      <w:pPr>
        <w:widowControl/>
        <w:spacing w:after="40"/>
      </w:pPr>
    </w:p>
    <w:tbl>
      <w:tblPr>
        <w:tblW w:type="auto" w:w="0"/>
        <w:tblLook w:firstColumn="1" w:firstRow="1" w:lastColumn="0" w:lastRow="0" w:noHBand="0" w:noVBand="1" w:val="04A0"/>
      </w:tblPr>
      <w:tblGrid>
        <w:gridCol w:w="10080"/>
      </w:tblGrid>
      <w:tr>
        <w:tc>
          <w:tcPr>
            <w:tcW w:type="dxa" w:w="10080"/>
            <w:shd w:fill="F2F2F2"/>
            <w:tcMar>
              <w:top w:w="140" w:type="dxa"/>
              <w:start w:w="160" w:type="dxa"/>
              <w:bottom w:w="140" w:type="dxa"/>
              <w:end w:w="160" w:type="dxa"/>
            </w:tcMar>
          </w:tcPr>
          <w:p>
            <w:pPr>
              <w:spacing w:after="0"/>
            </w:pPr>
            <w:r/>
            <w:r>
              <w:rPr>
                <w:rFonts w:ascii="Consolas" w:hAnsi="Consolas"/>
                <w:color w:val="202124"/>
                <w:sz w:val="17"/>
              </w:rPr>
              <w:t>Telegram message → parse_signal() → resolve_symbol() → Upstox candles</w:t>
              <w:br/>
              <w:t>→ candles_to_dataframe() → add_indicators() → evaluate_trade()</w:t>
              <w:br/>
              <w:t>→ generate_report() → Telegram reply</w:t>
            </w:r>
          </w:p>
        </w:tc>
      </w:tr>
    </w:tbl>
    <w:p>
      <w:pPr>
        <w:widowControl/>
        <w:spacing w:after="20"/>
      </w:pPr>
    </w:p>
    <w:p>
      <w:pPr>
        <w:pStyle w:val="Title"/>
        <w:widowControl/>
      </w:pPr>
      <w:r>
        <w:t>4. Factors Evaluated and Why They Matter</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7365D"/>
            <w:vAlign w:val="center"/>
            <w:tcMar>
              <w:top w:w="100" w:type="dxa"/>
              <w:start w:w="120" w:type="dxa"/>
              <w:bottom w:w="100" w:type="dxa"/>
              <w:end w:w="120" w:type="dxa"/>
            </w:tcMar>
          </w:tcPr>
          <w:p>
            <w:pPr>
              <w:jc w:val="center"/>
            </w:pPr>
            <w:r/>
            <w:r>
              <w:rPr>
                <w:rFonts w:ascii="Aptos" w:hAnsi="Aptos"/>
                <w:b/>
                <w:color w:val="FFFFFF"/>
                <w:sz w:val="18"/>
              </w:rPr>
              <w:t>Factor</w:t>
            </w:r>
          </w:p>
        </w:tc>
        <w:tc>
          <w:tcPr>
            <w:tcW w:type="dxa" w:w="2664"/>
            <w:shd w:fill="17365D"/>
            <w:vAlign w:val="center"/>
            <w:tcMar>
              <w:top w:w="100" w:type="dxa"/>
              <w:start w:w="120" w:type="dxa"/>
              <w:bottom w:w="100" w:type="dxa"/>
              <w:end w:w="120" w:type="dxa"/>
            </w:tcMar>
          </w:tcPr>
          <w:p>
            <w:pPr>
              <w:jc w:val="center"/>
            </w:pPr>
            <w:r/>
            <w:r>
              <w:rPr>
                <w:rFonts w:ascii="Aptos" w:hAnsi="Aptos"/>
                <w:b/>
                <w:color w:val="FFFFFF"/>
                <w:sz w:val="18"/>
              </w:rPr>
              <w:t>Current rule</w:t>
            </w:r>
          </w:p>
        </w:tc>
        <w:tc>
          <w:tcPr>
            <w:tcW w:type="dxa" w:w="4752"/>
            <w:shd w:fill="17365D"/>
            <w:vAlign w:val="center"/>
            <w:tcMar>
              <w:top w:w="100" w:type="dxa"/>
              <w:start w:w="120" w:type="dxa"/>
              <w:bottom w:w="100" w:type="dxa"/>
              <w:end w:w="120" w:type="dxa"/>
            </w:tcMar>
          </w:tcPr>
          <w:p>
            <w:pPr>
              <w:jc w:val="center"/>
            </w:pPr>
            <w:r/>
            <w:r>
              <w:rPr>
                <w:rFonts w:ascii="Aptos" w:hAnsi="Aptos"/>
                <w:b/>
                <w:color w:val="FFFFFF"/>
                <w:sz w:val="18"/>
              </w:rPr>
              <w:t>Why it is considered</w:t>
            </w:r>
          </w:p>
        </w:tc>
      </w:tr>
      <w:tr>
        <w:tc>
          <w:tcPr>
            <w:tcW w:type="dxa" w:w="1944"/>
            <w:vAlign w:val="center"/>
            <w:tcMar>
              <w:top w:w="100" w:type="dxa"/>
              <w:start w:w="120" w:type="dxa"/>
              <w:bottom w:w="100" w:type="dxa"/>
              <w:end w:w="120" w:type="dxa"/>
            </w:tcMar>
          </w:tcPr>
          <w:p>
            <w:pPr>
              <w:jc w:val="center"/>
            </w:pPr>
            <w:r/>
            <w:r>
              <w:rPr>
                <w:rFonts w:ascii="Aptos" w:hAnsi="Aptos"/>
                <w:b w:val="0"/>
                <w:color w:val="1F2933"/>
                <w:sz w:val="17"/>
              </w:rPr>
              <w:t>Breakout confirmation</w:t>
            </w:r>
          </w:p>
        </w:tc>
        <w:tc>
          <w:tcPr>
            <w:tcW w:type="dxa" w:w="2664"/>
            <w:vAlign w:val="center"/>
            <w:tcMar>
              <w:top w:w="100" w:type="dxa"/>
              <w:start w:w="120" w:type="dxa"/>
              <w:bottom w:w="100" w:type="dxa"/>
              <w:end w:w="120" w:type="dxa"/>
            </w:tcMar>
          </w:tcPr>
          <w:p>
            <w:pPr>
              <w:jc w:val="left"/>
            </w:pPr>
            <w:r/>
            <w:r>
              <w:rPr>
                <w:rFonts w:ascii="Aptos" w:hAnsi="Aptos"/>
                <w:b w:val="0"/>
                <w:color w:val="1F2933"/>
                <w:sz w:val="17"/>
              </w:rPr>
              <w:t>Latest daily close &gt; breakout high: +25</w:t>
            </w:r>
          </w:p>
        </w:tc>
        <w:tc>
          <w:tcPr>
            <w:tcW w:type="dxa" w:w="4752"/>
            <w:vAlign w:val="center"/>
            <w:tcMar>
              <w:top w:w="100" w:type="dxa"/>
              <w:start w:w="120" w:type="dxa"/>
              <w:bottom w:w="100" w:type="dxa"/>
              <w:end w:w="120" w:type="dxa"/>
            </w:tcMar>
          </w:tcPr>
          <w:p>
            <w:pPr>
              <w:jc w:val="left"/>
            </w:pPr>
            <w:r/>
            <w:r>
              <w:rPr>
                <w:rFonts w:ascii="Aptos" w:hAnsi="Aptos"/>
                <w:b w:val="0"/>
                <w:color w:val="1F2933"/>
                <w:sz w:val="17"/>
              </w:rPr>
              <w:t>A price crossing the stated barrier is the core trigger. A setup remains unconfirmed below the trigger.</w:t>
            </w:r>
          </w:p>
        </w:tc>
      </w:tr>
      <w:tr>
        <w:tc>
          <w:tcPr>
            <w:tcW w:type="dxa" w:w="1944"/>
            <w:shd w:fill="F4F7FA"/>
            <w:vAlign w:val="center"/>
            <w:tcMar>
              <w:top w:w="100" w:type="dxa"/>
              <w:start w:w="120" w:type="dxa"/>
              <w:bottom w:w="100" w:type="dxa"/>
              <w:end w:w="120" w:type="dxa"/>
            </w:tcMar>
          </w:tcPr>
          <w:p>
            <w:pPr>
              <w:jc w:val="center"/>
            </w:pPr>
            <w:r/>
            <w:r>
              <w:rPr>
                <w:rFonts w:ascii="Aptos" w:hAnsi="Aptos"/>
                <w:b w:val="0"/>
                <w:color w:val="1F2933"/>
                <w:sz w:val="17"/>
              </w:rPr>
              <w:t>Price vs EMA20</w:t>
            </w:r>
          </w:p>
        </w:tc>
        <w:tc>
          <w:tcPr>
            <w:tcW w:type="dxa" w:w="2664"/>
            <w:shd w:fill="F4F7FA"/>
            <w:vAlign w:val="center"/>
            <w:tcMar>
              <w:top w:w="100" w:type="dxa"/>
              <w:start w:w="120" w:type="dxa"/>
              <w:bottom w:w="100" w:type="dxa"/>
              <w:end w:w="120" w:type="dxa"/>
            </w:tcMar>
          </w:tcPr>
          <w:p>
            <w:pPr>
              <w:jc w:val="left"/>
            </w:pPr>
            <w:r/>
            <w:r>
              <w:rPr>
                <w:rFonts w:ascii="Aptos" w:hAnsi="Aptos"/>
                <w:b w:val="0"/>
                <w:color w:val="1F2933"/>
                <w:sz w:val="17"/>
              </w:rPr>
              <w:t>Close &gt; EMA20: +20</w:t>
            </w:r>
          </w:p>
        </w:tc>
        <w:tc>
          <w:tcPr>
            <w:tcW w:type="dxa" w:w="4752"/>
            <w:shd w:fill="F4F7FA"/>
            <w:vAlign w:val="center"/>
            <w:tcMar>
              <w:top w:w="100" w:type="dxa"/>
              <w:start w:w="120" w:type="dxa"/>
              <w:bottom w:w="100" w:type="dxa"/>
              <w:end w:w="120" w:type="dxa"/>
            </w:tcMar>
          </w:tcPr>
          <w:p>
            <w:pPr>
              <w:jc w:val="left"/>
            </w:pPr>
            <w:r/>
            <w:r>
              <w:rPr>
                <w:rFonts w:ascii="Aptos" w:hAnsi="Aptos"/>
                <w:b w:val="0"/>
                <w:color w:val="1F2933"/>
                <w:sz w:val="17"/>
              </w:rPr>
              <w:t>Checks whether price is trading above its short-to-medium trend reference.</w:t>
            </w:r>
          </w:p>
        </w:tc>
      </w:tr>
      <w:tr>
        <w:tc>
          <w:tcPr>
            <w:tcW w:type="dxa" w:w="1944"/>
            <w:vAlign w:val="center"/>
            <w:tcMar>
              <w:top w:w="100" w:type="dxa"/>
              <w:start w:w="120" w:type="dxa"/>
              <w:bottom w:w="100" w:type="dxa"/>
              <w:end w:w="120" w:type="dxa"/>
            </w:tcMar>
          </w:tcPr>
          <w:p>
            <w:pPr>
              <w:jc w:val="center"/>
            </w:pPr>
            <w:r/>
            <w:r>
              <w:rPr>
                <w:rFonts w:ascii="Aptos" w:hAnsi="Aptos"/>
                <w:b w:val="0"/>
                <w:color w:val="1F2933"/>
                <w:sz w:val="17"/>
              </w:rPr>
              <w:t>EMA structure</w:t>
            </w:r>
          </w:p>
        </w:tc>
        <w:tc>
          <w:tcPr>
            <w:tcW w:type="dxa" w:w="2664"/>
            <w:vAlign w:val="center"/>
            <w:tcMar>
              <w:top w:w="100" w:type="dxa"/>
              <w:start w:w="120" w:type="dxa"/>
              <w:bottom w:w="100" w:type="dxa"/>
              <w:end w:w="120" w:type="dxa"/>
            </w:tcMar>
          </w:tcPr>
          <w:p>
            <w:pPr>
              <w:jc w:val="left"/>
            </w:pPr>
            <w:r/>
            <w:r>
              <w:rPr>
                <w:rFonts w:ascii="Aptos" w:hAnsi="Aptos"/>
                <w:b w:val="0"/>
                <w:color w:val="1F2933"/>
                <w:sz w:val="17"/>
              </w:rPr>
              <w:t>EMA20 &gt; EMA50: +20</w:t>
            </w:r>
          </w:p>
        </w:tc>
        <w:tc>
          <w:tcPr>
            <w:tcW w:type="dxa" w:w="4752"/>
            <w:vAlign w:val="center"/>
            <w:tcMar>
              <w:top w:w="100" w:type="dxa"/>
              <w:start w:w="120" w:type="dxa"/>
              <w:bottom w:w="100" w:type="dxa"/>
              <w:end w:w="120" w:type="dxa"/>
            </w:tcMar>
          </w:tcPr>
          <w:p>
            <w:pPr>
              <w:jc w:val="left"/>
            </w:pPr>
            <w:r/>
            <w:r>
              <w:rPr>
                <w:rFonts w:ascii="Aptos" w:hAnsi="Aptos"/>
                <w:b w:val="0"/>
                <w:color w:val="1F2933"/>
                <w:sz w:val="17"/>
              </w:rPr>
              <w:t>Checks whether the faster trend is above the slower trend.</w:t>
            </w:r>
          </w:p>
        </w:tc>
      </w:tr>
      <w:tr>
        <w:tc>
          <w:tcPr>
            <w:tcW w:type="dxa" w:w="1944"/>
            <w:shd w:fill="F4F7FA"/>
            <w:vAlign w:val="center"/>
            <w:tcMar>
              <w:top w:w="100" w:type="dxa"/>
              <w:start w:w="120" w:type="dxa"/>
              <w:bottom w:w="100" w:type="dxa"/>
              <w:end w:w="120" w:type="dxa"/>
            </w:tcMar>
          </w:tcPr>
          <w:p>
            <w:pPr>
              <w:jc w:val="center"/>
            </w:pPr>
            <w:r/>
            <w:r>
              <w:rPr>
                <w:rFonts w:ascii="Aptos" w:hAnsi="Aptos"/>
                <w:b w:val="0"/>
                <w:color w:val="1F2933"/>
                <w:sz w:val="17"/>
              </w:rPr>
              <w:t>RSI14</w:t>
            </w:r>
          </w:p>
        </w:tc>
        <w:tc>
          <w:tcPr>
            <w:tcW w:type="dxa" w:w="2664"/>
            <w:shd w:fill="F4F7FA"/>
            <w:vAlign w:val="center"/>
            <w:tcMar>
              <w:top w:w="100" w:type="dxa"/>
              <w:start w:w="120" w:type="dxa"/>
              <w:bottom w:w="100" w:type="dxa"/>
              <w:end w:w="120" w:type="dxa"/>
            </w:tcMar>
          </w:tcPr>
          <w:p>
            <w:pPr>
              <w:jc w:val="left"/>
            </w:pPr>
            <w:r/>
            <w:r>
              <w:rPr>
                <w:rFonts w:ascii="Aptos" w:hAnsi="Aptos"/>
                <w:b w:val="0"/>
                <w:color w:val="1F2933"/>
                <w:sz w:val="17"/>
              </w:rPr>
              <w:t>RSI &gt; 50: +15</w:t>
            </w:r>
          </w:p>
        </w:tc>
        <w:tc>
          <w:tcPr>
            <w:tcW w:type="dxa" w:w="4752"/>
            <w:shd w:fill="F4F7FA"/>
            <w:vAlign w:val="center"/>
            <w:tcMar>
              <w:top w:w="100" w:type="dxa"/>
              <w:start w:w="120" w:type="dxa"/>
              <w:bottom w:w="100" w:type="dxa"/>
              <w:end w:w="120" w:type="dxa"/>
            </w:tcMar>
          </w:tcPr>
          <w:p>
            <w:pPr>
              <w:jc w:val="left"/>
            </w:pPr>
            <w:r/>
            <w:r>
              <w:rPr>
                <w:rFonts w:ascii="Aptos" w:hAnsi="Aptos"/>
                <w:b w:val="0"/>
                <w:color w:val="1F2933"/>
                <w:sz w:val="17"/>
              </w:rPr>
              <w:t>Tests whether recent momentum is positive. Missing RSI is reported for newly listed securities.</w:t>
            </w:r>
          </w:p>
        </w:tc>
      </w:tr>
      <w:tr>
        <w:tc>
          <w:tcPr>
            <w:tcW w:type="dxa" w:w="1944"/>
            <w:vAlign w:val="center"/>
            <w:tcMar>
              <w:top w:w="100" w:type="dxa"/>
              <w:start w:w="120" w:type="dxa"/>
              <w:bottom w:w="100" w:type="dxa"/>
              <w:end w:w="120" w:type="dxa"/>
            </w:tcMar>
          </w:tcPr>
          <w:p>
            <w:pPr>
              <w:jc w:val="center"/>
            </w:pPr>
            <w:r/>
            <w:r>
              <w:rPr>
                <w:rFonts w:ascii="Aptos" w:hAnsi="Aptos"/>
                <w:b w:val="0"/>
                <w:color w:val="1F2933"/>
                <w:sz w:val="17"/>
              </w:rPr>
              <w:t>Volume ratio</w:t>
            </w:r>
          </w:p>
        </w:tc>
        <w:tc>
          <w:tcPr>
            <w:tcW w:type="dxa" w:w="2664"/>
            <w:vAlign w:val="center"/>
            <w:tcMar>
              <w:top w:w="100" w:type="dxa"/>
              <w:start w:w="120" w:type="dxa"/>
              <w:bottom w:w="100" w:type="dxa"/>
              <w:end w:w="120" w:type="dxa"/>
            </w:tcMar>
          </w:tcPr>
          <w:p>
            <w:pPr>
              <w:jc w:val="left"/>
            </w:pPr>
            <w:r/>
            <w:r>
              <w:rPr>
                <w:rFonts w:ascii="Aptos" w:hAnsi="Aptos"/>
                <w:b w:val="0"/>
                <w:color w:val="1F2933"/>
                <w:sz w:val="17"/>
              </w:rPr>
              <w:t>Current daily volume / VOL20 ≥ 1.5: +20</w:t>
            </w:r>
          </w:p>
        </w:tc>
        <w:tc>
          <w:tcPr>
            <w:tcW w:type="dxa" w:w="4752"/>
            <w:vAlign w:val="center"/>
            <w:tcMar>
              <w:top w:w="100" w:type="dxa"/>
              <w:start w:w="120" w:type="dxa"/>
              <w:bottom w:w="100" w:type="dxa"/>
              <w:end w:w="120" w:type="dxa"/>
            </w:tcMar>
          </w:tcPr>
          <w:p>
            <w:pPr>
              <w:jc w:val="left"/>
            </w:pPr>
            <w:r/>
            <w:r>
              <w:rPr>
                <w:rFonts w:ascii="Aptos" w:hAnsi="Aptos"/>
                <w:b w:val="0"/>
                <w:color w:val="1F2933"/>
                <w:sz w:val="17"/>
              </w:rPr>
              <w:t>A breakout supported by materially higher volume has stronger participation under the configured rule.</w:t>
            </w:r>
          </w:p>
        </w:tc>
      </w:tr>
      <w:tr>
        <w:tc>
          <w:tcPr>
            <w:tcW w:type="dxa" w:w="1944"/>
            <w:shd w:fill="F4F7FA"/>
            <w:vAlign w:val="center"/>
            <w:tcMar>
              <w:top w:w="100" w:type="dxa"/>
              <w:start w:w="120" w:type="dxa"/>
              <w:bottom w:w="100" w:type="dxa"/>
              <w:end w:w="120" w:type="dxa"/>
            </w:tcMar>
          </w:tcPr>
          <w:p>
            <w:pPr>
              <w:jc w:val="center"/>
            </w:pPr>
            <w:r/>
            <w:r>
              <w:rPr>
                <w:rFonts w:ascii="Aptos" w:hAnsi="Aptos"/>
                <w:b w:val="0"/>
                <w:color w:val="1F2933"/>
                <w:sz w:val="17"/>
              </w:rPr>
              <w:t>Reward/risk</w:t>
            </w:r>
          </w:p>
        </w:tc>
        <w:tc>
          <w:tcPr>
            <w:tcW w:type="dxa" w:w="2664"/>
            <w:shd w:fill="F4F7FA"/>
            <w:vAlign w:val="center"/>
            <w:tcMar>
              <w:top w:w="100" w:type="dxa"/>
              <w:start w:w="120" w:type="dxa"/>
              <w:bottom w:w="100" w:type="dxa"/>
              <w:end w:w="120" w:type="dxa"/>
            </w:tcMar>
          </w:tcPr>
          <w:p>
            <w:pPr>
              <w:jc w:val="left"/>
            </w:pPr>
            <w:r/>
            <w:r>
              <w:rPr>
                <w:rFonts w:ascii="Aptos" w:hAnsi="Aptos"/>
                <w:b w:val="0"/>
                <w:color w:val="1F2933"/>
                <w:sz w:val="17"/>
              </w:rPr>
              <w:t>Best target ≥ 2R: +20</w:t>
            </w:r>
          </w:p>
        </w:tc>
        <w:tc>
          <w:tcPr>
            <w:tcW w:type="dxa" w:w="4752"/>
            <w:shd w:fill="F4F7FA"/>
            <w:vAlign w:val="center"/>
            <w:tcMar>
              <w:top w:w="100" w:type="dxa"/>
              <w:start w:w="120" w:type="dxa"/>
              <w:bottom w:w="100" w:type="dxa"/>
              <w:end w:w="120" w:type="dxa"/>
            </w:tcMar>
          </w:tcPr>
          <w:p>
            <w:pPr>
              <w:jc w:val="left"/>
            </w:pPr>
            <w:r/>
            <w:r>
              <w:rPr>
                <w:rFonts w:ascii="Aptos" w:hAnsi="Aptos"/>
                <w:b w:val="0"/>
                <w:color w:val="1F2933"/>
                <w:sz w:val="17"/>
              </w:rPr>
              <w:t>Checks whether the proposed upside reasonably compensates for entry-to-stop risk.</w:t>
            </w:r>
          </w:p>
        </w:tc>
      </w:tr>
      <w:tr>
        <w:tc>
          <w:tcPr>
            <w:tcW w:type="dxa" w:w="1944"/>
            <w:vAlign w:val="center"/>
            <w:tcMar>
              <w:top w:w="100" w:type="dxa"/>
              <w:start w:w="120" w:type="dxa"/>
              <w:bottom w:w="100" w:type="dxa"/>
              <w:end w:w="120" w:type="dxa"/>
            </w:tcMar>
          </w:tcPr>
          <w:p>
            <w:pPr>
              <w:jc w:val="center"/>
            </w:pPr>
            <w:r/>
            <w:r>
              <w:rPr>
                <w:rFonts w:ascii="Aptos" w:hAnsi="Aptos"/>
                <w:b w:val="0"/>
                <w:color w:val="1F2933"/>
                <w:sz w:val="17"/>
              </w:rPr>
              <w:t>ATR14</w:t>
            </w:r>
          </w:p>
        </w:tc>
        <w:tc>
          <w:tcPr>
            <w:tcW w:type="dxa" w:w="2664"/>
            <w:vAlign w:val="center"/>
            <w:tcMar>
              <w:top w:w="100" w:type="dxa"/>
              <w:start w:w="120" w:type="dxa"/>
              <w:bottom w:w="100" w:type="dxa"/>
              <w:end w:w="120" w:type="dxa"/>
            </w:tcMar>
          </w:tcPr>
          <w:p>
            <w:pPr>
              <w:jc w:val="left"/>
            </w:pPr>
            <w:r/>
            <w:r>
              <w:rPr>
                <w:rFonts w:ascii="Aptos" w:hAnsi="Aptos"/>
                <w:b w:val="0"/>
                <w:color w:val="1F2933"/>
                <w:sz w:val="17"/>
              </w:rPr>
              <w:t>Displayed for volatility context</w:t>
            </w:r>
          </w:p>
        </w:tc>
        <w:tc>
          <w:tcPr>
            <w:tcW w:type="dxa" w:w="4752"/>
            <w:vAlign w:val="center"/>
            <w:tcMar>
              <w:top w:w="100" w:type="dxa"/>
              <w:start w:w="120" w:type="dxa"/>
              <w:bottom w:w="100" w:type="dxa"/>
              <w:end w:w="120" w:type="dxa"/>
            </w:tcMar>
          </w:tcPr>
          <w:p>
            <w:pPr>
              <w:jc w:val="left"/>
            </w:pPr>
            <w:r/>
            <w:r>
              <w:rPr>
                <w:rFonts w:ascii="Aptos" w:hAnsi="Aptos"/>
                <w:b w:val="0"/>
                <w:color w:val="1F2933"/>
                <w:sz w:val="17"/>
              </w:rPr>
              <w:t>Shows average recent true range. Version 1.1 displays ATR but uses the supplied stop for sizing.</w:t>
            </w:r>
          </w:p>
        </w:tc>
      </w:tr>
      <w:tr>
        <w:tc>
          <w:tcPr>
            <w:tcW w:type="dxa" w:w="1944"/>
            <w:shd w:fill="F4F7FA"/>
            <w:vAlign w:val="center"/>
            <w:tcMar>
              <w:top w:w="100" w:type="dxa"/>
              <w:start w:w="120" w:type="dxa"/>
              <w:bottom w:w="100" w:type="dxa"/>
              <w:end w:w="120" w:type="dxa"/>
            </w:tcMar>
          </w:tcPr>
          <w:p>
            <w:pPr>
              <w:jc w:val="center"/>
            </w:pPr>
            <w:r/>
            <w:r>
              <w:rPr>
                <w:rFonts w:ascii="Aptos" w:hAnsi="Aptos"/>
                <w:b w:val="0"/>
                <w:color w:val="1F2933"/>
                <w:sz w:val="17"/>
              </w:rPr>
              <w:t>Breakout gap</w:t>
            </w:r>
          </w:p>
        </w:tc>
        <w:tc>
          <w:tcPr>
            <w:tcW w:type="dxa" w:w="2664"/>
            <w:shd w:fill="F4F7FA"/>
            <w:vAlign w:val="center"/>
            <w:tcMar>
              <w:top w:w="100" w:type="dxa"/>
              <w:start w:w="120" w:type="dxa"/>
              <w:bottom w:w="100" w:type="dxa"/>
              <w:end w:w="120" w:type="dxa"/>
            </w:tcMar>
          </w:tcPr>
          <w:p>
            <w:pPr>
              <w:jc w:val="left"/>
            </w:pPr>
            <w:r/>
            <w:r>
              <w:rPr>
                <w:rFonts w:ascii="Aptos" w:hAnsi="Aptos"/>
                <w:b w:val="0"/>
                <w:color w:val="1F2933"/>
                <w:sz w:val="17"/>
              </w:rPr>
              <w:t>(Breakout − close) / close × 100</w:t>
            </w:r>
          </w:p>
        </w:tc>
        <w:tc>
          <w:tcPr>
            <w:tcW w:type="dxa" w:w="4752"/>
            <w:shd w:fill="F4F7FA"/>
            <w:vAlign w:val="center"/>
            <w:tcMar>
              <w:top w:w="100" w:type="dxa"/>
              <w:start w:w="120" w:type="dxa"/>
              <w:bottom w:w="100" w:type="dxa"/>
              <w:end w:w="120" w:type="dxa"/>
            </w:tcMar>
          </w:tcPr>
          <w:p>
            <w:pPr>
              <w:jc w:val="left"/>
            </w:pPr>
            <w:r/>
            <w:r>
              <w:rPr>
                <w:rFonts w:ascii="Aptos" w:hAnsi="Aptos"/>
                <w:b w:val="0"/>
                <w:color w:val="1F2933"/>
                <w:sz w:val="17"/>
              </w:rPr>
              <w:t>Shows how far price sits below the trigger. Negative values mean price is already above the trigger.</w:t>
            </w:r>
          </w:p>
        </w:tc>
      </w:tr>
    </w:tbl>
    <w:p>
      <w:pPr>
        <w:widowControl/>
        <w:spacing w:after="40"/>
      </w:pPr>
    </w:p>
    <w:tbl>
      <w:tblPr>
        <w:tblW w:type="auto" w:w="0"/>
        <w:jc w:val="center"/>
        <w:tblLook w:firstColumn="1" w:firstRow="1" w:lastColumn="0" w:lastRow="0" w:noHBand="0" w:noVBand="1" w:val="04A0"/>
      </w:tblPr>
      <w:tblGrid>
        <w:gridCol w:w="10080"/>
      </w:tblGrid>
      <w:tr>
        <w:tc>
          <w:tcPr>
            <w:tcW w:type="dxa" w:w="10080"/>
            <w:shd w:fill="E2F0D9"/>
            <w:tcMar>
              <w:top w:w="160" w:type="dxa"/>
              <w:start w:w="180" w:type="dxa"/>
              <w:bottom w:w="160" w:type="dxa"/>
              <w:end w:w="180" w:type="dxa"/>
            </w:tcMar>
          </w:tcPr>
          <w:p>
            <w:r/>
            <w:r>
              <w:rPr>
                <w:b/>
                <w:color w:val="17365D"/>
                <w:sz w:val="20"/>
              </w:rPr>
              <w:t>Important design note</w:t>
              <w:br/>
            </w:r>
            <w:r>
              <w:rPr>
                <w:color w:val="273444"/>
                <w:sz w:val="19"/>
              </w:rPr>
              <w:t>The model is rule-based and transparent. It does not use an LLM to invent indicator values, prices, or position sizes.</w:t>
            </w:r>
          </w:p>
        </w:tc>
      </w:tr>
    </w:tbl>
    <w:p>
      <w:pPr>
        <w:widowControl/>
        <w:spacing w:after="40"/>
      </w:pPr>
    </w:p>
    <w:p>
      <w:pPr>
        <w:pStyle w:val="Title"/>
        <w:widowControl/>
      </w:pPr>
      <w:r>
        <w:t>5. Scoring and Decision Logic</w:t>
      </w:r>
    </w:p>
    <w:tbl>
      <w:tblPr>
        <w:tblStyle w:val="TableGrid"/>
        <w:tblW w:type="auto" w:w="0"/>
        <w:jc w:val="center"/>
        <w:tblLook w:firstColumn="1" w:firstRow="1" w:lastColumn="0" w:lastRow="0" w:noHBand="0" w:noVBand="1" w:val="04A0"/>
      </w:tblPr>
      <w:tblGrid>
        <w:gridCol w:w="5040"/>
        <w:gridCol w:w="5040"/>
      </w:tblGrid>
      <w:tr>
        <w:tc>
          <w:tcPr>
            <w:tcW w:type="dxa" w:w="6912"/>
            <w:shd w:fill="17365D"/>
            <w:vAlign w:val="center"/>
            <w:tcMar>
              <w:top w:w="100" w:type="dxa"/>
              <w:start w:w="120" w:type="dxa"/>
              <w:bottom w:w="100" w:type="dxa"/>
              <w:end w:w="120" w:type="dxa"/>
            </w:tcMar>
          </w:tcPr>
          <w:p>
            <w:pPr>
              <w:jc w:val="center"/>
            </w:pPr>
            <w:r/>
            <w:r>
              <w:rPr>
                <w:rFonts w:ascii="Aptos" w:hAnsi="Aptos"/>
                <w:b/>
                <w:color w:val="FFFFFF"/>
                <w:sz w:val="18"/>
              </w:rPr>
              <w:t>Condition</w:t>
            </w:r>
          </w:p>
        </w:tc>
        <w:tc>
          <w:tcPr>
            <w:tcW w:type="dxa" w:w="1728"/>
            <w:shd w:fill="17365D"/>
            <w:vAlign w:val="center"/>
            <w:tcMar>
              <w:top w:w="100" w:type="dxa"/>
              <w:start w:w="120" w:type="dxa"/>
              <w:bottom w:w="100" w:type="dxa"/>
              <w:end w:w="120" w:type="dxa"/>
            </w:tcMar>
          </w:tcPr>
          <w:p>
            <w:pPr>
              <w:jc w:val="center"/>
            </w:pPr>
            <w:r/>
            <w:r>
              <w:rPr>
                <w:rFonts w:ascii="Aptos" w:hAnsi="Aptos"/>
                <w:b/>
                <w:color w:val="FFFFFF"/>
                <w:sz w:val="18"/>
              </w:rPr>
              <w:t>Points</w:t>
            </w:r>
          </w:p>
        </w:tc>
      </w:tr>
      <w:tr>
        <w:tc>
          <w:tcPr>
            <w:tcW w:type="dxa" w:w="6912"/>
            <w:vAlign w:val="center"/>
            <w:tcMar>
              <w:top w:w="100" w:type="dxa"/>
              <w:start w:w="120" w:type="dxa"/>
              <w:bottom w:w="100" w:type="dxa"/>
              <w:end w:w="120" w:type="dxa"/>
            </w:tcMar>
          </w:tcPr>
          <w:p>
            <w:pPr>
              <w:jc w:val="center"/>
            </w:pPr>
            <w:r/>
            <w:r>
              <w:rPr>
                <w:rFonts w:ascii="Aptos" w:hAnsi="Aptos"/>
                <w:b w:val="0"/>
                <w:color w:val="1F2933"/>
                <w:sz w:val="17"/>
              </w:rPr>
              <w:t>Latest close above breakout</w:t>
            </w:r>
          </w:p>
        </w:tc>
        <w:tc>
          <w:tcPr>
            <w:tcW w:type="dxa" w:w="1728"/>
            <w:vAlign w:val="center"/>
            <w:tcMar>
              <w:top w:w="100" w:type="dxa"/>
              <w:start w:w="120" w:type="dxa"/>
              <w:bottom w:w="100" w:type="dxa"/>
              <w:end w:w="120" w:type="dxa"/>
            </w:tcMar>
          </w:tcPr>
          <w:p>
            <w:pPr>
              <w:jc w:val="left"/>
            </w:pPr>
            <w:r/>
            <w:r>
              <w:rPr>
                <w:rFonts w:ascii="Aptos" w:hAnsi="Aptos"/>
                <w:b w:val="0"/>
                <w:color w:val="1F2933"/>
                <w:sz w:val="17"/>
              </w:rPr>
              <w:t>25</w:t>
            </w:r>
          </w:p>
        </w:tc>
      </w:tr>
      <w:tr>
        <w:tc>
          <w:tcPr>
            <w:tcW w:type="dxa" w:w="6912"/>
            <w:shd w:fill="F4F7FA"/>
            <w:vAlign w:val="center"/>
            <w:tcMar>
              <w:top w:w="100" w:type="dxa"/>
              <w:start w:w="120" w:type="dxa"/>
              <w:bottom w:w="100" w:type="dxa"/>
              <w:end w:w="120" w:type="dxa"/>
            </w:tcMar>
          </w:tcPr>
          <w:p>
            <w:pPr>
              <w:jc w:val="center"/>
            </w:pPr>
            <w:r/>
            <w:r>
              <w:rPr>
                <w:rFonts w:ascii="Aptos" w:hAnsi="Aptos"/>
                <w:b w:val="0"/>
                <w:color w:val="1F2933"/>
                <w:sz w:val="17"/>
              </w:rPr>
              <w:t>Latest close above EMA20</w:t>
            </w:r>
          </w:p>
        </w:tc>
        <w:tc>
          <w:tcPr>
            <w:tcW w:type="dxa" w:w="1728"/>
            <w:shd w:fill="F4F7FA"/>
            <w:vAlign w:val="center"/>
            <w:tcMar>
              <w:top w:w="100" w:type="dxa"/>
              <w:start w:w="120" w:type="dxa"/>
              <w:bottom w:w="100" w:type="dxa"/>
              <w:end w:w="120" w:type="dxa"/>
            </w:tcMar>
          </w:tcPr>
          <w:p>
            <w:pPr>
              <w:jc w:val="left"/>
            </w:pPr>
            <w:r/>
            <w:r>
              <w:rPr>
                <w:rFonts w:ascii="Aptos" w:hAnsi="Aptos"/>
                <w:b w:val="0"/>
                <w:color w:val="1F2933"/>
                <w:sz w:val="17"/>
              </w:rPr>
              <w:t>20</w:t>
            </w:r>
          </w:p>
        </w:tc>
      </w:tr>
      <w:tr>
        <w:tc>
          <w:tcPr>
            <w:tcW w:type="dxa" w:w="6912"/>
            <w:vAlign w:val="center"/>
            <w:tcMar>
              <w:top w:w="100" w:type="dxa"/>
              <w:start w:w="120" w:type="dxa"/>
              <w:bottom w:w="100" w:type="dxa"/>
              <w:end w:w="120" w:type="dxa"/>
            </w:tcMar>
          </w:tcPr>
          <w:p>
            <w:pPr>
              <w:jc w:val="center"/>
            </w:pPr>
            <w:r/>
            <w:r>
              <w:rPr>
                <w:rFonts w:ascii="Aptos" w:hAnsi="Aptos"/>
                <w:b w:val="0"/>
                <w:color w:val="1F2933"/>
                <w:sz w:val="17"/>
              </w:rPr>
              <w:t>EMA20 above EMA50</w:t>
            </w:r>
          </w:p>
        </w:tc>
        <w:tc>
          <w:tcPr>
            <w:tcW w:type="dxa" w:w="1728"/>
            <w:vAlign w:val="center"/>
            <w:tcMar>
              <w:top w:w="100" w:type="dxa"/>
              <w:start w:w="120" w:type="dxa"/>
              <w:bottom w:w="100" w:type="dxa"/>
              <w:end w:w="120" w:type="dxa"/>
            </w:tcMar>
          </w:tcPr>
          <w:p>
            <w:pPr>
              <w:jc w:val="left"/>
            </w:pPr>
            <w:r/>
            <w:r>
              <w:rPr>
                <w:rFonts w:ascii="Aptos" w:hAnsi="Aptos"/>
                <w:b w:val="0"/>
                <w:color w:val="1F2933"/>
                <w:sz w:val="17"/>
              </w:rPr>
              <w:t>20</w:t>
            </w:r>
          </w:p>
        </w:tc>
      </w:tr>
      <w:tr>
        <w:tc>
          <w:tcPr>
            <w:tcW w:type="dxa" w:w="6912"/>
            <w:shd w:fill="F4F7FA"/>
            <w:vAlign w:val="center"/>
            <w:tcMar>
              <w:top w:w="100" w:type="dxa"/>
              <w:start w:w="120" w:type="dxa"/>
              <w:bottom w:w="100" w:type="dxa"/>
              <w:end w:w="120" w:type="dxa"/>
            </w:tcMar>
          </w:tcPr>
          <w:p>
            <w:pPr>
              <w:jc w:val="center"/>
            </w:pPr>
            <w:r/>
            <w:r>
              <w:rPr>
                <w:rFonts w:ascii="Aptos" w:hAnsi="Aptos"/>
                <w:b w:val="0"/>
                <w:color w:val="1F2933"/>
                <w:sz w:val="17"/>
              </w:rPr>
              <w:t>RSI14 above 50</w:t>
            </w:r>
          </w:p>
        </w:tc>
        <w:tc>
          <w:tcPr>
            <w:tcW w:type="dxa" w:w="1728"/>
            <w:shd w:fill="F4F7FA"/>
            <w:vAlign w:val="center"/>
            <w:tcMar>
              <w:top w:w="100" w:type="dxa"/>
              <w:start w:w="120" w:type="dxa"/>
              <w:bottom w:w="100" w:type="dxa"/>
              <w:end w:w="120" w:type="dxa"/>
            </w:tcMar>
          </w:tcPr>
          <w:p>
            <w:pPr>
              <w:jc w:val="left"/>
            </w:pPr>
            <w:r/>
            <w:r>
              <w:rPr>
                <w:rFonts w:ascii="Aptos" w:hAnsi="Aptos"/>
                <w:b w:val="0"/>
                <w:color w:val="1F2933"/>
                <w:sz w:val="17"/>
              </w:rPr>
              <w:t>15</w:t>
            </w:r>
          </w:p>
        </w:tc>
      </w:tr>
      <w:tr>
        <w:tc>
          <w:tcPr>
            <w:tcW w:type="dxa" w:w="6912"/>
            <w:vAlign w:val="center"/>
            <w:tcMar>
              <w:top w:w="100" w:type="dxa"/>
              <w:start w:w="120" w:type="dxa"/>
              <w:bottom w:w="100" w:type="dxa"/>
              <w:end w:w="120" w:type="dxa"/>
            </w:tcMar>
          </w:tcPr>
          <w:p>
            <w:pPr>
              <w:jc w:val="center"/>
            </w:pPr>
            <w:r/>
            <w:r>
              <w:rPr>
                <w:rFonts w:ascii="Aptos" w:hAnsi="Aptos"/>
                <w:b w:val="0"/>
                <w:color w:val="1F2933"/>
                <w:sz w:val="17"/>
              </w:rPr>
              <w:t>Volume ratio at least 1.5x</w:t>
            </w:r>
          </w:p>
        </w:tc>
        <w:tc>
          <w:tcPr>
            <w:tcW w:type="dxa" w:w="1728"/>
            <w:vAlign w:val="center"/>
            <w:tcMar>
              <w:top w:w="100" w:type="dxa"/>
              <w:start w:w="120" w:type="dxa"/>
              <w:bottom w:w="100" w:type="dxa"/>
              <w:end w:w="120" w:type="dxa"/>
            </w:tcMar>
          </w:tcPr>
          <w:p>
            <w:pPr>
              <w:jc w:val="left"/>
            </w:pPr>
            <w:r/>
            <w:r>
              <w:rPr>
                <w:rFonts w:ascii="Aptos" w:hAnsi="Aptos"/>
                <w:b w:val="0"/>
                <w:color w:val="1F2933"/>
                <w:sz w:val="17"/>
              </w:rPr>
              <w:t>20</w:t>
            </w:r>
          </w:p>
        </w:tc>
      </w:tr>
      <w:tr>
        <w:tc>
          <w:tcPr>
            <w:tcW w:type="dxa" w:w="6912"/>
            <w:shd w:fill="F4F7FA"/>
            <w:vAlign w:val="center"/>
            <w:tcMar>
              <w:top w:w="100" w:type="dxa"/>
              <w:start w:w="120" w:type="dxa"/>
              <w:bottom w:w="100" w:type="dxa"/>
              <w:end w:w="120" w:type="dxa"/>
            </w:tcMar>
          </w:tcPr>
          <w:p>
            <w:pPr>
              <w:jc w:val="center"/>
            </w:pPr>
            <w:r/>
            <w:r>
              <w:rPr>
                <w:rFonts w:ascii="Aptos" w:hAnsi="Aptos"/>
                <w:b w:val="0"/>
                <w:color w:val="1F2933"/>
                <w:sz w:val="17"/>
              </w:rPr>
              <w:t>Maximum reward/risk at least 2.0R</w:t>
            </w:r>
          </w:p>
        </w:tc>
        <w:tc>
          <w:tcPr>
            <w:tcW w:type="dxa" w:w="1728"/>
            <w:shd w:fill="F4F7FA"/>
            <w:vAlign w:val="center"/>
            <w:tcMar>
              <w:top w:w="100" w:type="dxa"/>
              <w:start w:w="120" w:type="dxa"/>
              <w:bottom w:w="100" w:type="dxa"/>
              <w:end w:w="120" w:type="dxa"/>
            </w:tcMar>
          </w:tcPr>
          <w:p>
            <w:pPr>
              <w:jc w:val="left"/>
            </w:pPr>
            <w:r/>
            <w:r>
              <w:rPr>
                <w:rFonts w:ascii="Aptos" w:hAnsi="Aptos"/>
                <w:b w:val="0"/>
                <w:color w:val="1F2933"/>
                <w:sz w:val="17"/>
              </w:rPr>
              <w:t>20</w:t>
            </w:r>
          </w:p>
        </w:tc>
      </w:tr>
    </w:tbl>
    <w:p>
      <w:pPr>
        <w:widowControl/>
        <w:spacing w:after="40"/>
      </w:pPr>
    </w:p>
    <w:p>
      <w:pPr>
        <w:widowControl/>
      </w:pPr>
      <w:r>
        <w:t>The raw conditions can total 120 points. Confidence is capped at 100%. Therefore, confidence is a rules score, not a statistical probability of profit.</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7365D"/>
            <w:vAlign w:val="center"/>
            <w:tcMar>
              <w:top w:w="100" w:type="dxa"/>
              <w:start w:w="120" w:type="dxa"/>
              <w:bottom w:w="100" w:type="dxa"/>
              <w:end w:w="120" w:type="dxa"/>
            </w:tcMar>
          </w:tcPr>
          <w:p>
            <w:pPr>
              <w:jc w:val="center"/>
            </w:pPr>
            <w:r/>
            <w:r>
              <w:rPr>
                <w:rFonts w:ascii="Aptos" w:hAnsi="Aptos"/>
                <w:b/>
                <w:color w:val="FFFFFF"/>
                <w:sz w:val="18"/>
              </w:rPr>
              <w:t>Score used by engine</w:t>
            </w:r>
          </w:p>
        </w:tc>
        <w:tc>
          <w:tcPr>
            <w:tcW w:type="dxa" w:w="1728"/>
            <w:shd w:fill="17365D"/>
            <w:vAlign w:val="center"/>
            <w:tcMar>
              <w:top w:w="100" w:type="dxa"/>
              <w:start w:w="120" w:type="dxa"/>
              <w:bottom w:w="100" w:type="dxa"/>
              <w:end w:w="120" w:type="dxa"/>
            </w:tcMar>
          </w:tcPr>
          <w:p>
            <w:pPr>
              <w:jc w:val="center"/>
            </w:pPr>
            <w:r/>
            <w:r>
              <w:rPr>
                <w:rFonts w:ascii="Aptos" w:hAnsi="Aptos"/>
                <w:b/>
                <w:color w:val="FFFFFF"/>
                <w:sz w:val="18"/>
              </w:rPr>
              <w:t>Decision</w:t>
            </w:r>
          </w:p>
        </w:tc>
        <w:tc>
          <w:tcPr>
            <w:tcW w:type="dxa" w:w="5760"/>
            <w:shd w:fill="17365D"/>
            <w:vAlign w:val="center"/>
            <w:tcMar>
              <w:top w:w="100" w:type="dxa"/>
              <w:start w:w="120" w:type="dxa"/>
              <w:bottom w:w="100" w:type="dxa"/>
              <w:end w:w="120" w:type="dxa"/>
            </w:tcMar>
          </w:tcPr>
          <w:p>
            <w:pPr>
              <w:jc w:val="center"/>
            </w:pPr>
            <w:r/>
            <w:r>
              <w:rPr>
                <w:rFonts w:ascii="Aptos" w:hAnsi="Aptos"/>
                <w:b/>
                <w:color w:val="FFFFFF"/>
                <w:sz w:val="18"/>
              </w:rPr>
              <w:t>Interpretation</w:t>
            </w:r>
          </w:p>
        </w:tc>
      </w:tr>
      <w:tr>
        <w:tc>
          <w:tcPr>
            <w:tcW w:type="dxa" w:w="2448"/>
            <w:vAlign w:val="center"/>
            <w:tcMar>
              <w:top w:w="100" w:type="dxa"/>
              <w:start w:w="120" w:type="dxa"/>
              <w:bottom w:w="100" w:type="dxa"/>
              <w:end w:w="120" w:type="dxa"/>
            </w:tcMar>
          </w:tcPr>
          <w:p>
            <w:pPr>
              <w:jc w:val="center"/>
            </w:pPr>
            <w:r/>
            <w:r>
              <w:rPr>
                <w:rFonts w:ascii="Aptos" w:hAnsi="Aptos"/>
                <w:b w:val="0"/>
                <w:color w:val="1F2933"/>
                <w:sz w:val="17"/>
              </w:rPr>
              <w:t>80 or more</w:t>
            </w:r>
          </w:p>
        </w:tc>
        <w:tc>
          <w:tcPr>
            <w:tcW w:type="dxa" w:w="1728"/>
            <w:vAlign w:val="center"/>
            <w:tcMar>
              <w:top w:w="100" w:type="dxa"/>
              <w:start w:w="120" w:type="dxa"/>
              <w:bottom w:w="100" w:type="dxa"/>
              <w:end w:w="120" w:type="dxa"/>
            </w:tcMar>
          </w:tcPr>
          <w:p>
            <w:pPr>
              <w:jc w:val="left"/>
            </w:pPr>
            <w:r/>
            <w:r>
              <w:rPr>
                <w:rFonts w:ascii="Aptos" w:hAnsi="Aptos"/>
                <w:b w:val="0"/>
                <w:color w:val="1F2933"/>
                <w:sz w:val="17"/>
              </w:rPr>
              <w:t>ENTER</w:t>
            </w:r>
          </w:p>
        </w:tc>
        <w:tc>
          <w:tcPr>
            <w:tcW w:type="dxa" w:w="5760"/>
            <w:vAlign w:val="center"/>
            <w:tcMar>
              <w:top w:w="100" w:type="dxa"/>
              <w:start w:w="120" w:type="dxa"/>
              <w:bottom w:w="100" w:type="dxa"/>
              <w:end w:w="120" w:type="dxa"/>
            </w:tcMar>
          </w:tcPr>
          <w:p>
            <w:pPr>
              <w:jc w:val="left"/>
            </w:pPr>
            <w:r/>
            <w:r>
              <w:rPr>
                <w:rFonts w:ascii="Aptos" w:hAnsi="Aptos"/>
                <w:b w:val="0"/>
                <w:color w:val="1F2933"/>
                <w:sz w:val="17"/>
              </w:rPr>
              <w:t>The configured rules identify strong supporting evidence. Human review remains required.</w:t>
            </w:r>
          </w:p>
        </w:tc>
      </w:tr>
      <w:tr>
        <w:tc>
          <w:tcPr>
            <w:tcW w:type="dxa" w:w="2448"/>
            <w:shd w:fill="F4F7FA"/>
            <w:vAlign w:val="center"/>
            <w:tcMar>
              <w:top w:w="100" w:type="dxa"/>
              <w:start w:w="120" w:type="dxa"/>
              <w:bottom w:w="100" w:type="dxa"/>
              <w:end w:w="120" w:type="dxa"/>
            </w:tcMar>
          </w:tcPr>
          <w:p>
            <w:pPr>
              <w:jc w:val="center"/>
            </w:pPr>
            <w:r/>
            <w:r>
              <w:rPr>
                <w:rFonts w:ascii="Aptos" w:hAnsi="Aptos"/>
                <w:b w:val="0"/>
                <w:color w:val="1F2933"/>
                <w:sz w:val="17"/>
              </w:rPr>
              <w:t>40 to 79</w:t>
            </w:r>
          </w:p>
        </w:tc>
        <w:tc>
          <w:tcPr>
            <w:tcW w:type="dxa" w:w="1728"/>
            <w:shd w:fill="F4F7FA"/>
            <w:vAlign w:val="center"/>
            <w:tcMar>
              <w:top w:w="100" w:type="dxa"/>
              <w:start w:w="120" w:type="dxa"/>
              <w:bottom w:w="100" w:type="dxa"/>
              <w:end w:w="120" w:type="dxa"/>
            </w:tcMar>
          </w:tcPr>
          <w:p>
            <w:pPr>
              <w:jc w:val="left"/>
            </w:pPr>
            <w:r/>
            <w:r>
              <w:rPr>
                <w:rFonts w:ascii="Aptos" w:hAnsi="Aptos"/>
                <w:b w:val="0"/>
                <w:color w:val="1F2933"/>
                <w:sz w:val="17"/>
              </w:rPr>
              <w:t>WAIT</w:t>
            </w:r>
          </w:p>
        </w:tc>
        <w:tc>
          <w:tcPr>
            <w:tcW w:type="dxa" w:w="5760"/>
            <w:shd w:fill="F4F7FA"/>
            <w:vAlign w:val="center"/>
            <w:tcMar>
              <w:top w:w="100" w:type="dxa"/>
              <w:start w:w="120" w:type="dxa"/>
              <w:bottom w:w="100" w:type="dxa"/>
              <w:end w:w="120" w:type="dxa"/>
            </w:tcMar>
          </w:tcPr>
          <w:p>
            <w:pPr>
              <w:jc w:val="left"/>
            </w:pPr>
            <w:r/>
            <w:r>
              <w:rPr>
                <w:rFonts w:ascii="Aptos" w:hAnsi="Aptos"/>
                <w:b w:val="0"/>
                <w:color w:val="1F2933"/>
                <w:sz w:val="17"/>
              </w:rPr>
              <w:t>Some evidence is positive, but confirmation is incomplete or contradictory.</w:t>
            </w:r>
          </w:p>
        </w:tc>
      </w:tr>
      <w:tr>
        <w:tc>
          <w:tcPr>
            <w:tcW w:type="dxa" w:w="2448"/>
            <w:vAlign w:val="center"/>
            <w:tcMar>
              <w:top w:w="100" w:type="dxa"/>
              <w:start w:w="120" w:type="dxa"/>
              <w:bottom w:w="100" w:type="dxa"/>
              <w:end w:w="120" w:type="dxa"/>
            </w:tcMar>
          </w:tcPr>
          <w:p>
            <w:pPr>
              <w:jc w:val="center"/>
            </w:pPr>
            <w:r/>
            <w:r>
              <w:rPr>
                <w:rFonts w:ascii="Aptos" w:hAnsi="Aptos"/>
                <w:b w:val="0"/>
                <w:color w:val="1F2933"/>
                <w:sz w:val="17"/>
              </w:rPr>
              <w:t>Below 40</w:t>
            </w:r>
          </w:p>
        </w:tc>
        <w:tc>
          <w:tcPr>
            <w:tcW w:type="dxa" w:w="1728"/>
            <w:vAlign w:val="center"/>
            <w:tcMar>
              <w:top w:w="100" w:type="dxa"/>
              <w:start w:w="120" w:type="dxa"/>
              <w:bottom w:w="100" w:type="dxa"/>
              <w:end w:w="120" w:type="dxa"/>
            </w:tcMar>
          </w:tcPr>
          <w:p>
            <w:pPr>
              <w:jc w:val="left"/>
            </w:pPr>
            <w:r/>
            <w:r>
              <w:rPr>
                <w:rFonts w:ascii="Aptos" w:hAnsi="Aptos"/>
                <w:b w:val="0"/>
                <w:color w:val="1F2933"/>
                <w:sz w:val="17"/>
              </w:rPr>
              <w:t>REJECT</w:t>
            </w:r>
          </w:p>
        </w:tc>
        <w:tc>
          <w:tcPr>
            <w:tcW w:type="dxa" w:w="5760"/>
            <w:vAlign w:val="center"/>
            <w:tcMar>
              <w:top w:w="100" w:type="dxa"/>
              <w:start w:w="120" w:type="dxa"/>
              <w:bottom w:w="100" w:type="dxa"/>
              <w:end w:w="120" w:type="dxa"/>
            </w:tcMar>
          </w:tcPr>
          <w:p>
            <w:pPr>
              <w:jc w:val="left"/>
            </w:pPr>
            <w:r/>
            <w:r>
              <w:rPr>
                <w:rFonts w:ascii="Aptos" w:hAnsi="Aptos"/>
                <w:b w:val="0"/>
                <w:color w:val="1F2933"/>
                <w:sz w:val="17"/>
              </w:rPr>
              <w:t>The configured evidence is insufficient for the proposed breakout setup.</w:t>
            </w:r>
          </w:p>
        </w:tc>
      </w:tr>
    </w:tbl>
    <w:p>
      <w:pPr>
        <w:widowControl/>
        <w:spacing w:after="40"/>
      </w:pP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
              <w:rPr>
                <w:b/>
                <w:color w:val="17365D"/>
                <w:sz w:val="20"/>
              </w:rPr>
              <w:t>Why WAIT is common</w:t>
              <w:br/>
            </w:r>
            <w:r>
              <w:rPr>
                <w:color w:val="273444"/>
                <w:sz w:val="19"/>
              </w:rPr>
              <w:t>A stock may have a healthy trend and attractive reward/risk but still be below the trigger or on weak volume. WAIT preserves the setup without treating it as ready for entry.</w:t>
            </w:r>
          </w:p>
        </w:tc>
      </w:tr>
    </w:tbl>
    <w:p>
      <w:pPr>
        <w:widowControl/>
        <w:spacing w:after="40"/>
      </w:pPr>
    </w:p>
    <w:p>
      <w:pPr>
        <w:pStyle w:val="Title"/>
        <w:widowControl/>
      </w:pPr>
      <w:r>
        <w:t>6. Target Interpretation and Reward/Risk</w:t>
      </w:r>
    </w:p>
    <w:p>
      <w:pPr>
        <w:pStyle w:val="Heading1"/>
        <w:widowControl/>
      </w:pPr>
      <w:r>
        <w:t>Formula</w:t>
      </w:r>
    </w:p>
    <w:tbl>
      <w:tblPr>
        <w:tblW w:type="auto" w:w="0"/>
        <w:tblLook w:firstColumn="1" w:firstRow="1" w:lastColumn="0" w:lastRow="0" w:noHBand="0" w:noVBand="1" w:val="04A0"/>
      </w:tblPr>
      <w:tblGrid>
        <w:gridCol w:w="10080"/>
      </w:tblGrid>
      <w:tr>
        <w:tc>
          <w:tcPr>
            <w:tcW w:type="dxa" w:w="10080"/>
            <w:shd w:fill="F2F2F2"/>
            <w:tcMar>
              <w:top w:w="140" w:type="dxa"/>
              <w:start w:w="160" w:type="dxa"/>
              <w:bottom w:w="140" w:type="dxa"/>
              <w:end w:w="160" w:type="dxa"/>
            </w:tcMar>
          </w:tcPr>
          <w:p>
            <w:pPr>
              <w:spacing w:after="0"/>
            </w:pPr>
            <w:r/>
            <w:r>
              <w:rPr>
                <w:rFonts w:ascii="Consolas" w:hAnsi="Consolas"/>
                <w:color w:val="202124"/>
                <w:sz w:val="17"/>
              </w:rPr>
              <w:t>Risk per share = Breakout entry − Stop loss</w:t>
              <w:br/>
              <w:t>Reward to target = Target − Breakout entry</w:t>
              <w:br/>
              <w:t>Reward/Risk = Reward to target ÷ Risk per share</w:t>
            </w:r>
          </w:p>
        </w:tc>
      </w:tr>
    </w:tbl>
    <w:p>
      <w:pPr>
        <w:widowControl/>
        <w:spacing w:after="20"/>
      </w:pPr>
    </w:p>
    <w:p>
      <w:pPr>
        <w:pStyle w:val="Heading1"/>
        <w:widowControl/>
      </w:pPr>
      <w:r>
        <w:t>Absolute-price example</w:t>
      </w:r>
    </w:p>
    <w:tbl>
      <w:tblPr>
        <w:tblStyle w:val="TableGrid"/>
        <w:tblW w:type="auto" w:w="0"/>
        <w:jc w:val="center"/>
        <w:tblLook w:firstColumn="1" w:firstRow="1" w:lastColumn="0" w:lastRow="0" w:noHBand="0" w:noVBand="1" w:val="04A0"/>
      </w:tblPr>
      <w:tblGrid>
        <w:gridCol w:w="5040"/>
        <w:gridCol w:w="5040"/>
      </w:tblGrid>
      <w:tr>
        <w:tc>
          <w:tcPr>
            <w:tcW w:type="dxa" w:w="4320"/>
            <w:shd w:fill="17365D"/>
            <w:vAlign w:val="center"/>
            <w:tcMar>
              <w:top w:w="100" w:type="dxa"/>
              <w:start w:w="120" w:type="dxa"/>
              <w:bottom w:w="100" w:type="dxa"/>
              <w:end w:w="120" w:type="dxa"/>
            </w:tcMar>
          </w:tcPr>
          <w:p>
            <w:pPr>
              <w:jc w:val="center"/>
            </w:pPr>
            <w:r/>
            <w:r>
              <w:rPr>
                <w:rFonts w:ascii="Aptos" w:hAnsi="Aptos"/>
                <w:b/>
                <w:color w:val="FFFFFF"/>
                <w:sz w:val="18"/>
              </w:rPr>
              <w:t>Input</w:t>
            </w:r>
          </w:p>
        </w:tc>
        <w:tc>
          <w:tcPr>
            <w:tcW w:type="dxa" w:w="4320"/>
            <w:shd w:fill="17365D"/>
            <w:vAlign w:val="center"/>
            <w:tcMar>
              <w:top w:w="100" w:type="dxa"/>
              <w:start w:w="120" w:type="dxa"/>
              <w:bottom w:w="100" w:type="dxa"/>
              <w:end w:w="120" w:type="dxa"/>
            </w:tcMar>
          </w:tcPr>
          <w:p>
            <w:pPr>
              <w:jc w:val="center"/>
            </w:pPr>
            <w:r/>
            <w:r>
              <w:rPr>
                <w:rFonts w:ascii="Aptos" w:hAnsi="Aptos"/>
                <w:b/>
                <w:color w:val="FFFFFF"/>
                <w:sz w:val="18"/>
              </w:rPr>
              <w:t>Value</w:t>
            </w:r>
          </w:p>
        </w:tc>
      </w:tr>
      <w:tr>
        <w:tc>
          <w:tcPr>
            <w:tcW w:type="dxa" w:w="4320"/>
            <w:vAlign w:val="center"/>
            <w:tcMar>
              <w:top w:w="100" w:type="dxa"/>
              <w:start w:w="120" w:type="dxa"/>
              <w:bottom w:w="100" w:type="dxa"/>
              <w:end w:w="120" w:type="dxa"/>
            </w:tcMar>
          </w:tcPr>
          <w:p>
            <w:pPr>
              <w:jc w:val="center"/>
            </w:pPr>
            <w:r/>
            <w:r>
              <w:rPr>
                <w:rFonts w:ascii="Aptos" w:hAnsi="Aptos"/>
                <w:b w:val="0"/>
                <w:color w:val="1F2933"/>
                <w:sz w:val="17"/>
              </w:rPr>
              <w:t>Breakout</w:t>
            </w:r>
          </w:p>
        </w:tc>
        <w:tc>
          <w:tcPr>
            <w:tcW w:type="dxa" w:w="4320"/>
            <w:vAlign w:val="center"/>
            <w:tcMar>
              <w:top w:w="100" w:type="dxa"/>
              <w:start w:w="120" w:type="dxa"/>
              <w:bottom w:w="100" w:type="dxa"/>
              <w:end w:w="120" w:type="dxa"/>
            </w:tcMar>
          </w:tcPr>
          <w:p>
            <w:pPr>
              <w:jc w:val="left"/>
            </w:pPr>
            <w:r/>
            <w:r>
              <w:rPr>
                <w:rFonts w:ascii="Aptos" w:hAnsi="Aptos"/>
                <w:b w:val="0"/>
                <w:color w:val="1F2933"/>
                <w:sz w:val="17"/>
              </w:rPr>
              <w:t>₹1,245</w:t>
            </w:r>
          </w:p>
        </w:tc>
      </w:tr>
      <w:tr>
        <w:tc>
          <w:tcPr>
            <w:tcW w:type="dxa" w:w="4320"/>
            <w:shd w:fill="F4F7FA"/>
            <w:vAlign w:val="center"/>
            <w:tcMar>
              <w:top w:w="100" w:type="dxa"/>
              <w:start w:w="120" w:type="dxa"/>
              <w:bottom w:w="100" w:type="dxa"/>
              <w:end w:w="120" w:type="dxa"/>
            </w:tcMar>
          </w:tcPr>
          <w:p>
            <w:pPr>
              <w:jc w:val="center"/>
            </w:pPr>
            <w:r/>
            <w:r>
              <w:rPr>
                <w:rFonts w:ascii="Aptos" w:hAnsi="Aptos"/>
                <w:b w:val="0"/>
                <w:color w:val="1F2933"/>
                <w:sz w:val="17"/>
              </w:rPr>
              <w:t>Stop loss</w:t>
            </w:r>
          </w:p>
        </w:tc>
        <w:tc>
          <w:tcPr>
            <w:tcW w:type="dxa" w:w="4320"/>
            <w:shd w:fill="F4F7FA"/>
            <w:vAlign w:val="center"/>
            <w:tcMar>
              <w:top w:w="100" w:type="dxa"/>
              <w:start w:w="120" w:type="dxa"/>
              <w:bottom w:w="100" w:type="dxa"/>
              <w:end w:w="120" w:type="dxa"/>
            </w:tcMar>
          </w:tcPr>
          <w:p>
            <w:pPr>
              <w:jc w:val="left"/>
            </w:pPr>
            <w:r/>
            <w:r>
              <w:rPr>
                <w:rFonts w:ascii="Aptos" w:hAnsi="Aptos"/>
                <w:b w:val="0"/>
                <w:color w:val="1F2933"/>
                <w:sz w:val="17"/>
              </w:rPr>
              <w:t>₹1,190</w:t>
            </w:r>
          </w:p>
        </w:tc>
      </w:tr>
      <w:tr>
        <w:tc>
          <w:tcPr>
            <w:tcW w:type="dxa" w:w="4320"/>
            <w:vAlign w:val="center"/>
            <w:tcMar>
              <w:top w:w="100" w:type="dxa"/>
              <w:start w:w="120" w:type="dxa"/>
              <w:bottom w:w="100" w:type="dxa"/>
              <w:end w:w="120" w:type="dxa"/>
            </w:tcMar>
          </w:tcPr>
          <w:p>
            <w:pPr>
              <w:jc w:val="center"/>
            </w:pPr>
            <w:r/>
            <w:r>
              <w:rPr>
                <w:rFonts w:ascii="Aptos" w:hAnsi="Aptos"/>
                <w:b w:val="0"/>
                <w:color w:val="1F2933"/>
                <w:sz w:val="17"/>
              </w:rPr>
              <w:t>Risk per share</w:t>
            </w:r>
          </w:p>
        </w:tc>
        <w:tc>
          <w:tcPr>
            <w:tcW w:type="dxa" w:w="4320"/>
            <w:vAlign w:val="center"/>
            <w:tcMar>
              <w:top w:w="100" w:type="dxa"/>
              <w:start w:w="120" w:type="dxa"/>
              <w:bottom w:w="100" w:type="dxa"/>
              <w:end w:w="120" w:type="dxa"/>
            </w:tcMar>
          </w:tcPr>
          <w:p>
            <w:pPr>
              <w:jc w:val="left"/>
            </w:pPr>
            <w:r/>
            <w:r>
              <w:rPr>
                <w:rFonts w:ascii="Aptos" w:hAnsi="Aptos"/>
                <w:b w:val="0"/>
                <w:color w:val="1F2933"/>
                <w:sz w:val="17"/>
              </w:rPr>
              <w:t>₹55</w:t>
            </w:r>
          </w:p>
        </w:tc>
      </w:tr>
      <w:tr>
        <w:tc>
          <w:tcPr>
            <w:tcW w:type="dxa" w:w="4320"/>
            <w:shd w:fill="F4F7FA"/>
            <w:vAlign w:val="center"/>
            <w:tcMar>
              <w:top w:w="100" w:type="dxa"/>
              <w:start w:w="120" w:type="dxa"/>
              <w:bottom w:w="100" w:type="dxa"/>
              <w:end w:w="120" w:type="dxa"/>
            </w:tcMar>
          </w:tcPr>
          <w:p>
            <w:pPr>
              <w:jc w:val="center"/>
            </w:pPr>
            <w:r/>
            <w:r>
              <w:rPr>
                <w:rFonts w:ascii="Aptos" w:hAnsi="Aptos"/>
                <w:b w:val="0"/>
                <w:color w:val="1F2933"/>
                <w:sz w:val="17"/>
              </w:rPr>
              <w:t>Highest target</w:t>
            </w:r>
          </w:p>
        </w:tc>
        <w:tc>
          <w:tcPr>
            <w:tcW w:type="dxa" w:w="4320"/>
            <w:shd w:fill="F4F7FA"/>
            <w:vAlign w:val="center"/>
            <w:tcMar>
              <w:top w:w="100" w:type="dxa"/>
              <w:start w:w="120" w:type="dxa"/>
              <w:bottom w:w="100" w:type="dxa"/>
              <w:end w:w="120" w:type="dxa"/>
            </w:tcMar>
          </w:tcPr>
          <w:p>
            <w:pPr>
              <w:jc w:val="left"/>
            </w:pPr>
            <w:r/>
            <w:r>
              <w:rPr>
                <w:rFonts w:ascii="Aptos" w:hAnsi="Aptos"/>
                <w:b w:val="0"/>
                <w:color w:val="1F2933"/>
                <w:sz w:val="17"/>
              </w:rPr>
              <w:t>₹1,350</w:t>
            </w:r>
          </w:p>
        </w:tc>
      </w:tr>
      <w:tr>
        <w:tc>
          <w:tcPr>
            <w:tcW w:type="dxa" w:w="4320"/>
            <w:vAlign w:val="center"/>
            <w:tcMar>
              <w:top w:w="100" w:type="dxa"/>
              <w:start w:w="120" w:type="dxa"/>
              <w:bottom w:w="100" w:type="dxa"/>
              <w:end w:w="120" w:type="dxa"/>
            </w:tcMar>
          </w:tcPr>
          <w:p>
            <w:pPr>
              <w:jc w:val="center"/>
            </w:pPr>
            <w:r/>
            <w:r>
              <w:rPr>
                <w:rFonts w:ascii="Aptos" w:hAnsi="Aptos"/>
                <w:b w:val="0"/>
                <w:color w:val="1F2933"/>
                <w:sz w:val="17"/>
              </w:rPr>
              <w:t>Reward</w:t>
            </w:r>
          </w:p>
        </w:tc>
        <w:tc>
          <w:tcPr>
            <w:tcW w:type="dxa" w:w="4320"/>
            <w:vAlign w:val="center"/>
            <w:tcMar>
              <w:top w:w="100" w:type="dxa"/>
              <w:start w:w="120" w:type="dxa"/>
              <w:bottom w:w="100" w:type="dxa"/>
              <w:end w:w="120" w:type="dxa"/>
            </w:tcMar>
          </w:tcPr>
          <w:p>
            <w:pPr>
              <w:jc w:val="left"/>
            </w:pPr>
            <w:r/>
            <w:r>
              <w:rPr>
                <w:rFonts w:ascii="Aptos" w:hAnsi="Aptos"/>
                <w:b w:val="0"/>
                <w:color w:val="1F2933"/>
                <w:sz w:val="17"/>
              </w:rPr>
              <w:t>₹105</w:t>
            </w:r>
          </w:p>
        </w:tc>
      </w:tr>
      <w:tr>
        <w:tc>
          <w:tcPr>
            <w:tcW w:type="dxa" w:w="4320"/>
            <w:shd w:fill="F4F7FA"/>
            <w:vAlign w:val="center"/>
            <w:tcMar>
              <w:top w:w="100" w:type="dxa"/>
              <w:start w:w="120" w:type="dxa"/>
              <w:bottom w:w="100" w:type="dxa"/>
              <w:end w:w="120" w:type="dxa"/>
            </w:tcMar>
          </w:tcPr>
          <w:p>
            <w:pPr>
              <w:jc w:val="center"/>
            </w:pPr>
            <w:r/>
            <w:r>
              <w:rPr>
                <w:rFonts w:ascii="Aptos" w:hAnsi="Aptos"/>
                <w:b w:val="0"/>
                <w:color w:val="1F2933"/>
                <w:sz w:val="17"/>
              </w:rPr>
              <w:t>Reward/risk</w:t>
            </w:r>
          </w:p>
        </w:tc>
        <w:tc>
          <w:tcPr>
            <w:tcW w:type="dxa" w:w="4320"/>
            <w:shd w:fill="F4F7FA"/>
            <w:vAlign w:val="center"/>
            <w:tcMar>
              <w:top w:w="100" w:type="dxa"/>
              <w:start w:w="120" w:type="dxa"/>
              <w:bottom w:w="100" w:type="dxa"/>
              <w:end w:w="120" w:type="dxa"/>
            </w:tcMar>
          </w:tcPr>
          <w:p>
            <w:pPr>
              <w:jc w:val="left"/>
            </w:pPr>
            <w:r/>
            <w:r>
              <w:rPr>
                <w:rFonts w:ascii="Aptos" w:hAnsi="Aptos"/>
                <w:b w:val="0"/>
                <w:color w:val="1F2933"/>
                <w:sz w:val="17"/>
              </w:rPr>
              <w:t>105 ÷ 55 = 1.91R</w:t>
            </w:r>
          </w:p>
        </w:tc>
      </w:tr>
    </w:tbl>
    <w:p>
      <w:pPr>
        <w:widowControl/>
        <w:spacing w:after="40"/>
      </w:pPr>
    </w:p>
    <w:p>
      <w:pPr>
        <w:pStyle w:val="Heading1"/>
        <w:widowControl/>
      </w:pPr>
      <w:r>
        <w:t>Points-from-entry example</w:t>
      </w:r>
    </w:p>
    <w:tbl>
      <w:tblPr>
        <w:tblStyle w:val="TableGrid"/>
        <w:tblW w:type="auto" w:w="0"/>
        <w:jc w:val="center"/>
        <w:tblLook w:firstColumn="1" w:firstRow="1" w:lastColumn="0" w:lastRow="0" w:noHBand="0" w:noVBand="1" w:val="04A0"/>
      </w:tblPr>
      <w:tblGrid>
        <w:gridCol w:w="5040"/>
        <w:gridCol w:w="5040"/>
      </w:tblGrid>
      <w:tr>
        <w:tc>
          <w:tcPr>
            <w:tcW w:type="dxa" w:w="4320"/>
            <w:shd w:fill="17365D"/>
            <w:vAlign w:val="center"/>
            <w:tcMar>
              <w:top w:w="100" w:type="dxa"/>
              <w:start w:w="120" w:type="dxa"/>
              <w:bottom w:w="100" w:type="dxa"/>
              <w:end w:w="120" w:type="dxa"/>
            </w:tcMar>
          </w:tcPr>
          <w:p>
            <w:pPr>
              <w:jc w:val="center"/>
            </w:pPr>
            <w:r/>
            <w:r>
              <w:rPr>
                <w:rFonts w:ascii="Aptos" w:hAnsi="Aptos"/>
                <w:b/>
                <w:color w:val="FFFFFF"/>
                <w:sz w:val="18"/>
              </w:rPr>
              <w:t>Input</w:t>
            </w:r>
          </w:p>
        </w:tc>
        <w:tc>
          <w:tcPr>
            <w:tcW w:type="dxa" w:w="4320"/>
            <w:shd w:fill="17365D"/>
            <w:vAlign w:val="center"/>
            <w:tcMar>
              <w:top w:w="100" w:type="dxa"/>
              <w:start w:w="120" w:type="dxa"/>
              <w:bottom w:w="100" w:type="dxa"/>
              <w:end w:w="120" w:type="dxa"/>
            </w:tcMar>
          </w:tcPr>
          <w:p>
            <w:pPr>
              <w:jc w:val="center"/>
            </w:pPr>
            <w:r/>
            <w:r>
              <w:rPr>
                <w:rFonts w:ascii="Aptos" w:hAnsi="Aptos"/>
                <w:b/>
                <w:color w:val="FFFFFF"/>
                <w:sz w:val="18"/>
              </w:rPr>
              <w:t>Value</w:t>
            </w:r>
          </w:p>
        </w:tc>
      </w:tr>
      <w:tr>
        <w:tc>
          <w:tcPr>
            <w:tcW w:type="dxa" w:w="4320"/>
            <w:vAlign w:val="center"/>
            <w:tcMar>
              <w:top w:w="100" w:type="dxa"/>
              <w:start w:w="120" w:type="dxa"/>
              <w:bottom w:w="100" w:type="dxa"/>
              <w:end w:w="120" w:type="dxa"/>
            </w:tcMar>
          </w:tcPr>
          <w:p>
            <w:pPr>
              <w:jc w:val="center"/>
            </w:pPr>
            <w:r/>
            <w:r>
              <w:rPr>
                <w:rFonts w:ascii="Aptos" w:hAnsi="Aptos"/>
                <w:b w:val="0"/>
                <w:color w:val="1F2933"/>
                <w:sz w:val="17"/>
              </w:rPr>
              <w:t>Breakout</w:t>
            </w:r>
          </w:p>
        </w:tc>
        <w:tc>
          <w:tcPr>
            <w:tcW w:type="dxa" w:w="4320"/>
            <w:vAlign w:val="center"/>
            <w:tcMar>
              <w:top w:w="100" w:type="dxa"/>
              <w:start w:w="120" w:type="dxa"/>
              <w:bottom w:w="100" w:type="dxa"/>
              <w:end w:w="120" w:type="dxa"/>
            </w:tcMar>
          </w:tcPr>
          <w:p>
            <w:pPr>
              <w:jc w:val="left"/>
            </w:pPr>
            <w:r/>
            <w:r>
              <w:rPr>
                <w:rFonts w:ascii="Aptos" w:hAnsi="Aptos"/>
                <w:b w:val="0"/>
                <w:color w:val="1F2933"/>
                <w:sz w:val="17"/>
              </w:rPr>
              <w:t>₹335</w:t>
            </w:r>
          </w:p>
        </w:tc>
      </w:tr>
      <w:tr>
        <w:tc>
          <w:tcPr>
            <w:tcW w:type="dxa" w:w="4320"/>
            <w:shd w:fill="F4F7FA"/>
            <w:vAlign w:val="center"/>
            <w:tcMar>
              <w:top w:w="100" w:type="dxa"/>
              <w:start w:w="120" w:type="dxa"/>
              <w:bottom w:w="100" w:type="dxa"/>
              <w:end w:w="120" w:type="dxa"/>
            </w:tcMar>
          </w:tcPr>
          <w:p>
            <w:pPr>
              <w:jc w:val="center"/>
            </w:pPr>
            <w:r/>
            <w:r>
              <w:rPr>
                <w:rFonts w:ascii="Aptos" w:hAnsi="Aptos"/>
                <w:b w:val="0"/>
                <w:color w:val="1F2933"/>
                <w:sz w:val="17"/>
              </w:rPr>
              <w:t>Targets in message</w:t>
            </w:r>
          </w:p>
        </w:tc>
        <w:tc>
          <w:tcPr>
            <w:tcW w:type="dxa" w:w="4320"/>
            <w:shd w:fill="F4F7FA"/>
            <w:vAlign w:val="center"/>
            <w:tcMar>
              <w:top w:w="100" w:type="dxa"/>
              <w:start w:w="120" w:type="dxa"/>
              <w:bottom w:w="100" w:type="dxa"/>
              <w:end w:w="120" w:type="dxa"/>
            </w:tcMar>
          </w:tcPr>
          <w:p>
            <w:pPr>
              <w:jc w:val="left"/>
            </w:pPr>
            <w:r/>
            <w:r>
              <w:rPr>
                <w:rFonts w:ascii="Aptos" w:hAnsi="Aptos"/>
                <w:b w:val="0"/>
                <w:color w:val="1F2933"/>
                <w:sz w:val="17"/>
              </w:rPr>
              <w:t>5, 10, 15, 20, 25, 30 points</w:t>
            </w:r>
          </w:p>
        </w:tc>
      </w:tr>
      <w:tr>
        <w:tc>
          <w:tcPr>
            <w:tcW w:type="dxa" w:w="4320"/>
            <w:vAlign w:val="center"/>
            <w:tcMar>
              <w:top w:w="100" w:type="dxa"/>
              <w:start w:w="120" w:type="dxa"/>
              <w:bottom w:w="100" w:type="dxa"/>
              <w:end w:w="120" w:type="dxa"/>
            </w:tcMar>
          </w:tcPr>
          <w:p>
            <w:pPr>
              <w:jc w:val="center"/>
            </w:pPr>
            <w:r/>
            <w:r>
              <w:rPr>
                <w:rFonts w:ascii="Aptos" w:hAnsi="Aptos"/>
                <w:b w:val="0"/>
                <w:color w:val="1F2933"/>
                <w:sz w:val="17"/>
              </w:rPr>
              <w:t>Converted targets</w:t>
            </w:r>
          </w:p>
        </w:tc>
        <w:tc>
          <w:tcPr>
            <w:tcW w:type="dxa" w:w="4320"/>
            <w:vAlign w:val="center"/>
            <w:tcMar>
              <w:top w:w="100" w:type="dxa"/>
              <w:start w:w="120" w:type="dxa"/>
              <w:bottom w:w="100" w:type="dxa"/>
              <w:end w:w="120" w:type="dxa"/>
            </w:tcMar>
          </w:tcPr>
          <w:p>
            <w:pPr>
              <w:jc w:val="left"/>
            </w:pPr>
            <w:r/>
            <w:r>
              <w:rPr>
                <w:rFonts w:ascii="Aptos" w:hAnsi="Aptos"/>
                <w:b w:val="0"/>
                <w:color w:val="1F2933"/>
                <w:sz w:val="17"/>
              </w:rPr>
              <w:t>₹340, ₹345, ₹350, ₹355, ₹360, ₹365</w:t>
            </w:r>
          </w:p>
        </w:tc>
      </w:tr>
      <w:tr>
        <w:tc>
          <w:tcPr>
            <w:tcW w:type="dxa" w:w="4320"/>
            <w:shd w:fill="F4F7FA"/>
            <w:vAlign w:val="center"/>
            <w:tcMar>
              <w:top w:w="100" w:type="dxa"/>
              <w:start w:w="120" w:type="dxa"/>
              <w:bottom w:w="100" w:type="dxa"/>
              <w:end w:w="120" w:type="dxa"/>
            </w:tcMar>
          </w:tcPr>
          <w:p>
            <w:pPr>
              <w:jc w:val="center"/>
            </w:pPr>
            <w:r/>
            <w:r>
              <w:rPr>
                <w:rFonts w:ascii="Aptos" w:hAnsi="Aptos"/>
                <w:b w:val="0"/>
                <w:color w:val="1F2933"/>
                <w:sz w:val="17"/>
              </w:rPr>
              <w:t>Stop loss</w:t>
            </w:r>
          </w:p>
        </w:tc>
        <w:tc>
          <w:tcPr>
            <w:tcW w:type="dxa" w:w="4320"/>
            <w:shd w:fill="F4F7FA"/>
            <w:vAlign w:val="center"/>
            <w:tcMar>
              <w:top w:w="100" w:type="dxa"/>
              <w:start w:w="120" w:type="dxa"/>
              <w:bottom w:w="100" w:type="dxa"/>
              <w:end w:w="120" w:type="dxa"/>
            </w:tcMar>
          </w:tcPr>
          <w:p>
            <w:pPr>
              <w:jc w:val="left"/>
            </w:pPr>
            <w:r/>
            <w:r>
              <w:rPr>
                <w:rFonts w:ascii="Aptos" w:hAnsi="Aptos"/>
                <w:b w:val="0"/>
                <w:color w:val="1F2933"/>
                <w:sz w:val="17"/>
              </w:rPr>
              <w:t>₹325</w:t>
            </w:r>
          </w:p>
        </w:tc>
      </w:tr>
      <w:tr>
        <w:tc>
          <w:tcPr>
            <w:tcW w:type="dxa" w:w="4320"/>
            <w:vAlign w:val="center"/>
            <w:tcMar>
              <w:top w:w="100" w:type="dxa"/>
              <w:start w:w="120" w:type="dxa"/>
              <w:bottom w:w="100" w:type="dxa"/>
              <w:end w:w="120" w:type="dxa"/>
            </w:tcMar>
          </w:tcPr>
          <w:p>
            <w:pPr>
              <w:jc w:val="center"/>
            </w:pPr>
            <w:r/>
            <w:r>
              <w:rPr>
                <w:rFonts w:ascii="Aptos" w:hAnsi="Aptos"/>
                <w:b w:val="0"/>
                <w:color w:val="1F2933"/>
                <w:sz w:val="17"/>
              </w:rPr>
              <w:t>Risk per share</w:t>
            </w:r>
          </w:p>
        </w:tc>
        <w:tc>
          <w:tcPr>
            <w:tcW w:type="dxa" w:w="4320"/>
            <w:vAlign w:val="center"/>
            <w:tcMar>
              <w:top w:w="100" w:type="dxa"/>
              <w:start w:w="120" w:type="dxa"/>
              <w:bottom w:w="100" w:type="dxa"/>
              <w:end w:w="120" w:type="dxa"/>
            </w:tcMar>
          </w:tcPr>
          <w:p>
            <w:pPr>
              <w:jc w:val="left"/>
            </w:pPr>
            <w:r/>
            <w:r>
              <w:rPr>
                <w:rFonts w:ascii="Aptos" w:hAnsi="Aptos"/>
                <w:b w:val="0"/>
                <w:color w:val="1F2933"/>
                <w:sz w:val="17"/>
              </w:rPr>
              <w:t>₹10</w:t>
            </w:r>
          </w:p>
        </w:tc>
      </w:tr>
      <w:tr>
        <w:tc>
          <w:tcPr>
            <w:tcW w:type="dxa" w:w="4320"/>
            <w:shd w:fill="F4F7FA"/>
            <w:vAlign w:val="center"/>
            <w:tcMar>
              <w:top w:w="100" w:type="dxa"/>
              <w:start w:w="120" w:type="dxa"/>
              <w:bottom w:w="100" w:type="dxa"/>
              <w:end w:w="120" w:type="dxa"/>
            </w:tcMar>
          </w:tcPr>
          <w:p>
            <w:pPr>
              <w:jc w:val="center"/>
            </w:pPr>
            <w:r/>
            <w:r>
              <w:rPr>
                <w:rFonts w:ascii="Aptos" w:hAnsi="Aptos"/>
                <w:b w:val="0"/>
                <w:color w:val="1F2933"/>
                <w:sz w:val="17"/>
              </w:rPr>
              <w:t>Maximum reward</w:t>
            </w:r>
          </w:p>
        </w:tc>
        <w:tc>
          <w:tcPr>
            <w:tcW w:type="dxa" w:w="4320"/>
            <w:shd w:fill="F4F7FA"/>
            <w:vAlign w:val="center"/>
            <w:tcMar>
              <w:top w:w="100" w:type="dxa"/>
              <w:start w:w="120" w:type="dxa"/>
              <w:bottom w:w="100" w:type="dxa"/>
              <w:end w:w="120" w:type="dxa"/>
            </w:tcMar>
          </w:tcPr>
          <w:p>
            <w:pPr>
              <w:jc w:val="left"/>
            </w:pPr>
            <w:r/>
            <w:r>
              <w:rPr>
                <w:rFonts w:ascii="Aptos" w:hAnsi="Aptos"/>
                <w:b w:val="0"/>
                <w:color w:val="1F2933"/>
                <w:sz w:val="17"/>
              </w:rPr>
              <w:t>₹30</w:t>
            </w:r>
          </w:p>
        </w:tc>
      </w:tr>
      <w:tr>
        <w:tc>
          <w:tcPr>
            <w:tcW w:type="dxa" w:w="4320"/>
            <w:vAlign w:val="center"/>
            <w:tcMar>
              <w:top w:w="100" w:type="dxa"/>
              <w:start w:w="120" w:type="dxa"/>
              <w:bottom w:w="100" w:type="dxa"/>
              <w:end w:w="120" w:type="dxa"/>
            </w:tcMar>
          </w:tcPr>
          <w:p>
            <w:pPr>
              <w:jc w:val="center"/>
            </w:pPr>
            <w:r/>
            <w:r>
              <w:rPr>
                <w:rFonts w:ascii="Aptos" w:hAnsi="Aptos"/>
                <w:b w:val="0"/>
                <w:color w:val="1F2933"/>
                <w:sz w:val="17"/>
              </w:rPr>
              <w:t>Reward/risk</w:t>
            </w:r>
          </w:p>
        </w:tc>
        <w:tc>
          <w:tcPr>
            <w:tcW w:type="dxa" w:w="4320"/>
            <w:vAlign w:val="center"/>
            <w:tcMar>
              <w:top w:w="100" w:type="dxa"/>
              <w:start w:w="120" w:type="dxa"/>
              <w:bottom w:w="100" w:type="dxa"/>
              <w:end w:w="120" w:type="dxa"/>
            </w:tcMar>
          </w:tcPr>
          <w:p>
            <w:pPr>
              <w:jc w:val="left"/>
            </w:pPr>
            <w:r/>
            <w:r>
              <w:rPr>
                <w:rFonts w:ascii="Aptos" w:hAnsi="Aptos"/>
                <w:b w:val="0"/>
                <w:color w:val="1F2933"/>
                <w:sz w:val="17"/>
              </w:rPr>
              <w:t>30 ÷ 10 = 3.0R</w:t>
            </w:r>
          </w:p>
        </w:tc>
      </w:tr>
    </w:tbl>
    <w:p>
      <w:pPr>
        <w:widowControl/>
        <w:spacing w:after="40"/>
      </w:pPr>
    </w:p>
    <w:tbl>
      <w:tblPr>
        <w:tblW w:type="auto" w:w="0"/>
        <w:jc w:val="center"/>
        <w:tblLook w:firstColumn="1" w:firstRow="1" w:lastColumn="0" w:lastRow="0" w:noHBand="0" w:noVBand="1" w:val="04A0"/>
      </w:tblPr>
      <w:tblGrid>
        <w:gridCol w:w="10080"/>
      </w:tblGrid>
      <w:tr>
        <w:tc>
          <w:tcPr>
            <w:tcW w:type="dxa" w:w="10080"/>
            <w:shd w:fill="FCE4D6"/>
            <w:tcMar>
              <w:top w:w="160" w:type="dxa"/>
              <w:start w:w="180" w:type="dxa"/>
              <w:bottom w:w="160" w:type="dxa"/>
              <w:end w:w="180" w:type="dxa"/>
            </w:tcMar>
          </w:tcPr>
          <w:p>
            <w:r/>
            <w:r>
              <w:rPr>
                <w:b/>
                <w:color w:val="17365D"/>
                <w:sz w:val="20"/>
              </w:rPr>
              <w:t>Validation rule</w:t>
              <w:br/>
            </w:r>
            <w:r>
              <w:rPr>
                <w:color w:val="273444"/>
                <w:sz w:val="19"/>
              </w:rPr>
              <w:t>For a long trade, the stop must be below the breakout. If risk is zero or negative, the engine reports an invalid stop loss.</w:t>
            </w:r>
          </w:p>
        </w:tc>
      </w:tr>
    </w:tbl>
    <w:p>
      <w:pPr>
        <w:widowControl/>
        <w:spacing w:after="40"/>
      </w:pPr>
    </w:p>
    <w:p>
      <w:pPr>
        <w:pStyle w:val="Title"/>
        <w:widowControl/>
      </w:pPr>
      <w:r>
        <w:t>7. ATR and Capital-Aware Position Sizing</w:t>
      </w:r>
    </w:p>
    <w:p>
      <w:pPr>
        <w:widowControl/>
      </w:pPr>
      <w:r>
        <w:t>Position size is constrained by both the maximum permitted loss and the capital available. The final quantity is the smaller of the two limits.</w:t>
      </w:r>
    </w:p>
    <w:p>
      <w:pPr>
        <w:pStyle w:val="Heading1"/>
        <w:widowControl/>
      </w:pPr>
      <w:r>
        <w:t>Configured risk</w:t>
      </w:r>
    </w:p>
    <w:tbl>
      <w:tblPr>
        <w:tblW w:type="auto" w:w="0"/>
        <w:tblLook w:firstColumn="1" w:firstRow="1" w:lastColumn="0" w:lastRow="0" w:noHBand="0" w:noVBand="1" w:val="04A0"/>
      </w:tblPr>
      <w:tblGrid>
        <w:gridCol w:w="10080"/>
      </w:tblGrid>
      <w:tr>
        <w:tc>
          <w:tcPr>
            <w:tcW w:type="dxa" w:w="10080"/>
            <w:shd w:fill="F2F2F2"/>
            <w:tcMar>
              <w:top w:w="140" w:type="dxa"/>
              <w:start w:w="160" w:type="dxa"/>
              <w:bottom w:w="140" w:type="dxa"/>
              <w:end w:w="160" w:type="dxa"/>
            </w:tcMar>
          </w:tcPr>
          <w:p>
            <w:pPr>
              <w:spacing w:after="0"/>
            </w:pPr>
            <w:r/>
            <w:r>
              <w:rPr>
                <w:rFonts w:ascii="Consolas" w:hAnsi="Consolas"/>
                <w:color w:val="202124"/>
                <w:sz w:val="17"/>
              </w:rPr>
              <w:t>Capital = parsed message value, default ₹50,000</w:t>
              <w:br/>
              <w:t>Risk per trade = 1%</w:t>
              <w:br/>
              <w:t>Maximum risk amount = Capital × 1%</w:t>
            </w:r>
          </w:p>
        </w:tc>
      </w:tr>
    </w:tbl>
    <w:p>
      <w:pPr>
        <w:widowControl/>
        <w:spacing w:after="20"/>
      </w:pPr>
    </w:p>
    <w:p>
      <w:pPr>
        <w:pStyle w:val="Heading1"/>
        <w:widowControl/>
      </w:pPr>
      <w:r>
        <w:t>Quantity formulas</w:t>
      </w:r>
    </w:p>
    <w:tbl>
      <w:tblPr>
        <w:tblW w:type="auto" w:w="0"/>
        <w:tblLook w:firstColumn="1" w:firstRow="1" w:lastColumn="0" w:lastRow="0" w:noHBand="0" w:noVBand="1" w:val="04A0"/>
      </w:tblPr>
      <w:tblGrid>
        <w:gridCol w:w="10080"/>
      </w:tblGrid>
      <w:tr>
        <w:tc>
          <w:tcPr>
            <w:tcW w:type="dxa" w:w="10080"/>
            <w:shd w:fill="F2F2F2"/>
            <w:tcMar>
              <w:top w:w="140" w:type="dxa"/>
              <w:start w:w="160" w:type="dxa"/>
              <w:bottom w:w="140" w:type="dxa"/>
              <w:end w:w="160" w:type="dxa"/>
            </w:tcMar>
          </w:tcPr>
          <w:p>
            <w:pPr>
              <w:spacing w:after="0"/>
            </w:pPr>
            <w:r/>
            <w:r>
              <w:rPr>
                <w:rFonts w:ascii="Consolas" w:hAnsi="Consolas"/>
                <w:color w:val="202124"/>
                <w:sz w:val="17"/>
              </w:rPr>
              <w:t>Risk per share = |Breakout − Stop loss|</w:t>
              <w:br/>
              <w:t>Qty by risk = floor(Maximum risk amount ÷ Risk per share)</w:t>
              <w:br/>
              <w:t>Qty by capital = floor(Capital ÷ Breakout)</w:t>
              <w:br/>
              <w:t>Suggested quantity = min(Qty by risk, Qty by capital)</w:t>
              <w:br/>
              <w:t>Position value = Suggested quantity × Breakout</w:t>
            </w:r>
          </w:p>
        </w:tc>
      </w:tr>
    </w:tbl>
    <w:p>
      <w:pPr>
        <w:widowControl/>
        <w:spacing w:after="20"/>
      </w:pPr>
    </w:p>
    <w:p>
      <w:pPr>
        <w:pStyle w:val="Heading1"/>
        <w:widowControl/>
      </w:pPr>
      <w:r>
        <w:t>Worked example: SUZLON-style signal</w:t>
      </w:r>
    </w:p>
    <w:tbl>
      <w:tblPr>
        <w:tblStyle w:val="TableGrid"/>
        <w:tblW w:type="auto" w:w="0"/>
        <w:jc w:val="center"/>
        <w:tblLook w:firstColumn="1" w:firstRow="1" w:lastColumn="0" w:lastRow="0" w:noHBand="0" w:noVBand="1" w:val="04A0"/>
      </w:tblPr>
      <w:tblGrid>
        <w:gridCol w:w="5040"/>
        <w:gridCol w:w="5040"/>
      </w:tblGrid>
      <w:tr>
        <w:tc>
          <w:tcPr>
            <w:tcW w:type="dxa" w:w="4752"/>
            <w:shd w:fill="17365D"/>
            <w:vAlign w:val="center"/>
            <w:tcMar>
              <w:top w:w="100" w:type="dxa"/>
              <w:start w:w="120" w:type="dxa"/>
              <w:bottom w:w="100" w:type="dxa"/>
              <w:end w:w="120" w:type="dxa"/>
            </w:tcMar>
          </w:tcPr>
          <w:p>
            <w:pPr>
              <w:jc w:val="center"/>
            </w:pPr>
            <w:r/>
            <w:r>
              <w:rPr>
                <w:rFonts w:ascii="Aptos" w:hAnsi="Aptos"/>
                <w:b/>
                <w:color w:val="FFFFFF"/>
                <w:sz w:val="18"/>
              </w:rPr>
              <w:t>Calculation</w:t>
            </w:r>
          </w:p>
        </w:tc>
        <w:tc>
          <w:tcPr>
            <w:tcW w:type="dxa" w:w="3888"/>
            <w:shd w:fill="17365D"/>
            <w:vAlign w:val="center"/>
            <w:tcMar>
              <w:top w:w="100" w:type="dxa"/>
              <w:start w:w="120" w:type="dxa"/>
              <w:bottom w:w="100" w:type="dxa"/>
              <w:end w:w="120" w:type="dxa"/>
            </w:tcMar>
          </w:tcPr>
          <w:p>
            <w:pPr>
              <w:jc w:val="center"/>
            </w:pPr>
            <w:r/>
            <w:r>
              <w:rPr>
                <w:rFonts w:ascii="Aptos" w:hAnsi="Aptos"/>
                <w:b/>
                <w:color w:val="FFFFFF"/>
                <w:sz w:val="18"/>
              </w:rPr>
              <w:t>Result</w:t>
            </w:r>
          </w:p>
        </w:tc>
      </w:tr>
      <w:tr>
        <w:tc>
          <w:tcPr>
            <w:tcW w:type="dxa" w:w="4752"/>
            <w:vAlign w:val="center"/>
            <w:tcMar>
              <w:top w:w="100" w:type="dxa"/>
              <w:start w:w="120" w:type="dxa"/>
              <w:bottom w:w="100" w:type="dxa"/>
              <w:end w:w="120" w:type="dxa"/>
            </w:tcMar>
          </w:tcPr>
          <w:p>
            <w:pPr>
              <w:jc w:val="center"/>
            </w:pPr>
            <w:r/>
            <w:r>
              <w:rPr>
                <w:rFonts w:ascii="Aptos" w:hAnsi="Aptos"/>
                <w:b w:val="0"/>
                <w:color w:val="1F2933"/>
                <w:sz w:val="17"/>
              </w:rPr>
              <w:t>Capital</w:t>
            </w:r>
          </w:p>
        </w:tc>
        <w:tc>
          <w:tcPr>
            <w:tcW w:type="dxa" w:w="3888"/>
            <w:vAlign w:val="center"/>
            <w:tcMar>
              <w:top w:w="100" w:type="dxa"/>
              <w:start w:w="120" w:type="dxa"/>
              <w:bottom w:w="100" w:type="dxa"/>
              <w:end w:w="120" w:type="dxa"/>
            </w:tcMar>
          </w:tcPr>
          <w:p>
            <w:pPr>
              <w:jc w:val="left"/>
            </w:pPr>
            <w:r/>
            <w:r>
              <w:rPr>
                <w:rFonts w:ascii="Aptos" w:hAnsi="Aptos"/>
                <w:b w:val="0"/>
                <w:color w:val="1F2933"/>
                <w:sz w:val="17"/>
              </w:rPr>
              <w:t>₹50,000</w:t>
            </w:r>
          </w:p>
        </w:tc>
      </w:tr>
      <w:tr>
        <w:tc>
          <w:tcPr>
            <w:tcW w:type="dxa" w:w="4752"/>
            <w:shd w:fill="F4F7FA"/>
            <w:vAlign w:val="center"/>
            <w:tcMar>
              <w:top w:w="100" w:type="dxa"/>
              <w:start w:w="120" w:type="dxa"/>
              <w:bottom w:w="100" w:type="dxa"/>
              <w:end w:w="120" w:type="dxa"/>
            </w:tcMar>
          </w:tcPr>
          <w:p>
            <w:pPr>
              <w:jc w:val="center"/>
            </w:pPr>
            <w:r/>
            <w:r>
              <w:rPr>
                <w:rFonts w:ascii="Aptos" w:hAnsi="Aptos"/>
                <w:b w:val="0"/>
                <w:color w:val="1F2933"/>
                <w:sz w:val="17"/>
              </w:rPr>
              <w:t>Risk per trade</w:t>
            </w:r>
          </w:p>
        </w:tc>
        <w:tc>
          <w:tcPr>
            <w:tcW w:type="dxa" w:w="3888"/>
            <w:shd w:fill="F4F7FA"/>
            <w:vAlign w:val="center"/>
            <w:tcMar>
              <w:top w:w="100" w:type="dxa"/>
              <w:start w:w="120" w:type="dxa"/>
              <w:bottom w:w="100" w:type="dxa"/>
              <w:end w:w="120" w:type="dxa"/>
            </w:tcMar>
          </w:tcPr>
          <w:p>
            <w:pPr>
              <w:jc w:val="left"/>
            </w:pPr>
            <w:r/>
            <w:r>
              <w:rPr>
                <w:rFonts w:ascii="Aptos" w:hAnsi="Aptos"/>
                <w:b w:val="0"/>
                <w:color w:val="1F2933"/>
                <w:sz w:val="17"/>
              </w:rPr>
              <w:t>1%</w:t>
            </w:r>
          </w:p>
        </w:tc>
      </w:tr>
      <w:tr>
        <w:tc>
          <w:tcPr>
            <w:tcW w:type="dxa" w:w="4752"/>
            <w:vAlign w:val="center"/>
            <w:tcMar>
              <w:top w:w="100" w:type="dxa"/>
              <w:start w:w="120" w:type="dxa"/>
              <w:bottom w:w="100" w:type="dxa"/>
              <w:end w:w="120" w:type="dxa"/>
            </w:tcMar>
          </w:tcPr>
          <w:p>
            <w:pPr>
              <w:jc w:val="center"/>
            </w:pPr>
            <w:r/>
            <w:r>
              <w:rPr>
                <w:rFonts w:ascii="Aptos" w:hAnsi="Aptos"/>
                <w:b w:val="0"/>
                <w:color w:val="1F2933"/>
                <w:sz w:val="17"/>
              </w:rPr>
              <w:t>Maximum risk</w:t>
            </w:r>
          </w:p>
        </w:tc>
        <w:tc>
          <w:tcPr>
            <w:tcW w:type="dxa" w:w="3888"/>
            <w:vAlign w:val="center"/>
            <w:tcMar>
              <w:top w:w="100" w:type="dxa"/>
              <w:start w:w="120" w:type="dxa"/>
              <w:bottom w:w="100" w:type="dxa"/>
              <w:end w:w="120" w:type="dxa"/>
            </w:tcMar>
          </w:tcPr>
          <w:p>
            <w:pPr>
              <w:jc w:val="left"/>
            </w:pPr>
            <w:r/>
            <w:r>
              <w:rPr>
                <w:rFonts w:ascii="Aptos" w:hAnsi="Aptos"/>
                <w:b w:val="0"/>
                <w:color w:val="1F2933"/>
                <w:sz w:val="17"/>
              </w:rPr>
              <w:t>₹500</w:t>
            </w:r>
          </w:p>
        </w:tc>
      </w:tr>
      <w:tr>
        <w:tc>
          <w:tcPr>
            <w:tcW w:type="dxa" w:w="4752"/>
            <w:shd w:fill="F4F7FA"/>
            <w:vAlign w:val="center"/>
            <w:tcMar>
              <w:top w:w="100" w:type="dxa"/>
              <w:start w:w="120" w:type="dxa"/>
              <w:bottom w:w="100" w:type="dxa"/>
              <w:end w:w="120" w:type="dxa"/>
            </w:tcMar>
          </w:tcPr>
          <w:p>
            <w:pPr>
              <w:jc w:val="center"/>
            </w:pPr>
            <w:r/>
            <w:r>
              <w:rPr>
                <w:rFonts w:ascii="Aptos" w:hAnsi="Aptos"/>
                <w:b w:val="0"/>
                <w:color w:val="1F2933"/>
                <w:sz w:val="17"/>
              </w:rPr>
              <w:t>Breakout / entry</w:t>
            </w:r>
          </w:p>
        </w:tc>
        <w:tc>
          <w:tcPr>
            <w:tcW w:type="dxa" w:w="3888"/>
            <w:shd w:fill="F4F7FA"/>
            <w:vAlign w:val="center"/>
            <w:tcMar>
              <w:top w:w="100" w:type="dxa"/>
              <w:start w:w="120" w:type="dxa"/>
              <w:bottom w:w="100" w:type="dxa"/>
              <w:end w:w="120" w:type="dxa"/>
            </w:tcMar>
          </w:tcPr>
          <w:p>
            <w:pPr>
              <w:jc w:val="left"/>
            </w:pPr>
            <w:r/>
            <w:r>
              <w:rPr>
                <w:rFonts w:ascii="Aptos" w:hAnsi="Aptos"/>
                <w:b w:val="0"/>
                <w:color w:val="1F2933"/>
                <w:sz w:val="17"/>
              </w:rPr>
              <w:t>₹71</w:t>
            </w:r>
          </w:p>
        </w:tc>
      </w:tr>
      <w:tr>
        <w:tc>
          <w:tcPr>
            <w:tcW w:type="dxa" w:w="4752"/>
            <w:vAlign w:val="center"/>
            <w:tcMar>
              <w:top w:w="100" w:type="dxa"/>
              <w:start w:w="120" w:type="dxa"/>
              <w:bottom w:w="100" w:type="dxa"/>
              <w:end w:w="120" w:type="dxa"/>
            </w:tcMar>
          </w:tcPr>
          <w:p>
            <w:pPr>
              <w:jc w:val="center"/>
            </w:pPr>
            <w:r/>
            <w:r>
              <w:rPr>
                <w:rFonts w:ascii="Aptos" w:hAnsi="Aptos"/>
                <w:b w:val="0"/>
                <w:color w:val="1F2933"/>
                <w:sz w:val="17"/>
              </w:rPr>
              <w:t>Stop loss</w:t>
            </w:r>
          </w:p>
        </w:tc>
        <w:tc>
          <w:tcPr>
            <w:tcW w:type="dxa" w:w="3888"/>
            <w:vAlign w:val="center"/>
            <w:tcMar>
              <w:top w:w="100" w:type="dxa"/>
              <w:start w:w="120" w:type="dxa"/>
              <w:bottom w:w="100" w:type="dxa"/>
              <w:end w:w="120" w:type="dxa"/>
            </w:tcMar>
          </w:tcPr>
          <w:p>
            <w:pPr>
              <w:jc w:val="left"/>
            </w:pPr>
            <w:r/>
            <w:r>
              <w:rPr>
                <w:rFonts w:ascii="Aptos" w:hAnsi="Aptos"/>
                <w:b w:val="0"/>
                <w:color w:val="1F2933"/>
                <w:sz w:val="17"/>
              </w:rPr>
              <w:t>₹65</w:t>
            </w:r>
          </w:p>
        </w:tc>
      </w:tr>
      <w:tr>
        <w:tc>
          <w:tcPr>
            <w:tcW w:type="dxa" w:w="4752"/>
            <w:shd w:fill="F4F7FA"/>
            <w:vAlign w:val="center"/>
            <w:tcMar>
              <w:top w:w="100" w:type="dxa"/>
              <w:start w:w="120" w:type="dxa"/>
              <w:bottom w:w="100" w:type="dxa"/>
              <w:end w:w="120" w:type="dxa"/>
            </w:tcMar>
          </w:tcPr>
          <w:p>
            <w:pPr>
              <w:jc w:val="center"/>
            </w:pPr>
            <w:r/>
            <w:r>
              <w:rPr>
                <w:rFonts w:ascii="Aptos" w:hAnsi="Aptos"/>
                <w:b w:val="0"/>
                <w:color w:val="1F2933"/>
                <w:sz w:val="17"/>
              </w:rPr>
              <w:t>Risk per share</w:t>
            </w:r>
          </w:p>
        </w:tc>
        <w:tc>
          <w:tcPr>
            <w:tcW w:type="dxa" w:w="3888"/>
            <w:shd w:fill="F4F7FA"/>
            <w:vAlign w:val="center"/>
            <w:tcMar>
              <w:top w:w="100" w:type="dxa"/>
              <w:start w:w="120" w:type="dxa"/>
              <w:bottom w:w="100" w:type="dxa"/>
              <w:end w:w="120" w:type="dxa"/>
            </w:tcMar>
          </w:tcPr>
          <w:p>
            <w:pPr>
              <w:jc w:val="left"/>
            </w:pPr>
            <w:r/>
            <w:r>
              <w:rPr>
                <w:rFonts w:ascii="Aptos" w:hAnsi="Aptos"/>
                <w:b w:val="0"/>
                <w:color w:val="1F2933"/>
                <w:sz w:val="17"/>
              </w:rPr>
              <w:t>₹6</w:t>
            </w:r>
          </w:p>
        </w:tc>
      </w:tr>
      <w:tr>
        <w:tc>
          <w:tcPr>
            <w:tcW w:type="dxa" w:w="4752"/>
            <w:vAlign w:val="center"/>
            <w:tcMar>
              <w:top w:w="100" w:type="dxa"/>
              <w:start w:w="120" w:type="dxa"/>
              <w:bottom w:w="100" w:type="dxa"/>
              <w:end w:w="120" w:type="dxa"/>
            </w:tcMar>
          </w:tcPr>
          <w:p>
            <w:pPr>
              <w:jc w:val="center"/>
            </w:pPr>
            <w:r/>
            <w:r>
              <w:rPr>
                <w:rFonts w:ascii="Aptos" w:hAnsi="Aptos"/>
                <w:b w:val="0"/>
                <w:color w:val="1F2933"/>
                <w:sz w:val="17"/>
              </w:rPr>
              <w:t>Qty by risk</w:t>
            </w:r>
          </w:p>
        </w:tc>
        <w:tc>
          <w:tcPr>
            <w:tcW w:type="dxa" w:w="3888"/>
            <w:vAlign w:val="center"/>
            <w:tcMar>
              <w:top w:w="100" w:type="dxa"/>
              <w:start w:w="120" w:type="dxa"/>
              <w:bottom w:w="100" w:type="dxa"/>
              <w:end w:w="120" w:type="dxa"/>
            </w:tcMar>
          </w:tcPr>
          <w:p>
            <w:pPr>
              <w:jc w:val="left"/>
            </w:pPr>
            <w:r/>
            <w:r>
              <w:rPr>
                <w:rFonts w:ascii="Aptos" w:hAnsi="Aptos"/>
                <w:b w:val="0"/>
                <w:color w:val="1F2933"/>
                <w:sz w:val="17"/>
              </w:rPr>
              <w:t>floor(500 ÷ 6) = 83</w:t>
            </w:r>
          </w:p>
        </w:tc>
      </w:tr>
      <w:tr>
        <w:tc>
          <w:tcPr>
            <w:tcW w:type="dxa" w:w="4752"/>
            <w:shd w:fill="F4F7FA"/>
            <w:vAlign w:val="center"/>
            <w:tcMar>
              <w:top w:w="100" w:type="dxa"/>
              <w:start w:w="120" w:type="dxa"/>
              <w:bottom w:w="100" w:type="dxa"/>
              <w:end w:w="120" w:type="dxa"/>
            </w:tcMar>
          </w:tcPr>
          <w:p>
            <w:pPr>
              <w:jc w:val="center"/>
            </w:pPr>
            <w:r/>
            <w:r>
              <w:rPr>
                <w:rFonts w:ascii="Aptos" w:hAnsi="Aptos"/>
                <w:b w:val="0"/>
                <w:color w:val="1F2933"/>
                <w:sz w:val="17"/>
              </w:rPr>
              <w:t>Qty by capital</w:t>
            </w:r>
          </w:p>
        </w:tc>
        <w:tc>
          <w:tcPr>
            <w:tcW w:type="dxa" w:w="3888"/>
            <w:shd w:fill="F4F7FA"/>
            <w:vAlign w:val="center"/>
            <w:tcMar>
              <w:top w:w="100" w:type="dxa"/>
              <w:start w:w="120" w:type="dxa"/>
              <w:bottom w:w="100" w:type="dxa"/>
              <w:end w:w="120" w:type="dxa"/>
            </w:tcMar>
          </w:tcPr>
          <w:p>
            <w:pPr>
              <w:jc w:val="left"/>
            </w:pPr>
            <w:r/>
            <w:r>
              <w:rPr>
                <w:rFonts w:ascii="Aptos" w:hAnsi="Aptos"/>
                <w:b w:val="0"/>
                <w:color w:val="1F2933"/>
                <w:sz w:val="17"/>
              </w:rPr>
              <w:t>floor(50,000 ÷ 71) = 704</w:t>
            </w:r>
          </w:p>
        </w:tc>
      </w:tr>
      <w:tr>
        <w:tc>
          <w:tcPr>
            <w:tcW w:type="dxa" w:w="4752"/>
            <w:vAlign w:val="center"/>
            <w:tcMar>
              <w:top w:w="100" w:type="dxa"/>
              <w:start w:w="120" w:type="dxa"/>
              <w:bottom w:w="100" w:type="dxa"/>
              <w:end w:w="120" w:type="dxa"/>
            </w:tcMar>
          </w:tcPr>
          <w:p>
            <w:pPr>
              <w:jc w:val="center"/>
            </w:pPr>
            <w:r/>
            <w:r>
              <w:rPr>
                <w:rFonts w:ascii="Aptos" w:hAnsi="Aptos"/>
                <w:b w:val="0"/>
                <w:color w:val="1F2933"/>
                <w:sz w:val="17"/>
              </w:rPr>
              <w:t>Suggested quantity</w:t>
            </w:r>
          </w:p>
        </w:tc>
        <w:tc>
          <w:tcPr>
            <w:tcW w:type="dxa" w:w="3888"/>
            <w:vAlign w:val="center"/>
            <w:tcMar>
              <w:top w:w="100" w:type="dxa"/>
              <w:start w:w="120" w:type="dxa"/>
              <w:bottom w:w="100" w:type="dxa"/>
              <w:end w:w="120" w:type="dxa"/>
            </w:tcMar>
          </w:tcPr>
          <w:p>
            <w:pPr>
              <w:jc w:val="left"/>
            </w:pPr>
            <w:r/>
            <w:r>
              <w:rPr>
                <w:rFonts w:ascii="Aptos" w:hAnsi="Aptos"/>
                <w:b w:val="0"/>
                <w:color w:val="1F2933"/>
                <w:sz w:val="17"/>
              </w:rPr>
              <w:t>min(83, 704) = 83</w:t>
            </w:r>
          </w:p>
        </w:tc>
      </w:tr>
      <w:tr>
        <w:tc>
          <w:tcPr>
            <w:tcW w:type="dxa" w:w="4752"/>
            <w:shd w:fill="F4F7FA"/>
            <w:vAlign w:val="center"/>
            <w:tcMar>
              <w:top w:w="100" w:type="dxa"/>
              <w:start w:w="120" w:type="dxa"/>
              <w:bottom w:w="100" w:type="dxa"/>
              <w:end w:w="120" w:type="dxa"/>
            </w:tcMar>
          </w:tcPr>
          <w:p>
            <w:pPr>
              <w:jc w:val="center"/>
            </w:pPr>
            <w:r/>
            <w:r>
              <w:rPr>
                <w:rFonts w:ascii="Aptos" w:hAnsi="Aptos"/>
                <w:b w:val="0"/>
                <w:color w:val="1F2933"/>
                <w:sz w:val="17"/>
              </w:rPr>
              <w:t>Position value</w:t>
            </w:r>
          </w:p>
        </w:tc>
        <w:tc>
          <w:tcPr>
            <w:tcW w:type="dxa" w:w="3888"/>
            <w:shd w:fill="F4F7FA"/>
            <w:vAlign w:val="center"/>
            <w:tcMar>
              <w:top w:w="100" w:type="dxa"/>
              <w:start w:w="120" w:type="dxa"/>
              <w:bottom w:w="100" w:type="dxa"/>
              <w:end w:w="120" w:type="dxa"/>
            </w:tcMar>
          </w:tcPr>
          <w:p>
            <w:pPr>
              <w:jc w:val="left"/>
            </w:pPr>
            <w:r/>
            <w:r>
              <w:rPr>
                <w:rFonts w:ascii="Aptos" w:hAnsi="Aptos"/>
                <w:b w:val="0"/>
                <w:color w:val="1F2933"/>
                <w:sz w:val="17"/>
              </w:rPr>
              <w:t>83 × 71 = ₹5,893</w:t>
            </w:r>
          </w:p>
        </w:tc>
      </w:tr>
    </w:tbl>
    <w:p>
      <w:pPr>
        <w:widowControl/>
        <w:spacing w:after="40"/>
      </w:pPr>
    </w:p>
    <w:tbl>
      <w:tblPr>
        <w:tblW w:type="auto" w:w="0"/>
        <w:jc w:val="center"/>
        <w:tblLook w:firstColumn="1" w:firstRow="1" w:lastColumn="0" w:lastRow="0" w:noHBand="0" w:noVBand="1" w:val="04A0"/>
      </w:tblPr>
      <w:tblGrid>
        <w:gridCol w:w="10080"/>
      </w:tblGrid>
      <w:tr>
        <w:tc>
          <w:tcPr>
            <w:tcW w:type="dxa" w:w="10080"/>
            <w:shd w:fill="FFF2CC"/>
            <w:tcMar>
              <w:top w:w="160" w:type="dxa"/>
              <w:start w:w="180" w:type="dxa"/>
              <w:bottom w:w="160" w:type="dxa"/>
              <w:end w:w="180" w:type="dxa"/>
            </w:tcMar>
          </w:tcPr>
          <w:p>
            <w:r/>
            <w:r>
              <w:rPr>
                <w:b/>
                <w:color w:val="17365D"/>
                <w:sz w:val="20"/>
              </w:rPr>
              <w:t>How ATR is used today</w:t>
              <w:br/>
            </w:r>
            <w:r>
              <w:rPr>
                <w:color w:val="273444"/>
                <w:sz w:val="19"/>
              </w:rPr>
              <w:t>ATR14 is displayed as a volatility reference. The current quantity calculation uses the user-supplied breakout and stop-loss distance, not an automatically generated ATR stop.</w:t>
            </w:r>
          </w:p>
        </w:tc>
      </w:tr>
    </w:tbl>
    <w:p>
      <w:pPr>
        <w:widowControl/>
        <w:spacing w:after="40"/>
      </w:pPr>
    </w:p>
    <w:p>
      <w:pPr>
        <w:pStyle w:val="Title"/>
        <w:widowControl/>
      </w:pPr>
      <w:r>
        <w:t>8. How to Read the Telegram Report</w:t>
      </w:r>
    </w:p>
    <w:tbl>
      <w:tblPr>
        <w:tblStyle w:val="TableGrid"/>
        <w:tblW w:type="auto" w:w="0"/>
        <w:jc w:val="center"/>
        <w:tblLook w:firstColumn="1" w:firstRow="1" w:lastColumn="0" w:lastRow="0" w:noHBand="0" w:noVBand="1" w:val="04A0"/>
      </w:tblPr>
      <w:tblGrid>
        <w:gridCol w:w="5040"/>
        <w:gridCol w:w="5040"/>
      </w:tblGrid>
      <w:tr>
        <w:tc>
          <w:tcPr>
            <w:tcW w:type="dxa" w:w="2448"/>
            <w:shd w:fill="17365D"/>
            <w:vAlign w:val="center"/>
            <w:tcMar>
              <w:top w:w="100" w:type="dxa"/>
              <w:start w:w="120" w:type="dxa"/>
              <w:bottom w:w="100" w:type="dxa"/>
              <w:end w:w="120" w:type="dxa"/>
            </w:tcMar>
          </w:tcPr>
          <w:p>
            <w:pPr>
              <w:jc w:val="center"/>
            </w:pPr>
            <w:r/>
            <w:r>
              <w:rPr>
                <w:rFonts w:ascii="Aptos" w:hAnsi="Aptos"/>
                <w:b/>
                <w:color w:val="FFFFFF"/>
                <w:sz w:val="18"/>
              </w:rPr>
              <w:t>Report section</w:t>
            </w:r>
          </w:p>
        </w:tc>
        <w:tc>
          <w:tcPr>
            <w:tcW w:type="dxa" w:w="7056"/>
            <w:shd w:fill="17365D"/>
            <w:vAlign w:val="center"/>
            <w:tcMar>
              <w:top w:w="100" w:type="dxa"/>
              <w:start w:w="120" w:type="dxa"/>
              <w:bottom w:w="100" w:type="dxa"/>
              <w:end w:w="120" w:type="dxa"/>
            </w:tcMar>
          </w:tcPr>
          <w:p>
            <w:pPr>
              <w:jc w:val="center"/>
            </w:pPr>
            <w:r/>
            <w:r>
              <w:rPr>
                <w:rFonts w:ascii="Aptos" w:hAnsi="Aptos"/>
                <w:b/>
                <w:color w:val="FFFFFF"/>
                <w:sz w:val="18"/>
              </w:rPr>
              <w:t>How to interpret it</w:t>
            </w:r>
          </w:p>
        </w:tc>
      </w:tr>
      <w:tr>
        <w:tc>
          <w:tcPr>
            <w:tcW w:type="dxa" w:w="2448"/>
            <w:vAlign w:val="center"/>
            <w:tcMar>
              <w:top w:w="100" w:type="dxa"/>
              <w:start w:w="120" w:type="dxa"/>
              <w:bottom w:w="100" w:type="dxa"/>
              <w:end w:w="120" w:type="dxa"/>
            </w:tcMar>
          </w:tcPr>
          <w:p>
            <w:pPr>
              <w:jc w:val="center"/>
            </w:pPr>
            <w:r/>
            <w:r>
              <w:rPr>
                <w:rFonts w:ascii="Aptos" w:hAnsi="Aptos"/>
                <w:b w:val="0"/>
                <w:color w:val="1F2933"/>
                <w:sz w:val="17"/>
              </w:rPr>
              <w:t>Decision</w:t>
            </w:r>
          </w:p>
        </w:tc>
        <w:tc>
          <w:tcPr>
            <w:tcW w:type="dxa" w:w="7056"/>
            <w:vAlign w:val="center"/>
            <w:tcMar>
              <w:top w:w="100" w:type="dxa"/>
              <w:start w:w="120" w:type="dxa"/>
              <w:bottom w:w="100" w:type="dxa"/>
              <w:end w:w="120" w:type="dxa"/>
            </w:tcMar>
          </w:tcPr>
          <w:p>
            <w:pPr>
              <w:jc w:val="left"/>
            </w:pPr>
            <w:r/>
            <w:r>
              <w:rPr>
                <w:rFonts w:ascii="Aptos" w:hAnsi="Aptos"/>
                <w:b w:val="0"/>
                <w:color w:val="1F2933"/>
                <w:sz w:val="17"/>
              </w:rPr>
              <w:t>ENTER, WAIT or REJECT from the configured rule thresholds.</w:t>
            </w:r>
          </w:p>
        </w:tc>
      </w:tr>
      <w:tr>
        <w:tc>
          <w:tcPr>
            <w:tcW w:type="dxa" w:w="2448"/>
            <w:shd w:fill="F4F7FA"/>
            <w:vAlign w:val="center"/>
            <w:tcMar>
              <w:top w:w="100" w:type="dxa"/>
              <w:start w:w="120" w:type="dxa"/>
              <w:bottom w:w="100" w:type="dxa"/>
              <w:end w:w="120" w:type="dxa"/>
            </w:tcMar>
          </w:tcPr>
          <w:p>
            <w:pPr>
              <w:jc w:val="center"/>
            </w:pPr>
            <w:r/>
            <w:r>
              <w:rPr>
                <w:rFonts w:ascii="Aptos" w:hAnsi="Aptos"/>
                <w:b w:val="0"/>
                <w:color w:val="1F2933"/>
                <w:sz w:val="17"/>
              </w:rPr>
              <w:t>Score / Confidence</w:t>
            </w:r>
          </w:p>
        </w:tc>
        <w:tc>
          <w:tcPr>
            <w:tcW w:type="dxa" w:w="7056"/>
            <w:shd w:fill="F4F7FA"/>
            <w:vAlign w:val="center"/>
            <w:tcMar>
              <w:top w:w="100" w:type="dxa"/>
              <w:start w:w="120" w:type="dxa"/>
              <w:bottom w:w="100" w:type="dxa"/>
              <w:end w:w="120" w:type="dxa"/>
            </w:tcMar>
          </w:tcPr>
          <w:p>
            <w:pPr>
              <w:jc w:val="left"/>
            </w:pPr>
            <w:r/>
            <w:r>
              <w:rPr>
                <w:rFonts w:ascii="Aptos" w:hAnsi="Aptos"/>
                <w:b w:val="0"/>
                <w:color w:val="1F2933"/>
                <w:sz w:val="17"/>
              </w:rPr>
              <w:t>Transparent rule score. Confidence is capped at 100 and is not a probability forecast.</w:t>
            </w:r>
          </w:p>
        </w:tc>
      </w:tr>
      <w:tr>
        <w:tc>
          <w:tcPr>
            <w:tcW w:type="dxa" w:w="2448"/>
            <w:vAlign w:val="center"/>
            <w:tcMar>
              <w:top w:w="100" w:type="dxa"/>
              <w:start w:w="120" w:type="dxa"/>
              <w:bottom w:w="100" w:type="dxa"/>
              <w:end w:w="120" w:type="dxa"/>
            </w:tcMar>
          </w:tcPr>
          <w:p>
            <w:pPr>
              <w:jc w:val="center"/>
            </w:pPr>
            <w:r/>
            <w:r>
              <w:rPr>
                <w:rFonts w:ascii="Aptos" w:hAnsi="Aptos"/>
                <w:b w:val="0"/>
                <w:color w:val="1F2933"/>
                <w:sz w:val="17"/>
              </w:rPr>
              <w:t>Current / Breakout / SL</w:t>
            </w:r>
          </w:p>
        </w:tc>
        <w:tc>
          <w:tcPr>
            <w:tcW w:type="dxa" w:w="7056"/>
            <w:vAlign w:val="center"/>
            <w:tcMar>
              <w:top w:w="100" w:type="dxa"/>
              <w:start w:w="120" w:type="dxa"/>
              <w:bottom w:w="100" w:type="dxa"/>
              <w:end w:w="120" w:type="dxa"/>
            </w:tcMar>
          </w:tcPr>
          <w:p>
            <w:pPr>
              <w:jc w:val="left"/>
            </w:pPr>
            <w:r/>
            <w:r>
              <w:rPr>
                <w:rFonts w:ascii="Aptos" w:hAnsi="Aptos"/>
                <w:b w:val="0"/>
                <w:color w:val="1F2933"/>
                <w:sz w:val="17"/>
              </w:rPr>
              <w:t>The latest daily close and the trade levels parsed from the message.</w:t>
            </w:r>
          </w:p>
        </w:tc>
      </w:tr>
      <w:tr>
        <w:tc>
          <w:tcPr>
            <w:tcW w:type="dxa" w:w="2448"/>
            <w:shd w:fill="F4F7FA"/>
            <w:vAlign w:val="center"/>
            <w:tcMar>
              <w:top w:w="100" w:type="dxa"/>
              <w:start w:w="120" w:type="dxa"/>
              <w:bottom w:w="100" w:type="dxa"/>
              <w:end w:w="120" w:type="dxa"/>
            </w:tcMar>
          </w:tcPr>
          <w:p>
            <w:pPr>
              <w:jc w:val="center"/>
            </w:pPr>
            <w:r/>
            <w:r>
              <w:rPr>
                <w:rFonts w:ascii="Aptos" w:hAnsi="Aptos"/>
                <w:b w:val="0"/>
                <w:color w:val="1F2933"/>
                <w:sz w:val="17"/>
              </w:rPr>
              <w:t>EMA / RSI / ATR / Volume</w:t>
            </w:r>
          </w:p>
        </w:tc>
        <w:tc>
          <w:tcPr>
            <w:tcW w:type="dxa" w:w="7056"/>
            <w:shd w:fill="F4F7FA"/>
            <w:vAlign w:val="center"/>
            <w:tcMar>
              <w:top w:w="100" w:type="dxa"/>
              <w:start w:w="120" w:type="dxa"/>
              <w:bottom w:w="100" w:type="dxa"/>
              <w:end w:w="120" w:type="dxa"/>
            </w:tcMar>
          </w:tcPr>
          <w:p>
            <w:pPr>
              <w:jc w:val="left"/>
            </w:pPr>
            <w:r/>
            <w:r>
              <w:rPr>
                <w:rFonts w:ascii="Aptos" w:hAnsi="Aptos"/>
                <w:b w:val="0"/>
                <w:color w:val="1F2933"/>
                <w:sz w:val="17"/>
              </w:rPr>
              <w:t>Technical state derived from Upstox historical candles.</w:t>
            </w:r>
          </w:p>
        </w:tc>
      </w:tr>
      <w:tr>
        <w:tc>
          <w:tcPr>
            <w:tcW w:type="dxa" w:w="2448"/>
            <w:vAlign w:val="center"/>
            <w:tcMar>
              <w:top w:w="100" w:type="dxa"/>
              <w:start w:w="120" w:type="dxa"/>
              <w:bottom w:w="100" w:type="dxa"/>
              <w:end w:w="120" w:type="dxa"/>
            </w:tcMar>
          </w:tcPr>
          <w:p>
            <w:pPr>
              <w:jc w:val="center"/>
            </w:pPr>
            <w:r/>
            <w:r>
              <w:rPr>
                <w:rFonts w:ascii="Aptos" w:hAnsi="Aptos"/>
                <w:b w:val="0"/>
                <w:color w:val="1F2933"/>
                <w:sz w:val="17"/>
              </w:rPr>
              <w:t>Reward/Risk</w:t>
            </w:r>
          </w:p>
        </w:tc>
        <w:tc>
          <w:tcPr>
            <w:tcW w:type="dxa" w:w="7056"/>
            <w:vAlign w:val="center"/>
            <w:tcMar>
              <w:top w:w="100" w:type="dxa"/>
              <w:start w:w="120" w:type="dxa"/>
              <w:bottom w:w="100" w:type="dxa"/>
              <w:end w:w="120" w:type="dxa"/>
            </w:tcMar>
          </w:tcPr>
          <w:p>
            <w:pPr>
              <w:jc w:val="left"/>
            </w:pPr>
            <w:r/>
            <w:r>
              <w:rPr>
                <w:rFonts w:ascii="Aptos" w:hAnsi="Aptos"/>
                <w:b w:val="0"/>
                <w:color w:val="1F2933"/>
                <w:sz w:val="17"/>
              </w:rPr>
              <w:t>Best reward/risk among the interpreted targets.</w:t>
            </w:r>
          </w:p>
        </w:tc>
      </w:tr>
      <w:tr>
        <w:tc>
          <w:tcPr>
            <w:tcW w:type="dxa" w:w="2448"/>
            <w:shd w:fill="F4F7FA"/>
            <w:vAlign w:val="center"/>
            <w:tcMar>
              <w:top w:w="100" w:type="dxa"/>
              <w:start w:w="120" w:type="dxa"/>
              <w:bottom w:w="100" w:type="dxa"/>
              <w:end w:w="120" w:type="dxa"/>
            </w:tcMar>
          </w:tcPr>
          <w:p>
            <w:pPr>
              <w:jc w:val="center"/>
            </w:pPr>
            <w:r/>
            <w:r>
              <w:rPr>
                <w:rFonts w:ascii="Aptos" w:hAnsi="Aptos"/>
                <w:b w:val="0"/>
                <w:color w:val="1F2933"/>
                <w:sz w:val="17"/>
              </w:rPr>
              <w:t>Breakout Gap</w:t>
            </w:r>
          </w:p>
        </w:tc>
        <w:tc>
          <w:tcPr>
            <w:tcW w:type="dxa" w:w="7056"/>
            <w:shd w:fill="F4F7FA"/>
            <w:vAlign w:val="center"/>
            <w:tcMar>
              <w:top w:w="100" w:type="dxa"/>
              <w:start w:w="120" w:type="dxa"/>
              <w:bottom w:w="100" w:type="dxa"/>
              <w:end w:w="120" w:type="dxa"/>
            </w:tcMar>
          </w:tcPr>
          <w:p>
            <w:pPr>
              <w:jc w:val="left"/>
            </w:pPr>
            <w:r/>
            <w:r>
              <w:rPr>
                <w:rFonts w:ascii="Aptos" w:hAnsi="Aptos"/>
                <w:b w:val="0"/>
                <w:color w:val="1F2933"/>
                <w:sz w:val="17"/>
              </w:rPr>
              <w:t>Positive means price is below the trigger; negative means price is already above it.</w:t>
            </w:r>
          </w:p>
        </w:tc>
      </w:tr>
      <w:tr>
        <w:tc>
          <w:tcPr>
            <w:tcW w:type="dxa" w:w="2448"/>
            <w:vAlign w:val="center"/>
            <w:tcMar>
              <w:top w:w="100" w:type="dxa"/>
              <w:start w:w="120" w:type="dxa"/>
              <w:bottom w:w="100" w:type="dxa"/>
              <w:end w:w="120" w:type="dxa"/>
            </w:tcMar>
          </w:tcPr>
          <w:p>
            <w:pPr>
              <w:jc w:val="center"/>
            </w:pPr>
            <w:r/>
            <w:r>
              <w:rPr>
                <w:rFonts w:ascii="Aptos" w:hAnsi="Aptos"/>
                <w:b w:val="0"/>
                <w:color w:val="1F2933"/>
                <w:sz w:val="17"/>
              </w:rPr>
              <w:t>Risk Management</w:t>
            </w:r>
          </w:p>
        </w:tc>
        <w:tc>
          <w:tcPr>
            <w:tcW w:type="dxa" w:w="7056"/>
            <w:vAlign w:val="center"/>
            <w:tcMar>
              <w:top w:w="100" w:type="dxa"/>
              <w:start w:w="120" w:type="dxa"/>
              <w:bottom w:w="100" w:type="dxa"/>
              <w:end w:w="120" w:type="dxa"/>
            </w:tcMar>
          </w:tcPr>
          <w:p>
            <w:pPr>
              <w:jc w:val="left"/>
            </w:pPr>
            <w:r/>
            <w:r>
              <w:rPr>
                <w:rFonts w:ascii="Aptos" w:hAnsi="Aptos"/>
                <w:b w:val="0"/>
                <w:color w:val="1F2933"/>
                <w:sz w:val="17"/>
              </w:rPr>
              <w:t>Capital, loss limit, quantity constraints and final suggested quantity.</w:t>
            </w:r>
          </w:p>
        </w:tc>
      </w:tr>
      <w:tr>
        <w:tc>
          <w:tcPr>
            <w:tcW w:type="dxa" w:w="2448"/>
            <w:shd w:fill="F4F7FA"/>
            <w:vAlign w:val="center"/>
            <w:tcMar>
              <w:top w:w="100" w:type="dxa"/>
              <w:start w:w="120" w:type="dxa"/>
              <w:bottom w:w="100" w:type="dxa"/>
              <w:end w:w="120" w:type="dxa"/>
            </w:tcMar>
          </w:tcPr>
          <w:p>
            <w:pPr>
              <w:jc w:val="center"/>
            </w:pPr>
            <w:r/>
            <w:r>
              <w:rPr>
                <w:rFonts w:ascii="Aptos" w:hAnsi="Aptos"/>
                <w:b w:val="0"/>
                <w:color w:val="1F2933"/>
                <w:sz w:val="17"/>
              </w:rPr>
              <w:t>Positive Signals</w:t>
            </w:r>
          </w:p>
        </w:tc>
        <w:tc>
          <w:tcPr>
            <w:tcW w:type="dxa" w:w="7056"/>
            <w:shd w:fill="F4F7FA"/>
            <w:vAlign w:val="center"/>
            <w:tcMar>
              <w:top w:w="100" w:type="dxa"/>
              <w:start w:w="120" w:type="dxa"/>
              <w:bottom w:w="100" w:type="dxa"/>
              <w:end w:w="120" w:type="dxa"/>
            </w:tcMar>
          </w:tcPr>
          <w:p>
            <w:pPr>
              <w:jc w:val="left"/>
            </w:pPr>
            <w:r/>
            <w:r>
              <w:rPr>
                <w:rFonts w:ascii="Aptos" w:hAnsi="Aptos"/>
                <w:b w:val="0"/>
                <w:color w:val="1F2933"/>
                <w:sz w:val="17"/>
              </w:rPr>
              <w:t>Rules that passed.</w:t>
            </w:r>
          </w:p>
        </w:tc>
      </w:tr>
      <w:tr>
        <w:tc>
          <w:tcPr>
            <w:tcW w:type="dxa" w:w="2448"/>
            <w:vAlign w:val="center"/>
            <w:tcMar>
              <w:top w:w="100" w:type="dxa"/>
              <w:start w:w="120" w:type="dxa"/>
              <w:bottom w:w="100" w:type="dxa"/>
              <w:end w:w="120" w:type="dxa"/>
            </w:tcMar>
          </w:tcPr>
          <w:p>
            <w:pPr>
              <w:jc w:val="center"/>
            </w:pPr>
            <w:r/>
            <w:r>
              <w:rPr>
                <w:rFonts w:ascii="Aptos" w:hAnsi="Aptos"/>
                <w:b w:val="0"/>
                <w:color w:val="1F2933"/>
                <w:sz w:val="17"/>
              </w:rPr>
              <w:t>Negative Signals</w:t>
            </w:r>
          </w:p>
        </w:tc>
        <w:tc>
          <w:tcPr>
            <w:tcW w:type="dxa" w:w="7056"/>
            <w:vAlign w:val="center"/>
            <w:tcMar>
              <w:top w:w="100" w:type="dxa"/>
              <w:start w:w="120" w:type="dxa"/>
              <w:bottom w:w="100" w:type="dxa"/>
              <w:end w:w="120" w:type="dxa"/>
            </w:tcMar>
          </w:tcPr>
          <w:p>
            <w:pPr>
              <w:jc w:val="left"/>
            </w:pPr>
            <w:r/>
            <w:r>
              <w:rPr>
                <w:rFonts w:ascii="Aptos" w:hAnsi="Aptos"/>
                <w:b w:val="0"/>
                <w:color w:val="1F2933"/>
                <w:sz w:val="17"/>
              </w:rPr>
              <w:t>Rules that did not pass or data that are unavailable.</w:t>
            </w:r>
          </w:p>
        </w:tc>
      </w:tr>
      <w:tr>
        <w:tc>
          <w:tcPr>
            <w:tcW w:type="dxa" w:w="2448"/>
            <w:shd w:fill="F4F7FA"/>
            <w:vAlign w:val="center"/>
            <w:tcMar>
              <w:top w:w="100" w:type="dxa"/>
              <w:start w:w="120" w:type="dxa"/>
              <w:bottom w:w="100" w:type="dxa"/>
              <w:end w:w="120" w:type="dxa"/>
            </w:tcMar>
          </w:tcPr>
          <w:p>
            <w:pPr>
              <w:jc w:val="center"/>
            </w:pPr>
            <w:r/>
            <w:r>
              <w:rPr>
                <w:rFonts w:ascii="Aptos" w:hAnsi="Aptos"/>
                <w:b w:val="0"/>
                <w:color w:val="1F2933"/>
                <w:sz w:val="17"/>
              </w:rPr>
              <w:t>Action</w:t>
            </w:r>
          </w:p>
        </w:tc>
        <w:tc>
          <w:tcPr>
            <w:tcW w:type="dxa" w:w="7056"/>
            <w:shd w:fill="F4F7FA"/>
            <w:vAlign w:val="center"/>
            <w:tcMar>
              <w:top w:w="100" w:type="dxa"/>
              <w:start w:w="120" w:type="dxa"/>
              <w:bottom w:w="100" w:type="dxa"/>
              <w:end w:w="120" w:type="dxa"/>
            </w:tcMar>
          </w:tcPr>
          <w:p>
            <w:pPr>
              <w:jc w:val="left"/>
            </w:pPr>
            <w:r/>
            <w:r>
              <w:rPr>
                <w:rFonts w:ascii="Aptos" w:hAnsi="Aptos"/>
                <w:b w:val="0"/>
                <w:color w:val="1F2933"/>
                <w:sz w:val="17"/>
              </w:rPr>
              <w:t>Plain-language interpretation of the decision.</w:t>
            </w:r>
          </w:p>
        </w:tc>
      </w:tr>
    </w:tbl>
    <w:p>
      <w:pPr>
        <w:widowControl/>
        <w:spacing w:after="40"/>
      </w:pPr>
    </w:p>
    <w:tbl>
      <w:tblPr>
        <w:tblW w:type="auto" w:w="0"/>
        <w:jc w:val="center"/>
        <w:tblLook w:firstColumn="1" w:firstRow="1" w:lastColumn="0" w:lastRow="0" w:noHBand="0" w:noVBand="1" w:val="04A0"/>
      </w:tblPr>
      <w:tblGrid>
        <w:gridCol w:w="10080"/>
      </w:tblGrid>
      <w:tr>
        <w:tc>
          <w:tcPr>
            <w:tcW w:type="dxa" w:w="10080"/>
            <w:shd w:fill="EAF2F8"/>
            <w:tcMar>
              <w:top w:w="160" w:type="dxa"/>
              <w:start w:w="180" w:type="dxa"/>
              <w:bottom w:w="160" w:type="dxa"/>
              <w:end w:w="180" w:type="dxa"/>
            </w:tcMar>
          </w:tcPr>
          <w:p>
            <w:r/>
            <w:r>
              <w:rPr>
                <w:b/>
                <w:color w:val="17365D"/>
                <w:sz w:val="20"/>
              </w:rPr>
              <w:t>Example interpretation</w:t>
              <w:br/>
            </w:r>
            <w:r>
              <w:rPr>
                <w:color w:val="273444"/>
                <w:sz w:val="19"/>
              </w:rPr>
              <w:t>Above breakout plus high volume does not automatically mean ENTER. If price remains below EMA20, EMA20 is below EMA50, RSI is weak, or reward/risk is below 2R, the output can remain WAIT.</w:t>
            </w:r>
          </w:p>
        </w:tc>
      </w:tr>
    </w:tbl>
    <w:p>
      <w:pPr>
        <w:widowControl/>
        <w:spacing w:after="40"/>
      </w:pPr>
    </w:p>
    <w:p>
      <w:pPr>
        <w:pStyle w:val="Title"/>
        <w:widowControl/>
      </w:pPr>
      <w:r>
        <w:t>9. Special Cases and Data Limitations</w:t>
      </w:r>
    </w:p>
    <w:tbl>
      <w:tblPr>
        <w:tblStyle w:val="TableGrid"/>
        <w:tblW w:type="auto" w:w="0"/>
        <w:jc w:val="center"/>
        <w:tblLook w:firstColumn="1" w:firstRow="1" w:lastColumn="0" w:lastRow="0" w:noHBand="0" w:noVBand="1" w:val="04A0"/>
      </w:tblPr>
      <w:tblGrid>
        <w:gridCol w:w="5040"/>
        <w:gridCol w:w="5040"/>
      </w:tblGrid>
      <w:tr>
        <w:tc>
          <w:tcPr>
            <w:tcW w:type="dxa" w:w="2592"/>
            <w:shd w:fill="17365D"/>
            <w:vAlign w:val="center"/>
            <w:tcMar>
              <w:top w:w="100" w:type="dxa"/>
              <w:start w:w="120" w:type="dxa"/>
              <w:bottom w:w="100" w:type="dxa"/>
              <w:end w:w="120" w:type="dxa"/>
            </w:tcMar>
          </w:tcPr>
          <w:p>
            <w:pPr>
              <w:jc w:val="center"/>
            </w:pPr>
            <w:r/>
            <w:r>
              <w:rPr>
                <w:rFonts w:ascii="Aptos" w:hAnsi="Aptos"/>
                <w:b/>
                <w:color w:val="FFFFFF"/>
                <w:sz w:val="18"/>
              </w:rPr>
              <w:t>Situation</w:t>
            </w:r>
          </w:p>
        </w:tc>
        <w:tc>
          <w:tcPr>
            <w:tcW w:type="dxa" w:w="6912"/>
            <w:shd w:fill="17365D"/>
            <w:vAlign w:val="center"/>
            <w:tcMar>
              <w:top w:w="100" w:type="dxa"/>
              <w:start w:w="120" w:type="dxa"/>
              <w:bottom w:w="100" w:type="dxa"/>
              <w:end w:w="120" w:type="dxa"/>
            </w:tcMar>
          </w:tcPr>
          <w:p>
            <w:pPr>
              <w:jc w:val="center"/>
            </w:pPr>
            <w:r/>
            <w:r>
              <w:rPr>
                <w:rFonts w:ascii="Aptos" w:hAnsi="Aptos"/>
                <w:b/>
                <w:color w:val="FFFFFF"/>
                <w:sz w:val="18"/>
              </w:rPr>
              <w:t>System behavior</w:t>
            </w:r>
          </w:p>
        </w:tc>
      </w:tr>
      <w:tr>
        <w:tc>
          <w:tcPr>
            <w:tcW w:type="dxa" w:w="2592"/>
            <w:vAlign w:val="center"/>
            <w:tcMar>
              <w:top w:w="100" w:type="dxa"/>
              <w:start w:w="120" w:type="dxa"/>
              <w:bottom w:w="100" w:type="dxa"/>
              <w:end w:w="120" w:type="dxa"/>
            </w:tcMar>
          </w:tcPr>
          <w:p>
            <w:pPr>
              <w:jc w:val="center"/>
            </w:pPr>
            <w:r/>
            <w:r>
              <w:rPr>
                <w:rFonts w:ascii="Aptos" w:hAnsi="Aptos"/>
                <w:b w:val="0"/>
                <w:color w:val="1F2933"/>
                <w:sz w:val="17"/>
              </w:rPr>
              <w:t>Newly listed stock</w:t>
            </w:r>
          </w:p>
        </w:tc>
        <w:tc>
          <w:tcPr>
            <w:tcW w:type="dxa" w:w="6912"/>
            <w:vAlign w:val="center"/>
            <w:tcMar>
              <w:top w:w="100" w:type="dxa"/>
              <w:start w:w="120" w:type="dxa"/>
              <w:bottom w:w="100" w:type="dxa"/>
              <w:end w:w="120" w:type="dxa"/>
            </w:tcMar>
          </w:tcPr>
          <w:p>
            <w:pPr>
              <w:jc w:val="left"/>
            </w:pPr>
            <w:r/>
            <w:r>
              <w:rPr>
                <w:rFonts w:ascii="Aptos" w:hAnsi="Aptos"/>
                <w:b w:val="0"/>
                <w:color w:val="1F2933"/>
                <w:sz w:val="17"/>
              </w:rPr>
              <w:t>RSI14, VOL20, volume ratio or EMA50 may be unavailable because there are too few candles.</w:t>
            </w:r>
          </w:p>
        </w:tc>
      </w:tr>
      <w:tr>
        <w:tc>
          <w:tcPr>
            <w:tcW w:type="dxa" w:w="2592"/>
            <w:shd w:fill="F4F7FA"/>
            <w:vAlign w:val="center"/>
            <w:tcMar>
              <w:top w:w="100" w:type="dxa"/>
              <w:start w:w="120" w:type="dxa"/>
              <w:bottom w:w="100" w:type="dxa"/>
              <w:end w:w="120" w:type="dxa"/>
            </w:tcMar>
          </w:tcPr>
          <w:p>
            <w:pPr>
              <w:jc w:val="center"/>
            </w:pPr>
            <w:r/>
            <w:r>
              <w:rPr>
                <w:rFonts w:ascii="Aptos" w:hAnsi="Aptos"/>
                <w:b w:val="0"/>
                <w:color w:val="1F2933"/>
                <w:sz w:val="17"/>
              </w:rPr>
              <w:t>Unknown symbol</w:t>
            </w:r>
          </w:p>
        </w:tc>
        <w:tc>
          <w:tcPr>
            <w:tcW w:type="dxa" w:w="6912"/>
            <w:shd w:fill="F4F7FA"/>
            <w:vAlign w:val="center"/>
            <w:tcMar>
              <w:top w:w="100" w:type="dxa"/>
              <w:start w:w="120" w:type="dxa"/>
              <w:bottom w:w="100" w:type="dxa"/>
              <w:end w:w="120" w:type="dxa"/>
            </w:tcMar>
          </w:tcPr>
          <w:p>
            <w:pPr>
              <w:jc w:val="left"/>
            </w:pPr>
            <w:r/>
            <w:r>
              <w:rPr>
                <w:rFonts w:ascii="Aptos" w:hAnsi="Aptos"/>
                <w:b w:val="0"/>
                <w:color w:val="1F2933"/>
                <w:sz w:val="17"/>
              </w:rPr>
              <w:t>Returns “Stock not found” when the local Upstox instrument master has no match.</w:t>
            </w:r>
          </w:p>
        </w:tc>
      </w:tr>
      <w:tr>
        <w:tc>
          <w:tcPr>
            <w:tcW w:type="dxa" w:w="2592"/>
            <w:vAlign w:val="center"/>
            <w:tcMar>
              <w:top w:w="100" w:type="dxa"/>
              <w:start w:w="120" w:type="dxa"/>
              <w:bottom w:w="100" w:type="dxa"/>
              <w:end w:w="120" w:type="dxa"/>
            </w:tcMar>
          </w:tcPr>
          <w:p>
            <w:pPr>
              <w:jc w:val="center"/>
            </w:pPr>
            <w:r/>
            <w:r>
              <w:rPr>
                <w:rFonts w:ascii="Aptos" w:hAnsi="Aptos"/>
                <w:b w:val="0"/>
                <w:color w:val="1F2933"/>
                <w:sz w:val="17"/>
              </w:rPr>
              <w:t>Expired Upstox token</w:t>
            </w:r>
          </w:p>
        </w:tc>
        <w:tc>
          <w:tcPr>
            <w:tcW w:type="dxa" w:w="6912"/>
            <w:vAlign w:val="center"/>
            <w:tcMar>
              <w:top w:w="100" w:type="dxa"/>
              <w:start w:w="120" w:type="dxa"/>
              <w:bottom w:w="100" w:type="dxa"/>
              <w:end w:w="120" w:type="dxa"/>
            </w:tcMar>
          </w:tcPr>
          <w:p>
            <w:pPr>
              <w:jc w:val="left"/>
            </w:pPr>
            <w:r/>
            <w:r>
              <w:rPr>
                <w:rFonts w:ascii="Aptos" w:hAnsi="Aptos"/>
                <w:b w:val="0"/>
                <w:color w:val="1F2933"/>
                <w:sz w:val="17"/>
              </w:rPr>
              <w:t>API requests fail until a valid access token is placed in .env.</w:t>
            </w:r>
          </w:p>
        </w:tc>
      </w:tr>
      <w:tr>
        <w:tc>
          <w:tcPr>
            <w:tcW w:type="dxa" w:w="2592"/>
            <w:shd w:fill="F4F7FA"/>
            <w:vAlign w:val="center"/>
            <w:tcMar>
              <w:top w:w="100" w:type="dxa"/>
              <w:start w:w="120" w:type="dxa"/>
              <w:bottom w:w="100" w:type="dxa"/>
              <w:end w:w="120" w:type="dxa"/>
            </w:tcMar>
          </w:tcPr>
          <w:p>
            <w:pPr>
              <w:jc w:val="center"/>
            </w:pPr>
            <w:r/>
            <w:r>
              <w:rPr>
                <w:rFonts w:ascii="Aptos" w:hAnsi="Aptos"/>
                <w:b w:val="0"/>
                <w:color w:val="1F2933"/>
                <w:sz w:val="17"/>
              </w:rPr>
              <w:t>Targets as points</w:t>
            </w:r>
          </w:p>
        </w:tc>
        <w:tc>
          <w:tcPr>
            <w:tcW w:type="dxa" w:w="6912"/>
            <w:shd w:fill="F4F7FA"/>
            <w:vAlign w:val="center"/>
            <w:tcMar>
              <w:top w:w="100" w:type="dxa"/>
              <w:start w:w="120" w:type="dxa"/>
              <w:bottom w:w="100" w:type="dxa"/>
              <w:end w:w="120" w:type="dxa"/>
            </w:tcMar>
          </w:tcPr>
          <w:p>
            <w:pPr>
              <w:jc w:val="left"/>
            </w:pPr>
            <w:r/>
            <w:r>
              <w:rPr>
                <w:rFonts w:ascii="Aptos" w:hAnsi="Aptos"/>
                <w:b w:val="0"/>
                <w:color w:val="1F2933"/>
                <w:sz w:val="17"/>
              </w:rPr>
              <w:t>Values below the breakout are treated as points from entry and converted to absolute target prices.</w:t>
            </w:r>
          </w:p>
        </w:tc>
      </w:tr>
      <w:tr>
        <w:tc>
          <w:tcPr>
            <w:tcW w:type="dxa" w:w="2592"/>
            <w:vAlign w:val="center"/>
            <w:tcMar>
              <w:top w:w="100" w:type="dxa"/>
              <w:start w:w="120" w:type="dxa"/>
              <w:bottom w:w="100" w:type="dxa"/>
              <w:end w:w="120" w:type="dxa"/>
            </w:tcMar>
          </w:tcPr>
          <w:p>
            <w:pPr>
              <w:jc w:val="center"/>
            </w:pPr>
            <w:r/>
            <w:r>
              <w:rPr>
                <w:rFonts w:ascii="Aptos" w:hAnsi="Aptos"/>
                <w:b w:val="0"/>
                <w:color w:val="1F2933"/>
                <w:sz w:val="17"/>
              </w:rPr>
              <w:t>Missing capital</w:t>
            </w:r>
          </w:p>
        </w:tc>
        <w:tc>
          <w:tcPr>
            <w:tcW w:type="dxa" w:w="6912"/>
            <w:vAlign w:val="center"/>
            <w:tcMar>
              <w:top w:w="100" w:type="dxa"/>
              <w:start w:w="120" w:type="dxa"/>
              <w:bottom w:w="100" w:type="dxa"/>
              <w:end w:w="120" w:type="dxa"/>
            </w:tcMar>
          </w:tcPr>
          <w:p>
            <w:pPr>
              <w:jc w:val="left"/>
            </w:pPr>
            <w:r/>
            <w:r>
              <w:rPr>
                <w:rFonts w:ascii="Aptos" w:hAnsi="Aptos"/>
                <w:b w:val="0"/>
                <w:color w:val="1F2933"/>
                <w:sz w:val="17"/>
              </w:rPr>
              <w:t>Defaults to ₹50,000.</w:t>
            </w:r>
          </w:p>
        </w:tc>
      </w:tr>
      <w:tr>
        <w:tc>
          <w:tcPr>
            <w:tcW w:type="dxa" w:w="2592"/>
            <w:shd w:fill="F4F7FA"/>
            <w:vAlign w:val="center"/>
            <w:tcMar>
              <w:top w:w="100" w:type="dxa"/>
              <w:start w:w="120" w:type="dxa"/>
              <w:bottom w:w="100" w:type="dxa"/>
              <w:end w:w="120" w:type="dxa"/>
            </w:tcMar>
          </w:tcPr>
          <w:p>
            <w:pPr>
              <w:jc w:val="center"/>
            </w:pPr>
            <w:r/>
            <w:r>
              <w:rPr>
                <w:rFonts w:ascii="Aptos" w:hAnsi="Aptos"/>
                <w:b w:val="0"/>
                <w:color w:val="1F2933"/>
                <w:sz w:val="17"/>
              </w:rPr>
              <w:t>Weak or missing data</w:t>
            </w:r>
          </w:p>
        </w:tc>
        <w:tc>
          <w:tcPr>
            <w:tcW w:type="dxa" w:w="6912"/>
            <w:shd w:fill="F4F7FA"/>
            <w:vAlign w:val="center"/>
            <w:tcMar>
              <w:top w:w="100" w:type="dxa"/>
              <w:start w:w="120" w:type="dxa"/>
              <w:bottom w:w="100" w:type="dxa"/>
              <w:end w:w="120" w:type="dxa"/>
            </w:tcMar>
          </w:tcPr>
          <w:p>
            <w:pPr>
              <w:jc w:val="left"/>
            </w:pPr>
            <w:r/>
            <w:r>
              <w:rPr>
                <w:rFonts w:ascii="Aptos" w:hAnsi="Aptos"/>
                <w:b w:val="0"/>
                <w:color w:val="1F2933"/>
                <w:sz w:val="17"/>
              </w:rPr>
              <w:t>The system reports data unavailable rather than inventing values.</w:t>
            </w:r>
          </w:p>
        </w:tc>
      </w:tr>
      <w:tr>
        <w:tc>
          <w:tcPr>
            <w:tcW w:type="dxa" w:w="2592"/>
            <w:vAlign w:val="center"/>
            <w:tcMar>
              <w:top w:w="100" w:type="dxa"/>
              <w:start w:w="120" w:type="dxa"/>
              <w:bottom w:w="100" w:type="dxa"/>
              <w:end w:w="120" w:type="dxa"/>
            </w:tcMar>
          </w:tcPr>
          <w:p>
            <w:pPr>
              <w:jc w:val="center"/>
            </w:pPr>
            <w:r/>
            <w:r>
              <w:rPr>
                <w:rFonts w:ascii="Aptos" w:hAnsi="Aptos"/>
                <w:b w:val="0"/>
                <w:color w:val="1F2933"/>
                <w:sz w:val="17"/>
              </w:rPr>
              <w:t>Polling bot offline</w:t>
            </w:r>
          </w:p>
        </w:tc>
        <w:tc>
          <w:tcPr>
            <w:tcW w:type="dxa" w:w="6912"/>
            <w:vAlign w:val="center"/>
            <w:tcMar>
              <w:top w:w="100" w:type="dxa"/>
              <w:start w:w="120" w:type="dxa"/>
              <w:bottom w:w="100" w:type="dxa"/>
              <w:end w:w="120" w:type="dxa"/>
            </w:tcMar>
          </w:tcPr>
          <w:p>
            <w:pPr>
              <w:jc w:val="left"/>
            </w:pPr>
            <w:r/>
            <w:r>
              <w:rPr>
                <w:rFonts w:ascii="Aptos" w:hAnsi="Aptos"/>
                <w:b w:val="0"/>
                <w:color w:val="1F2933"/>
                <w:sz w:val="17"/>
              </w:rPr>
              <w:t>The bot stops responding when the local machine sleeps, disconnects or closes bot.py.</w:t>
            </w:r>
          </w:p>
        </w:tc>
      </w:tr>
      <w:tr>
        <w:tc>
          <w:tcPr>
            <w:tcW w:type="dxa" w:w="2592"/>
            <w:shd w:fill="F4F7FA"/>
            <w:vAlign w:val="center"/>
            <w:tcMar>
              <w:top w:w="100" w:type="dxa"/>
              <w:start w:w="120" w:type="dxa"/>
              <w:bottom w:w="100" w:type="dxa"/>
              <w:end w:w="120" w:type="dxa"/>
            </w:tcMar>
          </w:tcPr>
          <w:p>
            <w:pPr>
              <w:jc w:val="center"/>
            </w:pPr>
            <w:r/>
            <w:r>
              <w:rPr>
                <w:rFonts w:ascii="Aptos" w:hAnsi="Aptos"/>
                <w:b w:val="0"/>
                <w:color w:val="1F2933"/>
                <w:sz w:val="17"/>
              </w:rPr>
              <w:t>Negative breakout gap</w:t>
            </w:r>
          </w:p>
        </w:tc>
        <w:tc>
          <w:tcPr>
            <w:tcW w:type="dxa" w:w="6912"/>
            <w:shd w:fill="F4F7FA"/>
            <w:vAlign w:val="center"/>
            <w:tcMar>
              <w:top w:w="100" w:type="dxa"/>
              <w:start w:w="120" w:type="dxa"/>
              <w:bottom w:w="100" w:type="dxa"/>
              <w:end w:w="120" w:type="dxa"/>
            </w:tcMar>
          </w:tcPr>
          <w:p>
            <w:pPr>
              <w:jc w:val="left"/>
            </w:pPr>
            <w:r/>
            <w:r>
              <w:rPr>
                <w:rFonts w:ascii="Aptos" w:hAnsi="Aptos"/>
                <w:b w:val="0"/>
                <w:color w:val="1F2933"/>
                <w:sz w:val="17"/>
              </w:rPr>
              <w:t>Price is already above the breakout; the sign is mathematically correct.</w:t>
            </w:r>
          </w:p>
        </w:tc>
      </w:tr>
    </w:tbl>
    <w:p>
      <w:pPr>
        <w:widowControl/>
        <w:spacing w:after="40"/>
      </w:pPr>
    </w:p>
    <w:tbl>
      <w:tblPr>
        <w:tblW w:type="auto" w:w="0"/>
        <w:jc w:val="center"/>
        <w:tblLook w:firstColumn="1" w:firstRow="1" w:lastColumn="0" w:lastRow="0" w:noHBand="0" w:noVBand="1" w:val="04A0"/>
      </w:tblPr>
      <w:tblGrid>
        <w:gridCol w:w="10080"/>
      </w:tblGrid>
      <w:tr>
        <w:tc>
          <w:tcPr>
            <w:tcW w:type="dxa" w:w="10080"/>
            <w:shd w:fill="FFF2CC"/>
            <w:tcMar>
              <w:top w:w="160" w:type="dxa"/>
              <w:start w:w="180" w:type="dxa"/>
              <w:bottom w:w="160" w:type="dxa"/>
              <w:end w:w="180" w:type="dxa"/>
            </w:tcMar>
          </w:tcPr>
          <w:p>
            <w:r/>
            <w:r>
              <w:rPr>
                <w:b/>
                <w:color w:val="17365D"/>
                <w:sz w:val="20"/>
              </w:rPr>
              <w:t>Data freshness</w:t>
              <w:br/>
            </w:r>
            <w:r>
              <w:rPr>
                <w:color w:val="273444"/>
                <w:sz w:val="19"/>
              </w:rPr>
              <w:t>The report currently evaluates the most recent daily candle returned by Upstox. It is designed for positional breakout validation, not tick-level scalping.</w:t>
            </w:r>
          </w:p>
        </w:tc>
      </w:tr>
    </w:tbl>
    <w:p>
      <w:pPr>
        <w:widowControl/>
        <w:spacing w:after="40"/>
      </w:pPr>
    </w:p>
    <w:p>
      <w:pPr>
        <w:pStyle w:val="Title"/>
        <w:widowControl/>
      </w:pPr>
      <w:r>
        <w:t>10. Daily Operating Procedure</w:t>
      </w:r>
    </w:p>
    <w:p>
      <w:pPr>
        <w:pStyle w:val="ListNumber"/>
        <w:widowControl/>
        <w:spacing w:after="60"/>
      </w:pPr>
      <w:r>
        <w:t>Open Command Prompt.</w:t>
      </w:r>
    </w:p>
    <w:p>
      <w:pPr>
        <w:pStyle w:val="ListNumber"/>
        <w:widowControl/>
        <w:spacing w:after="60"/>
      </w:pPr>
      <w:r>
        <w:t>Go to the project folder: C:\Users\rsha36\Documents\TelegramStockAnalyzer\telegram_stock_breakout_mvp</w:t>
      </w:r>
    </w:p>
    <w:p>
      <w:pPr>
        <w:pStyle w:val="ListNumber"/>
        <w:widowControl/>
        <w:spacing w:after="60"/>
      </w:pPr>
      <w:r>
        <w:t>Activate the virtual environment: C:\Users\rsha36\Documents\TelegramStockAnalyzer\.venv\Scripts\activate.bat</w:t>
      </w:r>
    </w:p>
    <w:p>
      <w:pPr>
        <w:pStyle w:val="ListNumber"/>
        <w:widowControl/>
        <w:spacing w:after="60"/>
      </w:pPr>
      <w:r>
        <w:t>Start the bot: python bot.py</w:t>
      </w:r>
    </w:p>
    <w:p>
      <w:pPr>
        <w:pStyle w:val="ListNumber"/>
        <w:widowControl/>
        <w:spacing w:after="60"/>
      </w:pPr>
      <w:r>
        <w:t>Keep the window open while the bot is in use.</w:t>
      </w:r>
    </w:p>
    <w:p>
      <w:pPr>
        <w:pStyle w:val="ListNumber"/>
        <w:widowControl/>
        <w:spacing w:after="60"/>
      </w:pPr>
      <w:r>
        <w:t>Send the structured signal to the Telegram bot.</w:t>
      </w:r>
    </w:p>
    <w:p>
      <w:pPr>
        <w:pStyle w:val="ListNumber"/>
        <w:widowControl/>
        <w:spacing w:after="60"/>
      </w:pPr>
      <w:r>
        <w:t>Review both positive and negative evidence before acting.</w:t>
      </w:r>
    </w:p>
    <w:p>
      <w:pPr>
        <w:pStyle w:val="ListNumber"/>
        <w:widowControl/>
        <w:spacing w:after="60"/>
      </w:pPr>
      <w:r>
        <w:t>Stop the bot with Ctrl+C when required.</w:t>
      </w:r>
    </w:p>
    <w:p>
      <w:pPr>
        <w:pStyle w:val="Heading1"/>
        <w:widowControl/>
      </w:pPr>
      <w:r>
        <w:t>Credential hygiene</w:t>
      </w:r>
    </w:p>
    <w:p>
      <w:pPr>
        <w:pStyle w:val="ListBullet"/>
        <w:widowControl/>
        <w:spacing w:after="60"/>
      </w:pPr>
      <w:r>
        <w:rPr>
          <w:sz w:val="20"/>
        </w:rPr>
        <w:t>Keep TELEGRAM_BOT_TOKEN, UPSTOX_API_KEY, UPSTOX_API_SECRET and UPSTOX_ACCESS_TOKEN in .env.</w:t>
      </w:r>
    </w:p>
    <w:p>
      <w:pPr>
        <w:pStyle w:val="ListBullet"/>
        <w:widowControl/>
        <w:spacing w:after="60"/>
      </w:pPr>
      <w:r>
        <w:rPr>
          <w:sz w:val="20"/>
        </w:rPr>
        <w:t>Do not commit .env to GitHub.</w:t>
      </w:r>
    </w:p>
    <w:p>
      <w:pPr>
        <w:pStyle w:val="ListBullet"/>
        <w:widowControl/>
        <w:spacing w:after="60"/>
      </w:pPr>
      <w:r>
        <w:rPr>
          <w:sz w:val="20"/>
        </w:rPr>
        <w:t>Regenerate a token immediately if it is exposed in logs, screenshots or chat.</w:t>
      </w:r>
    </w:p>
    <w:p>
      <w:pPr>
        <w:pStyle w:val="Title"/>
        <w:widowControl/>
      </w:pPr>
      <w:r>
        <w:t>11.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7365D"/>
            <w:vAlign w:val="center"/>
            <w:tcMar>
              <w:top w:w="100" w:type="dxa"/>
              <w:start w:w="120" w:type="dxa"/>
              <w:bottom w:w="100" w:type="dxa"/>
              <w:end w:w="120" w:type="dxa"/>
            </w:tcMar>
          </w:tcPr>
          <w:p>
            <w:pPr>
              <w:jc w:val="center"/>
            </w:pPr>
            <w:r/>
            <w:r>
              <w:rPr>
                <w:rFonts w:ascii="Aptos" w:hAnsi="Aptos"/>
                <w:b/>
                <w:color w:val="FFFFFF"/>
                <w:sz w:val="18"/>
              </w:rPr>
              <w:t>Problem</w:t>
            </w:r>
          </w:p>
        </w:tc>
        <w:tc>
          <w:tcPr>
            <w:tcW w:type="dxa" w:w="3312"/>
            <w:shd w:fill="17365D"/>
            <w:vAlign w:val="center"/>
            <w:tcMar>
              <w:top w:w="100" w:type="dxa"/>
              <w:start w:w="120" w:type="dxa"/>
              <w:bottom w:w="100" w:type="dxa"/>
              <w:end w:w="120" w:type="dxa"/>
            </w:tcMar>
          </w:tcPr>
          <w:p>
            <w:pPr>
              <w:jc w:val="center"/>
            </w:pPr>
            <w:r/>
            <w:r>
              <w:rPr>
                <w:rFonts w:ascii="Aptos" w:hAnsi="Aptos"/>
                <w:b/>
                <w:color w:val="FFFFFF"/>
                <w:sz w:val="18"/>
              </w:rPr>
              <w:t>Likely cause</w:t>
            </w:r>
          </w:p>
        </w:tc>
        <w:tc>
          <w:tcPr>
            <w:tcW w:type="dxa" w:w="4464"/>
            <w:shd w:fill="17365D"/>
            <w:vAlign w:val="center"/>
            <w:tcMar>
              <w:top w:w="100" w:type="dxa"/>
              <w:start w:w="120" w:type="dxa"/>
              <w:bottom w:w="100" w:type="dxa"/>
              <w:end w:w="120" w:type="dxa"/>
            </w:tcMar>
          </w:tcPr>
          <w:p>
            <w:pPr>
              <w:jc w:val="center"/>
            </w:pPr>
            <w:r/>
            <w:r>
              <w:rPr>
                <w:rFonts w:ascii="Aptos" w:hAnsi="Aptos"/>
                <w:b/>
                <w:color w:val="FFFFFF"/>
                <w:sz w:val="18"/>
              </w:rPr>
              <w:t>Recommended check</w:t>
            </w:r>
          </w:p>
        </w:tc>
      </w:tr>
      <w:tr>
        <w:tc>
          <w:tcPr>
            <w:tcW w:type="dxa" w:w="2304"/>
            <w:vAlign w:val="center"/>
            <w:tcMar>
              <w:top w:w="100" w:type="dxa"/>
              <w:start w:w="120" w:type="dxa"/>
              <w:bottom w:w="100" w:type="dxa"/>
              <w:end w:w="120" w:type="dxa"/>
            </w:tcMar>
          </w:tcPr>
          <w:p>
            <w:pPr>
              <w:jc w:val="center"/>
            </w:pPr>
            <w:r/>
            <w:r>
              <w:rPr>
                <w:rFonts w:ascii="Aptos" w:hAnsi="Aptos"/>
                <w:b w:val="0"/>
                <w:color w:val="1F2933"/>
                <w:sz w:val="17"/>
              </w:rPr>
              <w:t>ModuleNotFoundError</w:t>
            </w:r>
          </w:p>
        </w:tc>
        <w:tc>
          <w:tcPr>
            <w:tcW w:type="dxa" w:w="3312"/>
            <w:vAlign w:val="center"/>
            <w:tcMar>
              <w:top w:w="100" w:type="dxa"/>
              <w:start w:w="120" w:type="dxa"/>
              <w:bottom w:w="100" w:type="dxa"/>
              <w:end w:w="120" w:type="dxa"/>
            </w:tcMar>
          </w:tcPr>
          <w:p>
            <w:pPr>
              <w:jc w:val="left"/>
            </w:pPr>
            <w:r/>
            <w:r>
              <w:rPr>
                <w:rFonts w:ascii="Aptos" w:hAnsi="Aptos"/>
                <w:b w:val="0"/>
                <w:color w:val="1F2933"/>
                <w:sz w:val="17"/>
              </w:rPr>
              <w:t>Wrong Python interpreter or missing package.</w:t>
            </w:r>
          </w:p>
        </w:tc>
        <w:tc>
          <w:tcPr>
            <w:tcW w:type="dxa" w:w="4464"/>
            <w:vAlign w:val="center"/>
            <w:tcMar>
              <w:top w:w="100" w:type="dxa"/>
              <w:start w:w="120" w:type="dxa"/>
              <w:bottom w:w="100" w:type="dxa"/>
              <w:end w:w="120" w:type="dxa"/>
            </w:tcMar>
          </w:tcPr>
          <w:p>
            <w:pPr>
              <w:jc w:val="left"/>
            </w:pPr>
            <w:r/>
            <w:r>
              <w:rPr>
                <w:rFonts w:ascii="Aptos" w:hAnsi="Aptos"/>
                <w:b w:val="0"/>
                <w:color w:val="1F2933"/>
                <w:sz w:val="17"/>
              </w:rPr>
              <w:t>Run the bot with the project .venv Python and install requirements there.</w:t>
            </w:r>
          </w:p>
        </w:tc>
      </w:tr>
      <w:tr>
        <w:tc>
          <w:tcPr>
            <w:tcW w:type="dxa" w:w="2304"/>
            <w:shd w:fill="F4F7FA"/>
            <w:vAlign w:val="center"/>
            <w:tcMar>
              <w:top w:w="100" w:type="dxa"/>
              <w:start w:w="120" w:type="dxa"/>
              <w:bottom w:w="100" w:type="dxa"/>
              <w:end w:w="120" w:type="dxa"/>
            </w:tcMar>
          </w:tcPr>
          <w:p>
            <w:pPr>
              <w:jc w:val="center"/>
            </w:pPr>
            <w:r/>
            <w:r>
              <w:rPr>
                <w:rFonts w:ascii="Aptos" w:hAnsi="Aptos"/>
                <w:b w:val="0"/>
                <w:color w:val="1F2933"/>
                <w:sz w:val="17"/>
              </w:rPr>
              <w:t>SSL certificate verify failed</w:t>
            </w:r>
          </w:p>
        </w:tc>
        <w:tc>
          <w:tcPr>
            <w:tcW w:type="dxa" w:w="3312"/>
            <w:shd w:fill="F4F7FA"/>
            <w:vAlign w:val="center"/>
            <w:tcMar>
              <w:top w:w="100" w:type="dxa"/>
              <w:start w:w="120" w:type="dxa"/>
              <w:bottom w:w="100" w:type="dxa"/>
              <w:end w:w="120" w:type="dxa"/>
            </w:tcMar>
          </w:tcPr>
          <w:p>
            <w:pPr>
              <w:jc w:val="left"/>
            </w:pPr>
            <w:r/>
            <w:r>
              <w:rPr>
                <w:rFonts w:ascii="Aptos" w:hAnsi="Aptos"/>
                <w:b w:val="0"/>
                <w:color w:val="1F2933"/>
                <w:sz w:val="17"/>
              </w:rPr>
              <w:t>Corporate SSL inspection not trusted by Python.</w:t>
            </w:r>
          </w:p>
        </w:tc>
        <w:tc>
          <w:tcPr>
            <w:tcW w:type="dxa" w:w="4464"/>
            <w:shd w:fill="F4F7FA"/>
            <w:vAlign w:val="center"/>
            <w:tcMar>
              <w:top w:w="100" w:type="dxa"/>
              <w:start w:w="120" w:type="dxa"/>
              <w:bottom w:w="100" w:type="dxa"/>
              <w:end w:w="120" w:type="dxa"/>
            </w:tcMar>
          </w:tcPr>
          <w:p>
            <w:pPr>
              <w:jc w:val="left"/>
            </w:pPr>
            <w:r/>
            <w:r>
              <w:rPr>
                <w:rFonts w:ascii="Aptos" w:hAnsi="Aptos"/>
                <w:b w:val="0"/>
                <w:color w:val="1F2933"/>
                <w:sz w:val="17"/>
              </w:rPr>
              <w:t>Use the same certificate-store fix already applied in the working environment.</w:t>
            </w:r>
          </w:p>
        </w:tc>
      </w:tr>
      <w:tr>
        <w:tc>
          <w:tcPr>
            <w:tcW w:type="dxa" w:w="2304"/>
            <w:vAlign w:val="center"/>
            <w:tcMar>
              <w:top w:w="100" w:type="dxa"/>
              <w:start w:w="120" w:type="dxa"/>
              <w:bottom w:w="100" w:type="dxa"/>
              <w:end w:w="120" w:type="dxa"/>
            </w:tcMar>
          </w:tcPr>
          <w:p>
            <w:pPr>
              <w:jc w:val="center"/>
            </w:pPr>
            <w:r/>
            <w:r>
              <w:rPr>
                <w:rFonts w:ascii="Aptos" w:hAnsi="Aptos"/>
                <w:b w:val="0"/>
                <w:color w:val="1F2933"/>
                <w:sz w:val="17"/>
              </w:rPr>
              <w:t>401 invalid token</w:t>
            </w:r>
          </w:p>
        </w:tc>
        <w:tc>
          <w:tcPr>
            <w:tcW w:type="dxa" w:w="3312"/>
            <w:vAlign w:val="center"/>
            <w:tcMar>
              <w:top w:w="100" w:type="dxa"/>
              <w:start w:w="120" w:type="dxa"/>
              <w:bottom w:w="100" w:type="dxa"/>
              <w:end w:w="120" w:type="dxa"/>
            </w:tcMar>
          </w:tcPr>
          <w:p>
            <w:pPr>
              <w:jc w:val="left"/>
            </w:pPr>
            <w:r/>
            <w:r>
              <w:rPr>
                <w:rFonts w:ascii="Aptos" w:hAnsi="Aptos"/>
                <w:b w:val="0"/>
                <w:color w:val="1F2933"/>
                <w:sz w:val="17"/>
              </w:rPr>
              <w:t>Upstox access token is invalid or expired.</w:t>
            </w:r>
          </w:p>
        </w:tc>
        <w:tc>
          <w:tcPr>
            <w:tcW w:type="dxa" w:w="4464"/>
            <w:vAlign w:val="center"/>
            <w:tcMar>
              <w:top w:w="100" w:type="dxa"/>
              <w:start w:w="120" w:type="dxa"/>
              <w:bottom w:w="100" w:type="dxa"/>
              <w:end w:w="120" w:type="dxa"/>
            </w:tcMar>
          </w:tcPr>
          <w:p>
            <w:pPr>
              <w:jc w:val="left"/>
            </w:pPr>
            <w:r/>
            <w:r>
              <w:rPr>
                <w:rFonts w:ascii="Aptos" w:hAnsi="Aptos"/>
                <w:b w:val="0"/>
                <w:color w:val="1F2933"/>
                <w:sz w:val="17"/>
              </w:rPr>
              <w:t>Generate a valid token and update .env.</w:t>
            </w:r>
          </w:p>
        </w:tc>
      </w:tr>
      <w:tr>
        <w:tc>
          <w:tcPr>
            <w:tcW w:type="dxa" w:w="2304"/>
            <w:shd w:fill="F4F7FA"/>
            <w:vAlign w:val="center"/>
            <w:tcMar>
              <w:top w:w="100" w:type="dxa"/>
              <w:start w:w="120" w:type="dxa"/>
              <w:bottom w:w="100" w:type="dxa"/>
              <w:end w:w="120" w:type="dxa"/>
            </w:tcMar>
          </w:tcPr>
          <w:p>
            <w:pPr>
              <w:jc w:val="center"/>
            </w:pPr>
            <w:r/>
            <w:r>
              <w:rPr>
                <w:rFonts w:ascii="Aptos" w:hAnsi="Aptos"/>
                <w:b w:val="0"/>
                <w:color w:val="1F2933"/>
                <w:sz w:val="17"/>
              </w:rPr>
              <w:t>RSI / volume unavailable</w:t>
            </w:r>
          </w:p>
        </w:tc>
        <w:tc>
          <w:tcPr>
            <w:tcW w:type="dxa" w:w="3312"/>
            <w:shd w:fill="F4F7FA"/>
            <w:vAlign w:val="center"/>
            <w:tcMar>
              <w:top w:w="100" w:type="dxa"/>
              <w:start w:w="120" w:type="dxa"/>
              <w:bottom w:w="100" w:type="dxa"/>
              <w:end w:w="120" w:type="dxa"/>
            </w:tcMar>
          </w:tcPr>
          <w:p>
            <w:pPr>
              <w:jc w:val="left"/>
            </w:pPr>
            <w:r/>
            <w:r>
              <w:rPr>
                <w:rFonts w:ascii="Aptos" w:hAnsi="Aptos"/>
                <w:b w:val="0"/>
                <w:color w:val="1F2933"/>
                <w:sz w:val="17"/>
              </w:rPr>
              <w:t>Not enough trading history.</w:t>
            </w:r>
          </w:p>
        </w:tc>
        <w:tc>
          <w:tcPr>
            <w:tcW w:type="dxa" w:w="4464"/>
            <w:shd w:fill="F4F7FA"/>
            <w:vAlign w:val="center"/>
            <w:tcMar>
              <w:top w:w="100" w:type="dxa"/>
              <w:start w:w="120" w:type="dxa"/>
              <w:bottom w:w="100" w:type="dxa"/>
              <w:end w:w="120" w:type="dxa"/>
            </w:tcMar>
          </w:tcPr>
          <w:p>
            <w:pPr>
              <w:jc w:val="left"/>
            </w:pPr>
            <w:r/>
            <w:r>
              <w:rPr>
                <w:rFonts w:ascii="Aptos" w:hAnsi="Aptos"/>
                <w:b w:val="0"/>
                <w:color w:val="1F2933"/>
                <w:sz w:val="17"/>
              </w:rPr>
              <w:t>Check candle count; RSI needs 14 and VOL20 needs 20 observations.</w:t>
            </w:r>
          </w:p>
        </w:tc>
      </w:tr>
      <w:tr>
        <w:tc>
          <w:tcPr>
            <w:tcW w:type="dxa" w:w="2304"/>
            <w:vAlign w:val="center"/>
            <w:tcMar>
              <w:top w:w="100" w:type="dxa"/>
              <w:start w:w="120" w:type="dxa"/>
              <w:bottom w:w="100" w:type="dxa"/>
              <w:end w:w="120" w:type="dxa"/>
            </w:tcMar>
          </w:tcPr>
          <w:p>
            <w:pPr>
              <w:jc w:val="center"/>
            </w:pPr>
            <w:r/>
            <w:r>
              <w:rPr>
                <w:rFonts w:ascii="Aptos" w:hAnsi="Aptos"/>
                <w:b w:val="0"/>
                <w:color w:val="1F2933"/>
                <w:sz w:val="17"/>
              </w:rPr>
              <w:t>NoneType result error</w:t>
            </w:r>
          </w:p>
        </w:tc>
        <w:tc>
          <w:tcPr>
            <w:tcW w:type="dxa" w:w="3312"/>
            <w:vAlign w:val="center"/>
            <w:tcMar>
              <w:top w:w="100" w:type="dxa"/>
              <w:start w:w="120" w:type="dxa"/>
              <w:bottom w:w="100" w:type="dxa"/>
              <w:end w:w="120" w:type="dxa"/>
            </w:tcMar>
          </w:tcPr>
          <w:p>
            <w:pPr>
              <w:jc w:val="left"/>
            </w:pPr>
            <w:r/>
            <w:r>
              <w:rPr>
                <w:rFonts w:ascii="Aptos" w:hAnsi="Aptos"/>
                <w:b w:val="0"/>
                <w:color w:val="1F2933"/>
                <w:sz w:val="17"/>
              </w:rPr>
              <w:t>decision_engine.py ended without returning the result dictionary.</w:t>
            </w:r>
          </w:p>
        </w:tc>
        <w:tc>
          <w:tcPr>
            <w:tcW w:type="dxa" w:w="4464"/>
            <w:vAlign w:val="center"/>
            <w:tcMar>
              <w:top w:w="100" w:type="dxa"/>
              <w:start w:w="120" w:type="dxa"/>
              <w:bottom w:w="100" w:type="dxa"/>
              <w:end w:w="120" w:type="dxa"/>
            </w:tcMar>
          </w:tcPr>
          <w:p>
            <w:pPr>
              <w:jc w:val="left"/>
            </w:pPr>
            <w:r/>
            <w:r>
              <w:rPr>
                <w:rFonts w:ascii="Aptos" w:hAnsi="Aptos"/>
                <w:b w:val="0"/>
                <w:color w:val="1F2933"/>
                <w:sz w:val="17"/>
              </w:rPr>
              <w:t>Verify the complete return block is inside evaluate_trade().</w:t>
            </w:r>
          </w:p>
        </w:tc>
      </w:tr>
      <w:tr>
        <w:tc>
          <w:tcPr>
            <w:tcW w:type="dxa" w:w="2304"/>
            <w:shd w:fill="F4F7FA"/>
            <w:vAlign w:val="center"/>
            <w:tcMar>
              <w:top w:w="100" w:type="dxa"/>
              <w:start w:w="120" w:type="dxa"/>
              <w:bottom w:w="100" w:type="dxa"/>
              <w:end w:w="120" w:type="dxa"/>
            </w:tcMar>
          </w:tcPr>
          <w:p>
            <w:pPr>
              <w:jc w:val="center"/>
            </w:pPr>
            <w:r/>
            <w:r>
              <w:rPr>
                <w:rFonts w:ascii="Aptos" w:hAnsi="Aptos"/>
                <w:b w:val="0"/>
                <w:color w:val="1F2933"/>
                <w:sz w:val="17"/>
              </w:rPr>
              <w:t>No valid targets</w:t>
            </w:r>
          </w:p>
        </w:tc>
        <w:tc>
          <w:tcPr>
            <w:tcW w:type="dxa" w:w="3312"/>
            <w:shd w:fill="F4F7FA"/>
            <w:vAlign w:val="center"/>
            <w:tcMar>
              <w:top w:w="100" w:type="dxa"/>
              <w:start w:w="120" w:type="dxa"/>
              <w:bottom w:w="100" w:type="dxa"/>
              <w:end w:w="120" w:type="dxa"/>
            </w:tcMar>
          </w:tcPr>
          <w:p>
            <w:pPr>
              <w:jc w:val="left"/>
            </w:pPr>
            <w:r/>
            <w:r>
              <w:rPr>
                <w:rFonts w:ascii="Aptos" w:hAnsi="Aptos"/>
                <w:b w:val="0"/>
                <w:color w:val="1F2933"/>
                <w:sz w:val="17"/>
              </w:rPr>
              <w:t>Targets were parsed as points or are below entry.</w:t>
            </w:r>
          </w:p>
        </w:tc>
        <w:tc>
          <w:tcPr>
            <w:tcW w:type="dxa" w:w="4464"/>
            <w:shd w:fill="F4F7FA"/>
            <w:vAlign w:val="center"/>
            <w:tcMar>
              <w:top w:w="100" w:type="dxa"/>
              <w:start w:w="120" w:type="dxa"/>
              <w:bottom w:w="100" w:type="dxa"/>
              <w:end w:w="120" w:type="dxa"/>
            </w:tcMar>
          </w:tcPr>
          <w:p>
            <w:pPr>
              <w:jc w:val="left"/>
            </w:pPr>
            <w:r/>
            <w:r>
              <w:rPr>
                <w:rFonts w:ascii="Aptos" w:hAnsi="Aptos"/>
                <w:b w:val="0"/>
                <w:color w:val="1F2933"/>
                <w:sz w:val="17"/>
              </w:rPr>
              <w:t>Check Incoming Signal output and target conversion.</w:t>
            </w:r>
          </w:p>
        </w:tc>
      </w:tr>
      <w:tr>
        <w:tc>
          <w:tcPr>
            <w:tcW w:type="dxa" w:w="2304"/>
            <w:vAlign w:val="center"/>
            <w:tcMar>
              <w:top w:w="100" w:type="dxa"/>
              <w:start w:w="120" w:type="dxa"/>
              <w:bottom w:w="100" w:type="dxa"/>
              <w:end w:w="120" w:type="dxa"/>
            </w:tcMar>
          </w:tcPr>
          <w:p>
            <w:pPr>
              <w:jc w:val="center"/>
            </w:pPr>
            <w:r/>
            <w:r>
              <w:rPr>
                <w:rFonts w:ascii="Aptos" w:hAnsi="Aptos"/>
                <w:b w:val="0"/>
                <w:color w:val="1F2933"/>
                <w:sz w:val="17"/>
              </w:rPr>
              <w:t>Telegram bot exits</w:t>
            </w:r>
          </w:p>
        </w:tc>
        <w:tc>
          <w:tcPr>
            <w:tcW w:type="dxa" w:w="3312"/>
            <w:vAlign w:val="center"/>
            <w:tcMar>
              <w:top w:w="100" w:type="dxa"/>
              <w:start w:w="120" w:type="dxa"/>
              <w:bottom w:w="100" w:type="dxa"/>
              <w:end w:w="120" w:type="dxa"/>
            </w:tcMar>
          </w:tcPr>
          <w:p>
            <w:pPr>
              <w:jc w:val="left"/>
            </w:pPr>
            <w:r/>
            <w:r>
              <w:rPr>
                <w:rFonts w:ascii="Aptos" w:hAnsi="Aptos"/>
                <w:b w:val="0"/>
                <w:color w:val="1F2933"/>
                <w:sz w:val="17"/>
              </w:rPr>
              <w:t>Syntax/indentation issue or initialization failure.</w:t>
            </w:r>
          </w:p>
        </w:tc>
        <w:tc>
          <w:tcPr>
            <w:tcW w:type="dxa" w:w="4464"/>
            <w:vAlign w:val="center"/>
            <w:tcMar>
              <w:top w:w="100" w:type="dxa"/>
              <w:start w:w="120" w:type="dxa"/>
              <w:bottom w:w="100" w:type="dxa"/>
              <w:end w:w="120" w:type="dxa"/>
            </w:tcMar>
          </w:tcPr>
          <w:p>
            <w:pPr>
              <w:jc w:val="left"/>
            </w:pPr>
            <w:r/>
            <w:r>
              <w:rPr>
                <w:rFonts w:ascii="Aptos" w:hAnsi="Aptos"/>
                <w:b w:val="0"/>
                <w:color w:val="1F2933"/>
                <w:sz w:val="17"/>
              </w:rPr>
              <w:t>Run python -m py_compile bot.py and inspect the console error.</w:t>
            </w:r>
          </w:p>
        </w:tc>
      </w:tr>
    </w:tbl>
    <w:p>
      <w:pPr>
        <w:widowControl/>
        <w:spacing w:after="40"/>
      </w:pPr>
    </w:p>
    <w:p>
      <w:pPr>
        <w:pStyle w:val="Title"/>
        <w:widowControl/>
      </w:pPr>
      <w:r>
        <w:t>12. Quick Reference</w:t>
      </w:r>
    </w:p>
    <w:tbl>
      <w:tblPr>
        <w:tblStyle w:val="TableGrid"/>
        <w:tblW w:type="auto" w:w="0"/>
        <w:jc w:val="center"/>
        <w:tblLook w:firstColumn="1" w:firstRow="1" w:lastColumn="0" w:lastRow="0" w:noHBand="0" w:noVBand="1" w:val="04A0"/>
      </w:tblPr>
      <w:tblGrid>
        <w:gridCol w:w="5040"/>
        <w:gridCol w:w="5040"/>
      </w:tblGrid>
      <w:tr>
        <w:tc>
          <w:tcPr>
            <w:tcW w:type="dxa" w:w="3024"/>
            <w:shd w:fill="17365D"/>
            <w:vAlign w:val="center"/>
            <w:tcMar>
              <w:top w:w="100" w:type="dxa"/>
              <w:start w:w="120" w:type="dxa"/>
              <w:bottom w:w="100" w:type="dxa"/>
              <w:end w:w="120" w:type="dxa"/>
            </w:tcMar>
          </w:tcPr>
          <w:p>
            <w:pPr>
              <w:jc w:val="center"/>
            </w:pPr>
            <w:r/>
            <w:r>
              <w:rPr>
                <w:rFonts w:ascii="Aptos" w:hAnsi="Aptos"/>
                <w:b/>
                <w:color w:val="FFFFFF"/>
                <w:sz w:val="18"/>
              </w:rPr>
              <w:t>Metric</w:t>
            </w:r>
          </w:p>
        </w:tc>
        <w:tc>
          <w:tcPr>
            <w:tcW w:type="dxa" w:w="6480"/>
            <w:shd w:fill="17365D"/>
            <w:vAlign w:val="center"/>
            <w:tcMar>
              <w:top w:w="100" w:type="dxa"/>
              <w:start w:w="120" w:type="dxa"/>
              <w:bottom w:w="100" w:type="dxa"/>
              <w:end w:w="120" w:type="dxa"/>
            </w:tcMar>
          </w:tcPr>
          <w:p>
            <w:pPr>
              <w:jc w:val="center"/>
            </w:pPr>
            <w:r/>
            <w:r>
              <w:rPr>
                <w:rFonts w:ascii="Aptos" w:hAnsi="Aptos"/>
                <w:b/>
                <w:color w:val="FFFFFF"/>
                <w:sz w:val="18"/>
              </w:rPr>
              <w:t>Formula / Rule</w:t>
            </w:r>
          </w:p>
        </w:tc>
      </w:tr>
      <w:tr>
        <w:tc>
          <w:tcPr>
            <w:tcW w:type="dxa" w:w="3024"/>
            <w:vAlign w:val="center"/>
            <w:tcMar>
              <w:top w:w="100" w:type="dxa"/>
              <w:start w:w="120" w:type="dxa"/>
              <w:bottom w:w="100" w:type="dxa"/>
              <w:end w:w="120" w:type="dxa"/>
            </w:tcMar>
          </w:tcPr>
          <w:p>
            <w:pPr>
              <w:jc w:val="center"/>
            </w:pPr>
            <w:r/>
            <w:r>
              <w:rPr>
                <w:rFonts w:ascii="Aptos" w:hAnsi="Aptos"/>
                <w:b w:val="0"/>
                <w:color w:val="1F2933"/>
                <w:sz w:val="17"/>
              </w:rPr>
              <w:t>EMA20</w:t>
            </w:r>
          </w:p>
        </w:tc>
        <w:tc>
          <w:tcPr>
            <w:tcW w:type="dxa" w:w="6480"/>
            <w:vAlign w:val="center"/>
            <w:tcMar>
              <w:top w:w="100" w:type="dxa"/>
              <w:start w:w="120" w:type="dxa"/>
              <w:bottom w:w="100" w:type="dxa"/>
              <w:end w:w="120" w:type="dxa"/>
            </w:tcMar>
          </w:tcPr>
          <w:p>
            <w:pPr>
              <w:jc w:val="left"/>
            </w:pPr>
            <w:r/>
            <w:r>
              <w:rPr>
                <w:rFonts w:ascii="Aptos" w:hAnsi="Aptos"/>
                <w:b w:val="0"/>
                <w:color w:val="1F2933"/>
                <w:sz w:val="17"/>
              </w:rPr>
              <w:t>20-period exponential moving average of Close</w:t>
            </w:r>
          </w:p>
        </w:tc>
      </w:tr>
      <w:tr>
        <w:tc>
          <w:tcPr>
            <w:tcW w:type="dxa" w:w="3024"/>
            <w:shd w:fill="F4F7FA"/>
            <w:vAlign w:val="center"/>
            <w:tcMar>
              <w:top w:w="100" w:type="dxa"/>
              <w:start w:w="120" w:type="dxa"/>
              <w:bottom w:w="100" w:type="dxa"/>
              <w:end w:w="120" w:type="dxa"/>
            </w:tcMar>
          </w:tcPr>
          <w:p>
            <w:pPr>
              <w:jc w:val="center"/>
            </w:pPr>
            <w:r/>
            <w:r>
              <w:rPr>
                <w:rFonts w:ascii="Aptos" w:hAnsi="Aptos"/>
                <w:b w:val="0"/>
                <w:color w:val="1F2933"/>
                <w:sz w:val="17"/>
              </w:rPr>
              <w:t>EMA50</w:t>
            </w:r>
          </w:p>
        </w:tc>
        <w:tc>
          <w:tcPr>
            <w:tcW w:type="dxa" w:w="6480"/>
            <w:shd w:fill="F4F7FA"/>
            <w:vAlign w:val="center"/>
            <w:tcMar>
              <w:top w:w="100" w:type="dxa"/>
              <w:start w:w="120" w:type="dxa"/>
              <w:bottom w:w="100" w:type="dxa"/>
              <w:end w:w="120" w:type="dxa"/>
            </w:tcMar>
          </w:tcPr>
          <w:p>
            <w:pPr>
              <w:jc w:val="left"/>
            </w:pPr>
            <w:r/>
            <w:r>
              <w:rPr>
                <w:rFonts w:ascii="Aptos" w:hAnsi="Aptos"/>
                <w:b w:val="0"/>
                <w:color w:val="1F2933"/>
                <w:sz w:val="17"/>
              </w:rPr>
              <w:t>50-period exponential moving average of Close</w:t>
            </w:r>
          </w:p>
        </w:tc>
      </w:tr>
      <w:tr>
        <w:tc>
          <w:tcPr>
            <w:tcW w:type="dxa" w:w="3024"/>
            <w:vAlign w:val="center"/>
            <w:tcMar>
              <w:top w:w="100" w:type="dxa"/>
              <w:start w:w="120" w:type="dxa"/>
              <w:bottom w:w="100" w:type="dxa"/>
              <w:end w:w="120" w:type="dxa"/>
            </w:tcMar>
          </w:tcPr>
          <w:p>
            <w:pPr>
              <w:jc w:val="center"/>
            </w:pPr>
            <w:r/>
            <w:r>
              <w:rPr>
                <w:rFonts w:ascii="Aptos" w:hAnsi="Aptos"/>
                <w:b w:val="0"/>
                <w:color w:val="1F2933"/>
                <w:sz w:val="17"/>
              </w:rPr>
              <w:t>RSI14</w:t>
            </w:r>
          </w:p>
        </w:tc>
        <w:tc>
          <w:tcPr>
            <w:tcW w:type="dxa" w:w="6480"/>
            <w:vAlign w:val="center"/>
            <w:tcMar>
              <w:top w:w="100" w:type="dxa"/>
              <w:start w:w="120" w:type="dxa"/>
              <w:bottom w:w="100" w:type="dxa"/>
              <w:end w:w="120" w:type="dxa"/>
            </w:tcMar>
          </w:tcPr>
          <w:p>
            <w:pPr>
              <w:jc w:val="left"/>
            </w:pPr>
            <w:r/>
            <w:r>
              <w:rPr>
                <w:rFonts w:ascii="Aptos" w:hAnsi="Aptos"/>
                <w:b w:val="0"/>
                <w:color w:val="1F2933"/>
                <w:sz w:val="17"/>
              </w:rPr>
              <w:t>14-period relative strength index</w:t>
            </w:r>
          </w:p>
        </w:tc>
      </w:tr>
      <w:tr>
        <w:tc>
          <w:tcPr>
            <w:tcW w:type="dxa" w:w="3024"/>
            <w:shd w:fill="F4F7FA"/>
            <w:vAlign w:val="center"/>
            <w:tcMar>
              <w:top w:w="100" w:type="dxa"/>
              <w:start w:w="120" w:type="dxa"/>
              <w:bottom w:w="100" w:type="dxa"/>
              <w:end w:w="120" w:type="dxa"/>
            </w:tcMar>
          </w:tcPr>
          <w:p>
            <w:pPr>
              <w:jc w:val="center"/>
            </w:pPr>
            <w:r/>
            <w:r>
              <w:rPr>
                <w:rFonts w:ascii="Aptos" w:hAnsi="Aptos"/>
                <w:b w:val="0"/>
                <w:color w:val="1F2933"/>
                <w:sz w:val="17"/>
              </w:rPr>
              <w:t>VOL20</w:t>
            </w:r>
          </w:p>
        </w:tc>
        <w:tc>
          <w:tcPr>
            <w:tcW w:type="dxa" w:w="6480"/>
            <w:shd w:fill="F4F7FA"/>
            <w:vAlign w:val="center"/>
            <w:tcMar>
              <w:top w:w="100" w:type="dxa"/>
              <w:start w:w="120" w:type="dxa"/>
              <w:bottom w:w="100" w:type="dxa"/>
              <w:end w:w="120" w:type="dxa"/>
            </w:tcMar>
          </w:tcPr>
          <w:p>
            <w:pPr>
              <w:jc w:val="left"/>
            </w:pPr>
            <w:r/>
            <w:r>
              <w:rPr>
                <w:rFonts w:ascii="Aptos" w:hAnsi="Aptos"/>
                <w:b w:val="0"/>
                <w:color w:val="1F2933"/>
                <w:sz w:val="17"/>
              </w:rPr>
              <w:t>20-session simple average of Volume</w:t>
            </w:r>
          </w:p>
        </w:tc>
      </w:tr>
      <w:tr>
        <w:tc>
          <w:tcPr>
            <w:tcW w:type="dxa" w:w="3024"/>
            <w:vAlign w:val="center"/>
            <w:tcMar>
              <w:top w:w="100" w:type="dxa"/>
              <w:start w:w="120" w:type="dxa"/>
              <w:bottom w:w="100" w:type="dxa"/>
              <w:end w:w="120" w:type="dxa"/>
            </w:tcMar>
          </w:tcPr>
          <w:p>
            <w:pPr>
              <w:jc w:val="center"/>
            </w:pPr>
            <w:r/>
            <w:r>
              <w:rPr>
                <w:rFonts w:ascii="Aptos" w:hAnsi="Aptos"/>
                <w:b w:val="0"/>
                <w:color w:val="1F2933"/>
                <w:sz w:val="17"/>
              </w:rPr>
              <w:t>Volume ratio</w:t>
            </w:r>
          </w:p>
        </w:tc>
        <w:tc>
          <w:tcPr>
            <w:tcW w:type="dxa" w:w="6480"/>
            <w:vAlign w:val="center"/>
            <w:tcMar>
              <w:top w:w="100" w:type="dxa"/>
              <w:start w:w="120" w:type="dxa"/>
              <w:bottom w:w="100" w:type="dxa"/>
              <w:end w:w="120" w:type="dxa"/>
            </w:tcMar>
          </w:tcPr>
          <w:p>
            <w:pPr>
              <w:jc w:val="left"/>
            </w:pPr>
            <w:r/>
            <w:r>
              <w:rPr>
                <w:rFonts w:ascii="Aptos" w:hAnsi="Aptos"/>
                <w:b w:val="0"/>
                <w:color w:val="1F2933"/>
                <w:sz w:val="17"/>
              </w:rPr>
              <w:t>Latest Volume ÷ VOL20</w:t>
            </w:r>
          </w:p>
        </w:tc>
      </w:tr>
      <w:tr>
        <w:tc>
          <w:tcPr>
            <w:tcW w:type="dxa" w:w="3024"/>
            <w:shd w:fill="F4F7FA"/>
            <w:vAlign w:val="center"/>
            <w:tcMar>
              <w:top w:w="100" w:type="dxa"/>
              <w:start w:w="120" w:type="dxa"/>
              <w:bottom w:w="100" w:type="dxa"/>
              <w:end w:w="120" w:type="dxa"/>
            </w:tcMar>
          </w:tcPr>
          <w:p>
            <w:pPr>
              <w:jc w:val="center"/>
            </w:pPr>
            <w:r/>
            <w:r>
              <w:rPr>
                <w:rFonts w:ascii="Aptos" w:hAnsi="Aptos"/>
                <w:b w:val="0"/>
                <w:color w:val="1F2933"/>
                <w:sz w:val="17"/>
              </w:rPr>
              <w:t>ATR14</w:t>
            </w:r>
          </w:p>
        </w:tc>
        <w:tc>
          <w:tcPr>
            <w:tcW w:type="dxa" w:w="6480"/>
            <w:shd w:fill="F4F7FA"/>
            <w:vAlign w:val="center"/>
            <w:tcMar>
              <w:top w:w="100" w:type="dxa"/>
              <w:start w:w="120" w:type="dxa"/>
              <w:bottom w:w="100" w:type="dxa"/>
              <w:end w:w="120" w:type="dxa"/>
            </w:tcMar>
          </w:tcPr>
          <w:p>
            <w:pPr>
              <w:jc w:val="left"/>
            </w:pPr>
            <w:r/>
            <w:r>
              <w:rPr>
                <w:rFonts w:ascii="Aptos" w:hAnsi="Aptos"/>
                <w:b w:val="0"/>
                <w:color w:val="1F2933"/>
                <w:sz w:val="17"/>
              </w:rPr>
              <w:t>14-session average of True Range</w:t>
            </w:r>
          </w:p>
        </w:tc>
      </w:tr>
      <w:tr>
        <w:tc>
          <w:tcPr>
            <w:tcW w:type="dxa" w:w="3024"/>
            <w:vAlign w:val="center"/>
            <w:tcMar>
              <w:top w:w="100" w:type="dxa"/>
              <w:start w:w="120" w:type="dxa"/>
              <w:bottom w:w="100" w:type="dxa"/>
              <w:end w:w="120" w:type="dxa"/>
            </w:tcMar>
          </w:tcPr>
          <w:p>
            <w:pPr>
              <w:jc w:val="center"/>
            </w:pPr>
            <w:r/>
            <w:r>
              <w:rPr>
                <w:rFonts w:ascii="Aptos" w:hAnsi="Aptos"/>
                <w:b w:val="0"/>
                <w:color w:val="1F2933"/>
                <w:sz w:val="17"/>
              </w:rPr>
              <w:t>Breakout gap %</w:t>
            </w:r>
          </w:p>
        </w:tc>
        <w:tc>
          <w:tcPr>
            <w:tcW w:type="dxa" w:w="6480"/>
            <w:vAlign w:val="center"/>
            <w:tcMar>
              <w:top w:w="100" w:type="dxa"/>
              <w:start w:w="120" w:type="dxa"/>
              <w:bottom w:w="100" w:type="dxa"/>
              <w:end w:w="120" w:type="dxa"/>
            </w:tcMar>
          </w:tcPr>
          <w:p>
            <w:pPr>
              <w:jc w:val="left"/>
            </w:pPr>
            <w:r/>
            <w:r>
              <w:rPr>
                <w:rFonts w:ascii="Aptos" w:hAnsi="Aptos"/>
                <w:b w:val="0"/>
                <w:color w:val="1F2933"/>
                <w:sz w:val="17"/>
              </w:rPr>
              <w:t>(Breakout − Latest Close) ÷ Latest Close × 100</w:t>
            </w:r>
          </w:p>
        </w:tc>
      </w:tr>
      <w:tr>
        <w:tc>
          <w:tcPr>
            <w:tcW w:type="dxa" w:w="3024"/>
            <w:shd w:fill="F4F7FA"/>
            <w:vAlign w:val="center"/>
            <w:tcMar>
              <w:top w:w="100" w:type="dxa"/>
              <w:start w:w="120" w:type="dxa"/>
              <w:bottom w:w="100" w:type="dxa"/>
              <w:end w:w="120" w:type="dxa"/>
            </w:tcMar>
          </w:tcPr>
          <w:p>
            <w:pPr>
              <w:jc w:val="center"/>
            </w:pPr>
            <w:r/>
            <w:r>
              <w:rPr>
                <w:rFonts w:ascii="Aptos" w:hAnsi="Aptos"/>
                <w:b w:val="0"/>
                <w:color w:val="1F2933"/>
                <w:sz w:val="17"/>
              </w:rPr>
              <w:t>Risk/share</w:t>
            </w:r>
          </w:p>
        </w:tc>
        <w:tc>
          <w:tcPr>
            <w:tcW w:type="dxa" w:w="6480"/>
            <w:shd w:fill="F4F7FA"/>
            <w:vAlign w:val="center"/>
            <w:tcMar>
              <w:top w:w="100" w:type="dxa"/>
              <w:start w:w="120" w:type="dxa"/>
              <w:bottom w:w="100" w:type="dxa"/>
              <w:end w:w="120" w:type="dxa"/>
            </w:tcMar>
          </w:tcPr>
          <w:p>
            <w:pPr>
              <w:jc w:val="left"/>
            </w:pPr>
            <w:r/>
            <w:r>
              <w:rPr>
                <w:rFonts w:ascii="Aptos" w:hAnsi="Aptos"/>
                <w:b w:val="0"/>
                <w:color w:val="1F2933"/>
                <w:sz w:val="17"/>
              </w:rPr>
              <w:t>Absolute value of Breakout − Stop loss</w:t>
            </w:r>
          </w:p>
        </w:tc>
      </w:tr>
      <w:tr>
        <w:tc>
          <w:tcPr>
            <w:tcW w:type="dxa" w:w="3024"/>
            <w:vAlign w:val="center"/>
            <w:tcMar>
              <w:top w:w="100" w:type="dxa"/>
              <w:start w:w="120" w:type="dxa"/>
              <w:bottom w:w="100" w:type="dxa"/>
              <w:end w:w="120" w:type="dxa"/>
            </w:tcMar>
          </w:tcPr>
          <w:p>
            <w:pPr>
              <w:jc w:val="center"/>
            </w:pPr>
            <w:r/>
            <w:r>
              <w:rPr>
                <w:rFonts w:ascii="Aptos" w:hAnsi="Aptos"/>
                <w:b w:val="0"/>
                <w:color w:val="1F2933"/>
                <w:sz w:val="17"/>
              </w:rPr>
              <w:t>Max risk</w:t>
            </w:r>
          </w:p>
        </w:tc>
        <w:tc>
          <w:tcPr>
            <w:tcW w:type="dxa" w:w="6480"/>
            <w:vAlign w:val="center"/>
            <w:tcMar>
              <w:top w:w="100" w:type="dxa"/>
              <w:start w:w="120" w:type="dxa"/>
              <w:bottom w:w="100" w:type="dxa"/>
              <w:end w:w="120" w:type="dxa"/>
            </w:tcMar>
          </w:tcPr>
          <w:p>
            <w:pPr>
              <w:jc w:val="left"/>
            </w:pPr>
            <w:r/>
            <w:r>
              <w:rPr>
                <w:rFonts w:ascii="Aptos" w:hAnsi="Aptos"/>
                <w:b w:val="0"/>
                <w:color w:val="1F2933"/>
                <w:sz w:val="17"/>
              </w:rPr>
              <w:t>Capital × 1%</w:t>
            </w:r>
          </w:p>
        </w:tc>
      </w:tr>
      <w:tr>
        <w:tc>
          <w:tcPr>
            <w:tcW w:type="dxa" w:w="3024"/>
            <w:shd w:fill="F4F7FA"/>
            <w:vAlign w:val="center"/>
            <w:tcMar>
              <w:top w:w="100" w:type="dxa"/>
              <w:start w:w="120" w:type="dxa"/>
              <w:bottom w:w="100" w:type="dxa"/>
              <w:end w:w="120" w:type="dxa"/>
            </w:tcMar>
          </w:tcPr>
          <w:p>
            <w:pPr>
              <w:jc w:val="center"/>
            </w:pPr>
            <w:r/>
            <w:r>
              <w:rPr>
                <w:rFonts w:ascii="Aptos" w:hAnsi="Aptos"/>
                <w:b w:val="0"/>
                <w:color w:val="1F2933"/>
                <w:sz w:val="17"/>
              </w:rPr>
              <w:t>Qty by risk</w:t>
            </w:r>
          </w:p>
        </w:tc>
        <w:tc>
          <w:tcPr>
            <w:tcW w:type="dxa" w:w="6480"/>
            <w:shd w:fill="F4F7FA"/>
            <w:vAlign w:val="center"/>
            <w:tcMar>
              <w:top w:w="100" w:type="dxa"/>
              <w:start w:w="120" w:type="dxa"/>
              <w:bottom w:w="100" w:type="dxa"/>
              <w:end w:w="120" w:type="dxa"/>
            </w:tcMar>
          </w:tcPr>
          <w:p>
            <w:pPr>
              <w:jc w:val="left"/>
            </w:pPr>
            <w:r/>
            <w:r>
              <w:rPr>
                <w:rFonts w:ascii="Aptos" w:hAnsi="Aptos"/>
                <w:b w:val="0"/>
                <w:color w:val="1F2933"/>
                <w:sz w:val="17"/>
              </w:rPr>
              <w:t>floor(Max risk ÷ Risk/share)</w:t>
            </w:r>
          </w:p>
        </w:tc>
      </w:tr>
      <w:tr>
        <w:tc>
          <w:tcPr>
            <w:tcW w:type="dxa" w:w="3024"/>
            <w:vAlign w:val="center"/>
            <w:tcMar>
              <w:top w:w="100" w:type="dxa"/>
              <w:start w:w="120" w:type="dxa"/>
              <w:bottom w:w="100" w:type="dxa"/>
              <w:end w:w="120" w:type="dxa"/>
            </w:tcMar>
          </w:tcPr>
          <w:p>
            <w:pPr>
              <w:jc w:val="center"/>
            </w:pPr>
            <w:r/>
            <w:r>
              <w:rPr>
                <w:rFonts w:ascii="Aptos" w:hAnsi="Aptos"/>
                <w:b w:val="0"/>
                <w:color w:val="1F2933"/>
                <w:sz w:val="17"/>
              </w:rPr>
              <w:t>Qty by capital</w:t>
            </w:r>
          </w:p>
        </w:tc>
        <w:tc>
          <w:tcPr>
            <w:tcW w:type="dxa" w:w="6480"/>
            <w:vAlign w:val="center"/>
            <w:tcMar>
              <w:top w:w="100" w:type="dxa"/>
              <w:start w:w="120" w:type="dxa"/>
              <w:bottom w:w="100" w:type="dxa"/>
              <w:end w:w="120" w:type="dxa"/>
            </w:tcMar>
          </w:tcPr>
          <w:p>
            <w:pPr>
              <w:jc w:val="left"/>
            </w:pPr>
            <w:r/>
            <w:r>
              <w:rPr>
                <w:rFonts w:ascii="Aptos" w:hAnsi="Aptos"/>
                <w:b w:val="0"/>
                <w:color w:val="1F2933"/>
                <w:sz w:val="17"/>
              </w:rPr>
              <w:t>floor(Capital ÷ Breakout)</w:t>
            </w:r>
          </w:p>
        </w:tc>
      </w:tr>
      <w:tr>
        <w:tc>
          <w:tcPr>
            <w:tcW w:type="dxa" w:w="3024"/>
            <w:shd w:fill="F4F7FA"/>
            <w:vAlign w:val="center"/>
            <w:tcMar>
              <w:top w:w="100" w:type="dxa"/>
              <w:start w:w="120" w:type="dxa"/>
              <w:bottom w:w="100" w:type="dxa"/>
              <w:end w:w="120" w:type="dxa"/>
            </w:tcMar>
          </w:tcPr>
          <w:p>
            <w:pPr>
              <w:jc w:val="center"/>
            </w:pPr>
            <w:r/>
            <w:r>
              <w:rPr>
                <w:rFonts w:ascii="Aptos" w:hAnsi="Aptos"/>
                <w:b w:val="0"/>
                <w:color w:val="1F2933"/>
                <w:sz w:val="17"/>
              </w:rPr>
              <w:t>Suggested quantity</w:t>
            </w:r>
          </w:p>
        </w:tc>
        <w:tc>
          <w:tcPr>
            <w:tcW w:type="dxa" w:w="6480"/>
            <w:shd w:fill="F4F7FA"/>
            <w:vAlign w:val="center"/>
            <w:tcMar>
              <w:top w:w="100" w:type="dxa"/>
              <w:start w:w="120" w:type="dxa"/>
              <w:bottom w:w="100" w:type="dxa"/>
              <w:end w:w="120" w:type="dxa"/>
            </w:tcMar>
          </w:tcPr>
          <w:p>
            <w:pPr>
              <w:jc w:val="left"/>
            </w:pPr>
            <w:r/>
            <w:r>
              <w:rPr>
                <w:rFonts w:ascii="Aptos" w:hAnsi="Aptos"/>
                <w:b w:val="0"/>
                <w:color w:val="1F2933"/>
                <w:sz w:val="17"/>
              </w:rPr>
              <w:t>minimum of Qty by risk and Qty by capital</w:t>
            </w:r>
          </w:p>
        </w:tc>
      </w:tr>
    </w:tbl>
    <w:p>
      <w:pPr>
        <w:widowControl/>
        <w:spacing w:after="40"/>
      </w:pPr>
    </w:p>
    <w:p>
      <w:pPr>
        <w:pStyle w:val="Heading1"/>
        <w:widowControl/>
      </w:pPr>
      <w:r>
        <w:t>Version 1.1 checklist</w:t>
      </w:r>
    </w:p>
    <w:p>
      <w:pPr>
        <w:pStyle w:val="ListBullet"/>
        <w:widowControl/>
        <w:spacing w:after="60"/>
      </w:pPr>
      <w:r>
        <w:rPr>
          <w:sz w:val="20"/>
        </w:rPr>
        <w:t>Telegram parser accepts breakout, SL, targets, holding period and capital.</w:t>
      </w:r>
    </w:p>
    <w:p>
      <w:pPr>
        <w:pStyle w:val="ListBullet"/>
        <w:widowControl/>
        <w:spacing w:after="60"/>
      </w:pPr>
      <w:r>
        <w:rPr>
          <w:sz w:val="20"/>
        </w:rPr>
        <w:t>Default capital is ₹50,000 when capital is omitted.</w:t>
      </w:r>
    </w:p>
    <w:p>
      <w:pPr>
        <w:pStyle w:val="ListBullet"/>
        <w:widowControl/>
        <w:spacing w:after="60"/>
      </w:pPr>
      <w:r>
        <w:rPr>
          <w:sz w:val="20"/>
        </w:rPr>
        <w:t>Upstox supplies NSE/BSE instrument and candle data.</w:t>
      </w:r>
    </w:p>
    <w:p>
      <w:pPr>
        <w:pStyle w:val="ListBullet"/>
        <w:widowControl/>
        <w:spacing w:after="60"/>
      </w:pPr>
      <w:r>
        <w:rPr>
          <w:sz w:val="20"/>
        </w:rPr>
        <w:t>Technical factors: breakout, EMA20, EMA50, RSI14, ATR14, volume ratio.</w:t>
      </w:r>
    </w:p>
    <w:p>
      <w:pPr>
        <w:pStyle w:val="ListBullet"/>
        <w:widowControl/>
        <w:spacing w:after="60"/>
      </w:pPr>
      <w:r>
        <w:rPr>
          <w:sz w:val="20"/>
        </w:rPr>
        <w:t>Trade economics: reward/risk, breakout gap, maximum risk and quantity limits.</w:t>
      </w:r>
    </w:p>
    <w:p>
      <w:pPr>
        <w:pStyle w:val="ListBullet"/>
        <w:widowControl/>
        <w:spacing w:after="60"/>
      </w:pPr>
      <w:r>
        <w:rPr>
          <w:sz w:val="20"/>
        </w:rPr>
        <w:t>Output includes positive evidence, negative evidence and an explicit action.</w:t>
      </w:r>
    </w:p>
    <w:tbl>
      <w:tblPr>
        <w:tblW w:type="auto" w:w="0"/>
        <w:jc w:val="center"/>
        <w:tblLook w:firstColumn="1" w:firstRow="1" w:lastColumn="0" w:lastRow="0" w:noHBand="0" w:noVBand="1" w:val="04A0"/>
      </w:tblPr>
      <w:tblGrid>
        <w:gridCol w:w="10080"/>
      </w:tblGrid>
      <w:tr>
        <w:tc>
          <w:tcPr>
            <w:tcW w:type="dxa" w:w="10080"/>
            <w:shd w:fill="E2F0D9"/>
            <w:tcMar>
              <w:top w:w="160" w:type="dxa"/>
              <w:start w:w="180" w:type="dxa"/>
              <w:bottom w:w="160" w:type="dxa"/>
              <w:end w:w="180" w:type="dxa"/>
            </w:tcMar>
          </w:tcPr>
          <w:p>
            <w:r/>
            <w:r>
              <w:rPr>
                <w:b/>
                <w:color w:val="17365D"/>
                <w:sz w:val="20"/>
              </w:rPr>
              <w:t>Recommended validation practice</w:t>
              <w:br/>
            </w:r>
            <w:r>
              <w:rPr>
                <w:color w:val="273444"/>
                <w:sz w:val="19"/>
              </w:rPr>
              <w:t>Run the system on a sample of real signals and record the subsequent market outcomes before changing weights. Improve the rules from observed evidence rather than repeatedly tuning one example.</w:t>
            </w:r>
          </w:p>
        </w:tc>
      </w:tr>
    </w:tbl>
    <w:p>
      <w:pPr>
        <w:widowControl/>
        <w:spacing w:after="4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Version 1.1  •  Educational decision-support system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TELEGRAM STOCK BREAKOUT ANALYZER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Telegram Stock Breakout Analyzer User Guide</dc:title>
  <dc:subject>Factors, scoring logic, risk management and operating instructions</dc:subject>
  <dc:creator>Shaikh, Rehan (ETW - FLEX)</dc:creator>
  <keywords>Telegram, Upstox, NSE, BSE, breakout, risk management, user guide</keywords>
  <dc:description>generated by python-docx</dc:description>
  <lastModifiedBy>Shaikh, Rehan (ETW - FLEX)</lastModifiedBy>
  <revision>1</revision>
  <dcterms:created xsi:type="dcterms:W3CDTF">2026-09-02T20:27:22.6242132Z</dcterms:created>
  <dcterms:modified xsi:type="dcterms:W3CDTF">2026-09-02T20:27:22.6242132Z</dcterms:modified>
  <category/>
</coreProperties>
</file>