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Pr>
      <w:r>
        <w:rPr/>
        <w:t xml:space="preserve">BUSINESS ENVIRONMENT ANALYSIS: PHYSICAL COMMODITIES SECTOR</w:t>
      </w:r>
    </w:p>
    <w:p w14:paraId="00000002">
      <w:pPr>
        <w:rPr/>
      </w:pPr>
      <w:r>
        <w:rPr/>
        <w:t xml:space="preserve">Prepared for: Econares (ECE Construction and Resources OPC)</w:t>
      </w:r>
    </w:p>
    <w:p w14:paraId="00000003">
      <w:pPr>
        <w:rPr/>
      </w:pPr>
      <w:r>
        <w:rPr/>
        <w:t xml:space="preserve">Date: June 2025</w:t>
      </w:r>
    </w:p>
    <w:p w14:paraId="00000004">
      <w:pPr>
        <w:rPr/>
      </w:pPr>
      <w:r>
        <w:rPr/>
        <w:t xml:space="preserve">Focus Period: 2010–2026</w:t>
      </w:r>
    </w:p>
    <w:p w14:paraId="00000005">
      <w:pPr>
        <w:rPr/>
      </w:pPr>
      <w:r>
        <w:rPr/>
        <w:t xml:space="preserve">Classification: Confidential – For Internal/Stakeholder Use Only</w:t>
      </w:r>
    </w:p>
    <w:p w14:paraId="00000006">
      <w:pPr>
        <w:rPr/>
      </w:pPr>
      <w:r>
        <w:rPr/>
        <w:t xml:space="preserve">EXECUTIVE SUMMARY</w:t>
      </w:r>
    </w:p>
    <w:p w14:paraId="00000007">
      <w:pPr>
        <w:rPr/>
      </w:pPr>
      <w:r>
        <w:rPr/>
        <w:t xml:space="preserve">The global physical commodities market represents a multi-trillion dollar industry fundamental to industrial development and energy generation worldwide. This analysis examines the business environment for Econares (ECE Construction and Resources OPC), a Philippine-based construction and commodities trading company, within this dynamic sector.</w:t>
      </w:r>
    </w:p>
    <w:p w14:paraId="00000008">
      <w:pPr>
        <w:rPr/>
      </w:pPr>
      <w:r>
        <w:rPr/>
        <w:t xml:space="preserve">Key Findings:</w:t>
      </w:r>
    </w:p>
    <w:p w14:paraId="00000009">
      <w:pPr>
        <w:rPr/>
      </w:pPr>
      <w:r>
        <w:rPr/>
        <w:t xml:space="preserve">• Global coal market valued at approximately USD 940 billion in 2024, with steady demand sustained by emerging economies in Asia-Pacific</w:t>
      </w:r>
    </w:p>
    <w:p w14:paraId="0000000a">
      <w:pPr>
        <w:rPr/>
      </w:pPr>
      <w:r>
        <w:rPr/>
        <w:t xml:space="preserve">• Southeast Asia represents the fastest-growing coal import region globally, with the Philippines positioned as a strategic market for industrial fuel and mineral supply</w:t>
      </w:r>
    </w:p>
    <w:p w14:paraId="0000000b">
      <w:pPr>
        <w:rPr/>
      </w:pPr>
      <w:r>
        <w:rPr/>
        <w:t xml:space="preserve">• Key commodity trends (2010-2026): Price volatility driven by geopolitical events, energy transition pressures, and supply chain disruptions</w:t>
      </w:r>
    </w:p>
    <w:p w14:paraId="0000000c">
      <w:pPr>
        <w:rPr/>
      </w:pPr>
      <w:r>
        <w:rPr/>
        <w:t xml:space="preserve">• Regulatory landscape increasingly focused on emissions reduction, with IMO 2020 sulfur cap and evolving environmental compliance requirements</w:t>
      </w:r>
    </w:p>
    <w:p w14:paraId="0000000d">
      <w:pPr>
        <w:rPr/>
      </w:pPr>
      <w:r>
        <w:rPr/>
        <w:t xml:space="preserve">• Economic factors: Strong correlation between GDP growth, infrastructure investment, and commodity demand in developing economies</w:t>
      </w:r>
    </w:p>
    <w:p w14:paraId="0000000e">
      <w:pPr>
        <w:rPr/>
      </w:pPr>
      <w:r>
        <w:rPr/>
        <w:t xml:space="preserve">• Sustainability and ESG considerations becoming critical competitive factors in procurement and operational practices</w:t>
      </w:r>
    </w:p>
    <w:p w14:paraId="0000000f">
      <w:pPr>
        <w:rPr/>
      </w:pPr>
      <w:r>
        <w:rPr/>
        <w:t xml:space="preserve">• Outlook: Continued demand for thermal coal and industrial minerals through 2030, balanced against accelerating energy transition in developed markets</w:t>
      </w:r>
    </w:p>
    <w:p w14:paraId="00000010">
      <w:pPr>
        <w:rPr/>
      </w:pPr>
      <w:r>
        <w:rPr/>
        <w:t xml:space="preserve">Strategic Implications for Econares:</w:t>
      </w:r>
    </w:p>
    <w:p w14:paraId="00000011">
      <w:pPr>
        <w:rPr/>
      </w:pPr>
      <w:r>
        <w:rPr/>
        <w:t xml:space="preserve">1. Diversification Strategy: Expand presence across both industrial fuel (coal) and mineral product lines to mitigate market-specific risks</w:t>
      </w:r>
    </w:p>
    <w:p w14:paraId="00000012">
      <w:pPr>
        <w:rPr/>
      </w:pPr>
      <w:r>
        <w:rPr/>
        <w:t xml:space="preserve">2. Geographic Advantage: Philippine location provides strategic access to growing ASEAN demand while serving domestic industrial sector</w:t>
      </w:r>
    </w:p>
    <w:p w14:paraId="00000013">
      <w:pPr>
        <w:rPr/>
      </w:pPr>
      <w:r>
        <w:rPr/>
        <w:t xml:space="preserve">3. Vertical Integration: Marine logistics capabilities provide competitive advantage in bulk commodity delivery</w:t>
      </w:r>
    </w:p>
    <w:p w14:paraId="00000014">
      <w:pPr>
        <w:rPr/>
      </w:pPr>
      <w:r>
        <w:rPr/>
        <w:t xml:space="preserve">4. Regulatory Preparedness: Proactive compliance with environmental regulations positions the company favorably for long-term operations</w:t>
      </w:r>
    </w:p>
    <w:p w14:paraId="00000015">
      <w:pPr>
        <w:rPr/>
      </w:pPr>
      <w:r>
        <w:rPr/>
        <w:t xml:space="preserve">5. Sustainability Integration: Implementing ESG practices can differentiate Econares in a market where ethical sourcing increasingly influences procurement decisions</w:t>
      </w:r>
    </w:p>
    <w:p w14:paraId="00000016">
      <w:pPr>
        <w:rPr/>
      </w:pPr>
      <w:r>
        <w:rPr/>
        <w:t xml:space="preserve">SECTION 2: OVERVIEW OF THE PHYSICAL COMMODITIES MARKET</w:t>
      </w:r>
    </w:p>
    <w:p w14:paraId="00000017">
      <w:pPr>
        <w:rPr/>
      </w:pPr>
      <w:r>
        <w:rPr/>
        <w:t xml:space="preserve">2.1 Market Definition and Scope</w:t>
      </w:r>
    </w:p>
    <w:p w14:paraId="00000018">
      <w:pPr>
        <w:rPr/>
      </w:pPr>
      <w:r>
        <w:rPr/>
        <w:t xml:space="preserve">The physical commodities market encompasses the trade, transport, and processing of raw materials in bulk quantities. This includes:</w:t>
      </w:r>
    </w:p>
    <w:p w14:paraId="00000019">
      <w:pPr>
        <w:rPr/>
      </w:pPr>
      <w:r>
        <w:rPr/>
        <w:t xml:space="preserve">• Dry Bulk Commodities: Coal, iron ore, grains, minerals, construction aggregates</w:t>
      </w:r>
    </w:p>
    <w:p w14:paraId="0000001a">
      <w:pPr>
        <w:rPr/>
      </w:pPr>
      <w:r>
        <w:rPr/>
        <w:t xml:space="preserve">• Industrial Minerals: Limestone, silica sand, chromite, nickel, copper</w:t>
      </w:r>
    </w:p>
    <w:p w14:paraId="0000001b">
      <w:pPr>
        <w:rPr/>
      </w:pPr>
      <w:r>
        <w:rPr/>
        <w:t xml:space="preserve">• Biofuels and Biomass: Palm kernel shell, woodchips, industrial pellets</w:t>
      </w:r>
    </w:p>
    <w:p w14:paraId="0000001c">
      <w:pPr>
        <w:rPr/>
      </w:pPr>
      <w:r>
        <w:rPr/>
        <w:t xml:space="preserve">• Metallurgical Products: Coke, ferroalloys</w:t>
      </w:r>
    </w:p>
    <w:p w14:paraId="0000001d">
      <w:pPr>
        <w:rPr/>
      </w:pPr>
      <w:r>
        <w:rPr/>
        <w:t xml:space="preserve">For Econares specifically, the relevant market segments include:</w:t>
      </w:r>
    </w:p>
    <w:p w14:paraId="0000001e">
      <w:pPr>
        <w:rPr/>
      </w:pPr>
      <w:r>
        <w:rPr/>
        <w:t xml:space="preserve">- Thermal coal for power generation and industrial heating</w:t>
      </w:r>
    </w:p>
    <w:p w14:paraId="0000001f">
      <w:pPr>
        <w:rPr/>
      </w:pPr>
      <w:r>
        <w:rPr/>
        <w:t xml:space="preserve">- Metallurgical coke for steel manufacturing</w:t>
      </w:r>
    </w:p>
    <w:p w14:paraId="00000020">
      <w:pPr>
        <w:rPr/>
      </w:pPr>
      <w:r>
        <w:rPr/>
        <w:t xml:space="preserve">- Industrial minerals (limestone, aggregates, silica sand) for construction</w:t>
      </w:r>
    </w:p>
    <w:p w14:paraId="00000021">
      <w:pPr>
        <w:rPr/>
      </w:pPr>
      <w:r>
        <w:rPr/>
        <w:t xml:space="preserve">- Metallic minerals (nickel, chromite, copper) for industrial processing</w:t>
      </w:r>
    </w:p>
    <w:p w14:paraId="00000022">
      <w:pPr>
        <w:rPr/>
      </w:pPr>
      <w:r>
        <w:rPr/>
        <w:t xml:space="preserve">2.2 Global Market Size and Value</w:t>
      </w:r>
    </w:p>
    <w:p w14:paraId="00000023">
      <w:pPr>
        <w:rPr/>
      </w:pPr>
      <w:r>
        <w:rPr/>
        <w:t xml:space="preserve">Based on available industry data:</w:t>
      </w:r>
    </w:p>
    <w:p w14:paraId="00000024">
      <w:pPr>
        <w:rPr/>
      </w:pPr>
      <w:r>
        <w:rPr/>
        <w:t xml:space="preserve">| Commodity Segment | Estimated Global Value (2024) | Key Markets |</w:t>
      </w:r>
    </w:p>
    <w:p w14:paraId="00000025">
      <w:pPr>
        <w:rPr/>
      </w:pPr>
      <w:r>
        <w:rPr/>
        <w:t xml:space="preserve">|------------------|------------------------------|-------------|</w:t>
      </w:r>
    </w:p>
    <w:p w14:paraId="00000026">
      <w:pPr>
        <w:rPr/>
      </w:pPr>
      <w:r>
        <w:rPr/>
        <w:t xml:space="preserve">| Thermal Coal | USD 500-600 billion | China, India, Southeast Asia |</w:t>
      </w:r>
    </w:p>
    <w:p w14:paraId="00000027">
      <w:pPr>
        <w:rPr/>
      </w:pPr>
      <w:r>
        <w:rPr/>
        <w:t xml:space="preserve">| Metallurgical Coal | USD 150-200 billion | Steel-producing nations |</w:t>
      </w:r>
    </w:p>
    <w:p w14:paraId="00000028">
      <w:pPr>
        <w:rPr/>
      </w:pPr>
      <w:r>
        <w:rPr/>
        <w:t xml:space="preserve">| Industrial Minerals | USD 400+ billion | Construction, manufacturing globally |</w:t>
      </w:r>
    </w:p>
    <w:p w14:paraId="00000029">
      <w:pPr>
        <w:rPr/>
      </w:pPr>
      <w:r>
        <w:rPr/>
        <w:t xml:space="preserve">| Iron Ore | USD 200-250 billion | China (70%+ of consumption) |</w:t>
      </w:r>
    </w:p>
    <w:p w14:paraId="0000002a">
      <w:pPr>
        <w:rPr/>
      </w:pPr>
      <w:r>
        <w:rPr/>
        <w:t xml:space="preserve">The Baltic Dry Index (BDI), published by the Baltic Exchange in London, serves as the primary benchmark for bulk shipping costs and functions as an economic indicator. The BDI is derived from four component indices: Capesize (BCI), Panamax (BPI), Supramax (BSI), and Handysize (BHSI).</w:t>
      </w:r>
    </w:p>
    <w:p w14:paraId="0000002b">
      <w:pPr>
        <w:rPr/>
      </w:pPr>
      <w:r>
        <w:rPr/>
        <w:t xml:space="preserve">2.3 Current Market Trends (2022-2026)</w:t>
      </w:r>
    </w:p>
    <w:p w14:paraId="0000002c">
      <w:pPr>
        <w:rPr/>
      </w:pPr>
      <w:r>
        <w:rPr/>
        <w:t xml:space="preserve">2.3.1 Post-Pandemic Recovery and Supply Chain Normalization</w:t>
      </w:r>
    </w:p>
    <w:p w14:paraId="0000002d">
      <w:pPr>
        <w:rPr/>
      </w:pPr>
      <w:r>
        <w:rPr/>
        <w:t xml:space="preserve">The COVID-19 pandemic (2020-2021) caused significant disruption to commodity supply chains, with recovery through 2022-2024 characterized by:</w:t>
      </w:r>
    </w:p>
    <w:p w14:paraId="0000002e">
      <w:pPr>
        <w:rPr/>
      </w:pPr>
      <w:r>
        <w:rPr/>
        <w:t xml:space="preserve">- Inventory restocking across industrial sectors</w:t>
      </w:r>
    </w:p>
    <w:p w14:paraId="0000002f">
      <w:pPr>
        <w:rPr/>
      </w:pPr>
      <w:r>
        <w:rPr/>
        <w:t xml:space="preserve">- Normalization of shipping rates after unprecedented highs in 2021</w:t>
      </w:r>
    </w:p>
    <w:p w14:paraId="00000030">
      <w:pPr>
        <w:rPr/>
      </w:pPr>
      <w:r>
        <w:rPr/>
        <w:t xml:space="preserve">- Sustained demand in Asia-Pacific driven by infrastructure development</w:t>
      </w:r>
    </w:p>
    <w:p w14:paraId="00000031">
      <w:pPr>
        <w:rPr/>
      </w:pPr>
      <w:r>
        <w:rPr/>
        <w:t xml:space="preserve">2.3.2 Energy Transition Impact</w:t>
      </w:r>
    </w:p>
    <w:p w14:paraId="00000032">
      <w:pPr>
        <w:rPr/>
      </w:pPr>
      <w:r>
        <w:rPr/>
        <w:t xml:space="preserve">The global energy transition is creating a bifurcation in the coal market:</w:t>
      </w:r>
    </w:p>
    <w:p w14:paraId="00000033">
      <w:pPr>
        <w:rPr/>
      </w:pPr>
      <w:r>
        <w:rPr/>
        <w:t xml:space="preserve">- Thermal coal faces declining outlook in Europe and North America</w:t>
      </w:r>
    </w:p>
    <w:p w14:paraId="00000034">
      <w:pPr>
        <w:rPr/>
      </w:pPr>
      <w:r>
        <w:rPr/>
        <w:t xml:space="preserve">- Sustained and growing demand in Asia-Pacific, particularly Southeast Asia</w:t>
      </w:r>
    </w:p>
    <w:p w14:paraId="00000035">
      <w:pPr>
        <w:rPr/>
      </w:pPr>
      <w:r>
        <w:rPr/>
        <w:t xml:space="preserve">- Metallurgical (coking) coal maintains more stable outlook due to steel production requirements</w:t>
      </w:r>
    </w:p>
    <w:p w14:paraId="00000036">
      <w:pPr>
        <w:rPr/>
      </w:pPr>
      <w:r>
        <w:rPr/>
        <w:t xml:space="preserve">2.3.3 Price Dynamics</w:t>
      </w:r>
    </w:p>
    <w:p w14:paraId="00000037">
      <w:pPr>
        <w:rPr/>
      </w:pPr>
      <w:r>
        <w:rPr/>
        <w:t xml:space="preserve">Coal prices have demonstrated significant volatility:</w:t>
      </w:r>
    </w:p>
    <w:p w14:paraId="00000038">
      <w:pPr>
        <w:rPr/>
      </w:pPr>
      <w:r>
        <w:rPr/>
        <w:t xml:space="preserve">- Newcastle thermal coal spot prices: Ranged from USD 50-180/tonne over 2010-2026 period</w:t>
      </w:r>
    </w:p>
    <w:p w14:paraId="00000039">
      <w:pPr>
        <w:rPr/>
      </w:pPr>
      <w:r>
        <w:rPr/>
        <w:t xml:space="preserve">- Price spikes in 2021-2022 following geopolitical disruptions (Russia-Ukraine conflict)</w:t>
      </w:r>
    </w:p>
    <w:p w14:paraId="0000003a">
      <w:pPr>
        <w:rPr/>
      </w:pPr>
      <w:r>
        <w:rPr/>
        <w:t xml:space="preserve">- Price normalization through 2023-2024 as alternative supplies came online</w:t>
      </w:r>
    </w:p>
    <w:p w14:paraId="0000003b">
      <w:pPr>
        <w:rPr/>
      </w:pPr>
      <w:r>
        <w:rPr/>
        <w:t xml:space="preserve">2.3.4 Trade Flow Patterns</w:t>
      </w:r>
    </w:p>
    <w:p w14:paraId="0000003c">
      <w:pPr>
        <w:rPr/>
      </w:pPr>
      <w:r>
        <w:rPr/>
        <w:t xml:space="preserve">- Indonesia and Australia remain the dominant global coal exporters</w:t>
      </w:r>
    </w:p>
    <w:p w14:paraId="0000003d">
      <w:pPr>
        <w:rPr/>
      </w:pPr>
      <w:r>
        <w:rPr/>
        <w:t xml:space="preserve">- China remains the largest single importer, though domestic production is significant</w:t>
      </w:r>
    </w:p>
    <w:p w14:paraId="0000003e">
      <w:pPr>
        <w:rPr/>
      </w:pPr>
      <w:r>
        <w:rPr/>
        <w:t xml:space="preserve">- Southeast Asia increasingly integrated as both exporter (Indonesia) and importer (Vietnam, Philippines, Thailand)</w:t>
      </w:r>
    </w:p>
    <w:p w14:paraId="0000003f">
      <w:pPr>
        <w:rPr/>
      </w:pPr>
      <w:r>
        <w:rPr/>
        <w:t xml:space="preserve">- India emerged as a significant coal importer, competing with China for seaborne cargo</w:t>
      </w:r>
    </w:p>
    <w:p w14:paraId="00000040">
      <w:pPr>
        <w:rPr/>
      </w:pPr>
      <w:r>
        <w:rPr/>
        <w:t xml:space="preserve">2.4 Philippine Market Context</w:t>
      </w:r>
    </w:p>
    <w:p w14:paraId="00000041">
      <w:pPr>
        <w:rPr/>
      </w:pPr>
      <w:r>
        <w:rPr/>
        <w:t xml:space="preserve">The Philippines presents a unique market position:</w:t>
      </w:r>
    </w:p>
    <w:p w14:paraId="00000042">
      <w:pPr>
        <w:rPr/>
      </w:pPr>
      <w:r>
        <w:rPr/>
        <w:t xml:space="preserve">Energy Profile:</w:t>
      </w:r>
    </w:p>
    <w:p w14:paraId="00000043">
      <w:pPr>
        <w:rPr/>
      </w:pPr>
      <w:r>
        <w:rPr/>
        <w:t xml:space="preserve">- Coal accounts for approximately 54% of electricity generation (as of 2023)</w:t>
      </w:r>
    </w:p>
    <w:p w14:paraId="00000044">
      <w:pPr>
        <w:rPr/>
      </w:pPr>
      <w:r>
        <w:rPr/>
        <w:t xml:space="preserve">- The country imports approximately 70% of its coal requirements</w:t>
      </w:r>
    </w:p>
    <w:p w14:paraId="00000045">
      <w:pPr>
        <w:rPr/>
      </w:pPr>
      <w:r>
        <w:rPr/>
        <w:t xml:space="preserve">- Domestic coal production concentrated in Mindanao and Cotabato regions</w:t>
      </w:r>
    </w:p>
    <w:p w14:paraId="00000046">
      <w:pPr>
        <w:rPr/>
      </w:pPr>
      <w:r>
        <w:rPr/>
        <w:t xml:space="preserve">- Import sources: Indonesia (primary), Australia (premium grades)</w:t>
      </w:r>
    </w:p>
    <w:p w14:paraId="00000047">
      <w:pPr>
        <w:rPr/>
      </w:pPr>
      <w:r>
        <w:rPr/>
        <w:t xml:space="preserve">Industrial Minerals Market:</w:t>
      </w:r>
    </w:p>
    <w:p w14:paraId="00000048">
      <w:pPr>
        <w:rPr/>
      </w:pPr>
      <w:r>
        <w:rPr/>
        <w:t xml:space="preserve">- Construction sector drives significant demand for aggregates, limestone, silica sand</w:t>
      </w:r>
    </w:p>
    <w:p w14:paraId="00000049">
      <w:pPr>
        <w:rPr/>
      </w:pPr>
      <w:r>
        <w:rPr/>
        <w:t xml:space="preserve">- Cement industry expansion supports sustained limestone demand</w:t>
      </w:r>
    </w:p>
    <w:p w14:paraId="0000004a">
      <w:pPr>
        <w:rPr/>
      </w:pPr>
      <w:r>
        <w:rPr/>
        <w:t xml:space="preserve">- Mining sector provides both competition and opportunity for mineral trading</w:t>
      </w:r>
    </w:p>
    <w:p w14:paraId="0000004b">
      <w:pPr>
        <w:rPr/>
      </w:pPr>
      <w:r>
        <w:rPr/>
        <w:t xml:space="preserve">Import Dynamics:</w:t>
      </w:r>
    </w:p>
    <w:p w14:paraId="0000004c">
      <w:pPr>
        <w:rPr/>
      </w:pPr>
      <w:r>
        <w:rPr/>
        <w:t xml:space="preserve">- Major import ports: Manila, Cebu, Mindanao terminals</w:t>
      </w:r>
    </w:p>
    <w:p w14:paraId="0000004d">
      <w:pPr>
        <w:rPr/>
      </w:pPr>
      <w:r>
        <w:rPr/>
        <w:t xml:space="preserve">- Bunkering and port facilities concentrated in key maritime corridors</w:t>
      </w:r>
    </w:p>
    <w:p w14:paraId="0000004e">
      <w:pPr>
        <w:rPr/>
      </w:pPr>
      <w:r>
        <w:rPr/>
        <w:t xml:space="preserve">- Growing domestic demand from infrastructure development (Build, Build, Build program)</w:t>
      </w:r>
    </w:p>
    <w:p w14:paraId="0000004f">
      <w:pPr>
        <w:rPr/>
      </w:pPr>
      <w:r>
        <w:rPr/>
        <w:t xml:space="preserve">2.5 Key Statistics: Global Production and Trade</w:t>
      </w:r>
    </w:p>
    <w:p w14:paraId="00000050">
      <w:pPr>
        <w:rPr/>
      </w:pPr>
      <w:r>
        <w:rPr/>
        <w:t xml:space="preserve">Coal Production by Country (approximate annual volumes):</w:t>
      </w:r>
    </w:p>
    <w:p w14:paraId="00000051">
      <w:pPr>
        <w:rPr/>
      </w:pPr>
      <w:r>
        <w:rPr/>
        <w:t xml:space="preserve">- China: 4.0+ billion tonnes (predominantly domestic consumption)</w:t>
      </w:r>
    </w:p>
    <w:p w14:paraId="00000052">
      <w:pPr>
        <w:rPr/>
      </w:pPr>
      <w:r>
        <w:rPr/>
        <w:t xml:space="preserve">- India: 900+ million tonnes</w:t>
      </w:r>
    </w:p>
    <w:p w14:paraId="00000053">
      <w:pPr>
        <w:rPr/>
      </w:pPr>
      <w:r>
        <w:rPr/>
        <w:t xml:space="preserve">- Indonesia: 600-700 million tonnes (largest exporter)</w:t>
      </w:r>
    </w:p>
    <w:p w14:paraId="00000054">
      <w:pPr>
        <w:rPr/>
      </w:pPr>
      <w:r>
        <w:rPr/>
        <w:t xml:space="preserve">- Australia: 500-600 million tonnes (premium export grades)</w:t>
      </w:r>
    </w:p>
    <w:p w14:paraId="00000055">
      <w:pPr>
        <w:rPr/>
      </w:pPr>
      <w:r>
        <w:rPr/>
        <w:t xml:space="preserve">- United States: 500 million tonnes (declining)</w:t>
      </w:r>
    </w:p>
    <w:p w14:paraId="00000056">
      <w:pPr>
        <w:rPr/>
      </w:pPr>
      <w:r>
        <w:rPr/>
        <w:t xml:space="preserve">- Russia: 400+ million tonnes (export-focused)</w:t>
      </w:r>
    </w:p>
    <w:p w14:paraId="00000057">
      <w:pPr>
        <w:rPr/>
      </w:pPr>
      <w:r>
        <w:rPr/>
        <w:t xml:space="preserve">Global Seaborne Coal Trade:</w:t>
      </w:r>
    </w:p>
    <w:p w14:paraId="00000058">
      <w:pPr>
        <w:rPr/>
      </w:pPr>
      <w:r>
        <w:rPr/>
        <w:t xml:space="preserve">- Total seaborne trade: Approximately 1.3-1.5 billion tonnes annually</w:t>
      </w:r>
    </w:p>
    <w:p w14:paraId="00000059">
      <w:pPr>
        <w:rPr/>
      </w:pPr>
      <w:r>
        <w:rPr/>
        <w:t xml:space="preserve">- Indonesia accounts for 40%+ of seaborne thermal coal exports</w:t>
      </w:r>
    </w:p>
    <w:p w14:paraId="0000005a">
      <w:pPr>
        <w:rPr/>
      </w:pPr>
      <w:r>
        <w:rPr/>
        <w:t xml:space="preserve">- Australia dominates premium coking coal market</w:t>
      </w:r>
    </w:p>
    <w:p w14:paraId="0000005b">
      <w:pPr>
        <w:rPr/>
      </w:pPr>
      <w:r>
        <w:rPr/>
        <w:t xml:space="preserve">- Key import routes: Indonesia/Japan/Korea/Taiwan corridor; Australia/China corridor</w:t>
      </w:r>
    </w:p>
    <w:p w14:paraId="0000005c">
      <w:pPr>
        <w:rPr/>
      </w:pPr>
      <w:r>
        <w:rPr/>
        <w:t xml:space="preserve">Industrial Minerals:</w:t>
      </w:r>
    </w:p>
    <w:p w14:paraId="0000005d">
      <w:pPr>
        <w:rPr/>
      </w:pPr>
      <w:r>
        <w:rPr/>
        <w:t xml:space="preserve">- Global limestone production: 13+ billion tonnes annually</w:t>
      </w:r>
    </w:p>
    <w:p w14:paraId="0000005e">
      <w:pPr>
        <w:rPr/>
      </w:pPr>
      <w:r>
        <w:rPr/>
        <w:t xml:space="preserve">- Silica sand: 300+ million tonnes annually</w:t>
      </w:r>
    </w:p>
    <w:p w14:paraId="0000005f">
      <w:pPr>
        <w:rPr/>
      </w:pPr>
      <w:r>
        <w:rPr/>
        <w:t xml:space="preserve">- Chromite: 30+ million tonnes (South Africa, Kazakhstan, India dominant)</w:t>
      </w:r>
    </w:p>
    <w:p w14:paraId="00000060">
      <w:pPr>
        <w:rPr/>
      </w:pPr>
      <w:r>
        <w:rPr/>
        <w:t xml:space="preserve">- Nickel: 3+ million tonnes (Indonesia, Philippines as primary laterite producers)</w:t>
      </w:r>
    </w:p>
    <w:p w14:paraId="00000061">
      <w:pPr>
        <w:rPr/>
      </w:pPr>
      <w:r>
        <w:rPr/>
        <w:t xml:space="preserve">SECTION 3: MAJOR PLAYERS IN THE INDUSTRY</w:t>
      </w:r>
    </w:p>
    <w:p w14:paraId="00000062">
      <w:pPr>
        <w:rPr/>
      </w:pPr>
      <w:r>
        <w:rPr/>
        <w:t xml:space="preserve">3.1 Global Commodity Trading Majors</w:t>
      </w:r>
    </w:p>
    <w:p w14:paraId="00000063">
      <w:pPr>
        <w:rPr/>
      </w:pPr>
      <w:r>
        <w:rPr/>
        <w:t xml:space="preserve">The physical commodities trading sector is dominated by several multinational trading houses:</w:t>
      </w:r>
    </w:p>
    <w:p w14:paraId="00000064">
      <w:pPr>
        <w:rPr/>
      </w:pPr>
      <w:r>
        <w:rPr/>
        <w:t xml:space="preserve">| Company | Annual Revenue (Approx.) | Core Commodities | Market Position |</w:t>
      </w:r>
    </w:p>
    <w:p w14:paraId="00000065">
      <w:pPr>
        <w:rPr/>
      </w:pPr>
      <w:r>
        <w:rPr/>
        <w:t xml:space="preserve">|---------|-------------------------|------------------|------------------|</w:t>
      </w:r>
    </w:p>
    <w:p w14:paraId="00000066">
      <w:pPr>
        <w:rPr/>
      </w:pPr>
      <w:r>
        <w:rPr/>
        <w:t xml:space="preserve">| Glencore | USD 250+ billion | Coal, metals, agriculture | Largest global coal trader |</w:t>
      </w:r>
    </w:p>
    <w:p w14:paraId="00000067">
      <w:pPr>
        <w:rPr/>
      </w:pPr>
      <w:r>
        <w:rPr/>
        <w:t xml:space="preserve">| Trafigura | USD 180+ billion | Oil, metals, coal | Top 3 overall trader |</w:t>
      </w:r>
    </w:p>
    <w:p w14:paraId="00000068">
      <w:pPr>
        <w:rPr/>
      </w:pPr>
      <w:r>
        <w:rPr/>
        <w:t xml:space="preserve">| Vitol | USD 300+ billion | Oil, refined products | Largest oil trader, growing coal |</w:t>
      </w:r>
    </w:p>
    <w:p w14:paraId="00000069">
      <w:pPr>
        <w:rPr/>
      </w:pPr>
      <w:r>
        <w:rPr/>
        <w:t xml:space="preserve">| Cargill | USD 160+ billion | Agriculture, metals | Major dry bulk player |</w:t>
      </w:r>
    </w:p>
    <w:p w14:paraId="0000006a">
      <w:pPr>
        <w:rPr/>
      </w:pPr>
      <w:r>
        <w:rPr/>
        <w:t xml:space="preserve">| ADM | USD 90+ billion | Agriculture, oilseeds | Growing industrial presence |</w:t>
      </w:r>
    </w:p>
    <w:p w14:paraId="0000006b">
      <w:pPr>
        <w:rPr/>
      </w:pPr>
      <w:r>
        <w:rPr/>
        <w:t xml:space="preserve">| Bunge | USD 70+ billion | Agriculture, sugar | Diversified commodities |</w:t>
      </w:r>
    </w:p>
    <w:p w14:paraId="0000006c">
      <w:pPr>
        <w:rPr/>
      </w:pPr>
      <w:r>
        <w:rPr/>
        <w:t xml:space="preserve">| Louis Dreyfus | USD 50+ billion | Agriculture, cotton | Vertically integrated |</w:t>
      </w:r>
    </w:p>
    <w:p w14:paraId="0000006d">
      <w:pPr>
        <w:rPr/>
      </w:pPr>
      <w:r>
        <w:rPr/>
        <w:t xml:space="preserve">Strategic Characteristics of Majors:</w:t>
      </w:r>
    </w:p>
    <w:p w14:paraId="0000006e">
      <w:pPr>
        <w:rPr/>
      </w:pPr>
      <w:r>
        <w:rPr/>
        <w:t xml:space="preserve">- Vertically integrated operations (production to logistics to trading)</w:t>
      </w:r>
    </w:p>
    <w:p w14:paraId="0000006f">
      <w:pPr>
        <w:rPr/>
      </w:pPr>
      <w:r>
        <w:rPr/>
        <w:t xml:space="preserve">- Global footprint with local market expertise</w:t>
      </w:r>
    </w:p>
    <w:p w14:paraId="00000070">
      <w:pPr>
        <w:rPr/>
      </w:pPr>
      <w:r>
        <w:rPr/>
        <w:t xml:space="preserve">- Sophisticated risk management and hedging capabilities</w:t>
      </w:r>
    </w:p>
    <w:p w14:paraId="00000071">
      <w:pPr>
        <w:rPr/>
      </w:pPr>
      <w:r>
        <w:rPr/>
        <w:t xml:space="preserve">- Significant capital reserves for inventory and infrastructure</w:t>
      </w:r>
    </w:p>
    <w:p w14:paraId="00000072">
      <w:pPr>
        <w:rPr/>
      </w:pPr>
      <w:r>
        <w:rPr/>
        <w:t xml:space="preserve">- Established relationships with major producers and consumers</w:t>
      </w:r>
    </w:p>
    <w:p w14:paraId="00000073">
      <w:pPr>
        <w:rPr/>
      </w:pPr>
      <w:r>
        <w:rPr/>
        <w:t xml:space="preserve">3.2 Regional Players in Asia-Pacific</w:t>
      </w:r>
    </w:p>
    <w:p w14:paraId="00000074">
      <w:pPr>
        <w:rPr/>
      </w:pPr>
      <w:r>
        <w:rPr/>
        <w:t xml:space="preserve">3.2.1 Japanese Trading Houses (Sogo Shosha)</w:t>
      </w:r>
    </w:p>
    <w:p w14:paraId="00000075">
      <w:pPr>
        <w:rPr/>
      </w:pPr>
      <w:r>
        <w:rPr/>
        <w:t xml:space="preserve">The Japanese trading companies have significant commodity operations:</w:t>
      </w:r>
    </w:p>
    <w:p w14:paraId="00000076">
      <w:pPr>
        <w:rPr/>
      </w:pPr>
      <w:r>
        <w:rPr/>
        <w:t xml:space="preserve">- Mitsubishi Corporation: Diversified commodities and infrastructure</w:t>
      </w:r>
    </w:p>
    <w:p w14:paraId="00000077">
      <w:pPr>
        <w:rPr/>
      </w:pPr>
      <w:r>
        <w:rPr/>
        <w:t xml:space="preserve">- Mitsui &amp; Co.: Energy, metals, and chemicals</w:t>
      </w:r>
    </w:p>
    <w:p w14:paraId="00000078">
      <w:pPr>
        <w:rPr/>
      </w:pPr>
      <w:r>
        <w:rPr/>
        <w:t xml:space="preserve">- Itochu Corporation: Metals, minerals, and manufactured goods</w:t>
      </w:r>
    </w:p>
    <w:p w14:paraId="00000079">
      <w:pPr>
        <w:rPr/>
      </w:pPr>
      <w:r>
        <w:rPr/>
        <w:t xml:space="preserve">- Sumitomo Corporation: Global resource investments</w:t>
      </w:r>
    </w:p>
    <w:p w14:paraId="0000007a">
      <w:pPr>
        <w:rPr/>
      </w:pPr>
      <w:r>
        <w:rPr/>
        <w:t xml:space="preserve">- Marubeni Corporation: Power, foods, and lifestyle products</w:t>
      </w:r>
    </w:p>
    <w:p w14:paraId="0000007b">
      <w:pPr>
        <w:rPr/>
      </w:pPr>
      <w:r>
        <w:rPr/>
        <w:t xml:space="preserve">These entities provide competition for bulk commodity supply contracts but also represent potential partnership opportunities for financing and market access.</w:t>
      </w:r>
    </w:p>
    <w:p w14:paraId="0000007c">
      <w:pPr>
        <w:rPr/>
      </w:pPr>
      <w:r>
        <w:rPr/>
        <w:t xml:space="preserve">3.2.2 Singapore-Based Traders</w:t>
      </w:r>
    </w:p>
    <w:p w14:paraId="0000007d">
      <w:pPr>
        <w:rPr/>
      </w:pPr>
      <w:r>
        <w:rPr/>
        <w:t xml:space="preserve">Singapore serves as the Asian hub for commodity trading:</w:t>
      </w:r>
    </w:p>
    <w:p w14:paraId="0000007e">
      <w:pPr>
        <w:rPr/>
      </w:pPr>
      <w:r>
        <w:rPr/>
        <w:t xml:space="preserve">- Gunvor Group: Major coal and oil trader</w:t>
      </w:r>
    </w:p>
    <w:p w14:paraId="0000007f">
      <w:pPr>
        <w:rPr/>
      </w:pPr>
      <w:r>
        <w:rPr/>
        <w:t xml:space="preserve">- Mercuria Energy Group: Global commodities trading</w:t>
      </w:r>
    </w:p>
    <w:p w14:paraId="00000080">
      <w:pPr>
        <w:rPr/>
      </w:pPr>
      <w:r>
        <w:rPr/>
        <w:t xml:space="preserve">- Olam International: Agricultural and food ingredients</w:t>
      </w:r>
    </w:p>
    <w:p w14:paraId="00000081">
      <w:pPr>
        <w:rPr/>
      </w:pPr>
      <w:r>
        <w:rPr/>
        <w:t xml:space="preserve">- Wilmar International: Palm oil, sugar, rubber</w:t>
      </w:r>
    </w:p>
    <w:p w14:paraId="00000082">
      <w:pPr>
        <w:rPr/>
      </w:pPr>
      <w:r>
        <w:rPr/>
        <w:t xml:space="preserve">3.2.3 Chinese Trading Entities</w:t>
      </w:r>
    </w:p>
    <w:p w14:paraId="00000083">
      <w:pPr>
        <w:rPr/>
      </w:pPr>
      <w:r>
        <w:rPr/>
        <w:t xml:space="preserve">State-owned and controlled enterprises dominate Chinese commodity trade:</w:t>
      </w:r>
    </w:p>
    <w:p w14:paraId="00000084">
      <w:pPr>
        <w:rPr/>
      </w:pPr>
      <w:r>
        <w:rPr/>
        <w:t xml:space="preserve">- China National Coal Group (China Coal): Domestic production and imports</w:t>
      </w:r>
    </w:p>
    <w:p w14:paraId="00000085">
      <w:pPr>
        <w:rPr/>
      </w:pPr>
      <w:r>
        <w:rPr/>
        <w:t xml:space="preserve">- Shenhua Group (now part of China Energy): Largest Chinese coal producer</w:t>
      </w:r>
    </w:p>
    <w:p w14:paraId="00000086">
      <w:pPr>
        <w:rPr/>
      </w:pPr>
      <w:r>
        <w:rPr/>
        <w:t xml:space="preserve">- COALCO: Import and logistics operations</w:t>
      </w:r>
    </w:p>
    <w:p w14:paraId="00000087">
      <w:pPr>
        <w:rPr/>
      </w:pPr>
      <w:r>
        <w:rPr/>
        <w:t xml:space="preserve">- China Minmetals: Non-ferrous metals trading</w:t>
      </w:r>
    </w:p>
    <w:p w14:paraId="00000088">
      <w:pPr>
        <w:rPr/>
      </w:pPr>
      <w:r>
        <w:rPr/>
        <w:t xml:space="preserve">3.3 Philippine Market Competitors</w:t>
      </w:r>
    </w:p>
    <w:p w14:paraId="00000089">
      <w:pPr>
        <w:rPr/>
      </w:pPr>
      <w:r>
        <w:rPr/>
        <w:t xml:space="preserve">Within the Philippine market, Econares operates among several categories of competitors:</w:t>
      </w:r>
    </w:p>
    <w:p w14:paraId="0000008a">
      <w:pPr>
        <w:rPr/>
      </w:pPr>
      <w:r>
        <w:rPr/>
        <w:t xml:space="preserve">3.3.1 Coal and Industrial Fuel Traders</w:t>
      </w:r>
    </w:p>
    <w:p w14:paraId="0000008b">
      <w:pPr>
        <w:rPr/>
      </w:pPr>
      <w:r>
        <w:rPr/>
        <w:t xml:space="preserve">- DM Consunji, Inc.: Established construction and mining company with commodity trading</w:t>
      </w:r>
    </w:p>
    <w:p w14:paraId="0000008c">
      <w:pPr>
        <w:rPr/>
      </w:pPr>
      <w:r>
        <w:rPr/>
        <w:t xml:space="preserve">- Republic Cement and Building Materials, Inc.: Cement manufacturer with coal procurement operations</w:t>
      </w:r>
    </w:p>
    <w:p w14:paraId="0000008d">
      <w:pPr>
        <w:rPr/>
      </w:pPr>
      <w:r>
        <w:rPr/>
        <w:t xml:space="preserve">- Holcim Philippines: Large-scale cement operations with established supply chains</w:t>
      </w:r>
    </w:p>
    <w:p w14:paraId="0000008e">
      <w:pPr>
        <w:rPr/>
      </w:pPr>
      <w:r>
        <w:rPr/>
        <w:t xml:space="preserve">- Aggregate Mining Technologies: Aggregate extraction and supply</w:t>
      </w:r>
    </w:p>
    <w:p w14:paraId="0000008f">
      <w:pPr>
        <w:rPr/>
      </w:pPr>
      <w:r>
        <w:rPr/>
        <w:t xml:space="preserve">- Philweb Corporation: Industrial fuel distribution</w:t>
      </w:r>
    </w:p>
    <w:p w14:paraId="00000090">
      <w:pPr>
        <w:rPr/>
      </w:pPr>
      <w:r>
        <w:rPr/>
        <w:t xml:space="preserve">3.3.2 Mining and Mineral Traders</w:t>
      </w:r>
    </w:p>
    <w:p w14:paraId="00000091">
      <w:pPr>
        <w:rPr/>
      </w:pPr>
      <w:r>
        <w:rPr/>
        <w:t xml:space="preserve">- Nickel Asia Corporation: Largest nickel producer, integrated logistics</w:t>
      </w:r>
    </w:p>
    <w:p w14:paraId="00000092">
      <w:pPr>
        <w:rPr/>
      </w:pPr>
      <w:r>
        <w:rPr/>
        <w:t xml:space="preserve">- Carmen Copper Corporation: Copper and gold production</w:t>
      </w:r>
    </w:p>
    <w:p w14:paraId="00000093">
      <w:pPr>
        <w:rPr/>
      </w:pPr>
      <w:r>
        <w:rPr/>
        <w:t xml:space="preserve">- Philex Mining Corporation: Diversified mining operations</w:t>
      </w:r>
    </w:p>
    <w:p w14:paraId="00000094">
      <w:pPr>
        <w:rPr/>
      </w:pPr>
      <w:r>
        <w:rPr/>
        <w:t xml:space="preserve">- Semirara Mining and Power Corporation: Domestic coal producer</w:t>
      </w:r>
    </w:p>
    <w:p w14:paraId="00000095">
      <w:pPr>
        <w:rPr/>
      </w:pPr>
      <w:r>
        <w:rPr/>
        <w:t xml:space="preserve">3.3.3 Construction Aggregates</w:t>
      </w:r>
    </w:p>
    <w:p w14:paraId="00000096">
      <w:pPr>
        <w:rPr/>
      </w:pPr>
      <w:r>
        <w:rPr/>
        <w:t xml:space="preserve">- DMCI Homes: Integrated construction and aggregates</w:t>
      </w:r>
    </w:p>
    <w:p w14:paraId="00000097">
      <w:pPr>
        <w:rPr/>
      </w:pPr>
      <w:r>
        <w:rPr/>
        <w:t xml:space="preserve">- Republic Cement: Limestone and aggregates for cement production</w:t>
      </w:r>
    </w:p>
    <w:p w14:paraId="00000098">
      <w:pPr>
        <w:rPr/>
      </w:pPr>
      <w:r>
        <w:rPr/>
        <w:t xml:space="preserve">- various quarrying operations across Philippine islands</w:t>
      </w:r>
    </w:p>
    <w:p w14:paraId="00000099">
      <w:pPr>
        <w:rPr/>
      </w:pPr>
      <w:r>
        <w:rPr/>
        <w:t xml:space="preserve">3.4 Maritime Logistics Providers</w:t>
      </w:r>
    </w:p>
    <w:p w14:paraId="0000009a">
      <w:pPr>
        <w:rPr/>
      </w:pPr>
      <w:r>
        <w:rPr/>
        <w:t xml:space="preserve">3.4.1 Global Bulk Carrier Operators</w:t>
      </w:r>
    </w:p>
    <w:p w14:paraId="0000009b">
      <w:pPr>
        <w:rPr/>
      </w:pPr>
      <w:r>
        <w:rPr/>
        <w:t xml:space="preserve">- Oldendorff Carriers: German-based bulk shipping</w:t>
      </w:r>
    </w:p>
    <w:p w14:paraId="0000009c">
      <w:pPr>
        <w:rPr/>
      </w:pPr>
      <w:r>
        <w:rPr/>
        <w:t xml:space="preserve">- Star Bulk Carriers: US-listed bulk shipping company</w:t>
      </w:r>
    </w:p>
    <w:p w14:paraId="0000009d">
      <w:pPr>
        <w:rPr/>
      </w:pPr>
      <w:r>
        <w:rPr/>
        <w:t xml:space="preserve">- Diana Shipping: Greek-based dry bulk vessels</w:t>
      </w:r>
    </w:p>
    <w:p w14:paraId="0000009e">
      <w:pPr>
        <w:rPr/>
      </w:pPr>
      <w:r>
        <w:rPr/>
        <w:t xml:space="preserve">- Navios Maritime: Dry bulk fleet operator</w:t>
      </w:r>
    </w:p>
    <w:p w14:paraId="0000009f">
      <w:pPr>
        <w:rPr/>
      </w:pPr>
      <w:r>
        <w:rPr/>
        <w:t xml:space="preserve">- Golden Ocean Group: Capesize and Panamax specialist</w:t>
      </w:r>
    </w:p>
    <w:p w14:paraId="000000a0">
      <w:pPr>
        <w:rPr/>
      </w:pPr>
      <w:r>
        <w:rPr/>
        <w:t xml:space="preserve">3.4.2 Regional Tonnage</w:t>
      </w:r>
    </w:p>
    <w:p w14:paraId="000000a1">
      <w:pPr>
        <w:rPr/>
      </w:pPr>
      <w:r>
        <w:rPr/>
        <w:t xml:space="preserve">- 2GO Group: Philippine maritime logistics</w:t>
      </w:r>
    </w:p>
    <w:p w14:paraId="000000a2">
      <w:pPr>
        <w:rPr/>
      </w:pPr>
      <w:r>
        <w:rPr/>
        <w:t xml:space="preserve">- Various domestic tug and barge operators</w:t>
      </w:r>
    </w:p>
    <w:p w14:paraId="000000a3">
      <w:pPr>
        <w:rPr/>
      </w:pPr>
      <w:r>
        <w:rPr/>
        <w:t xml:space="preserve">- LCT (Landing Craft Tank) and shallow-draft vessel operators</w:t>
      </w:r>
    </w:p>
    <w:p w14:paraId="000000a4">
      <w:pPr>
        <w:rPr/>
      </w:pPr>
      <w:r>
        <w:rPr/>
        <w:t xml:space="preserve">3.5 Competitive Positioning of Econares</w:t>
      </w:r>
    </w:p>
    <w:p w14:paraId="000000a5">
      <w:pPr>
        <w:rPr/>
      </w:pPr>
      <w:r>
        <w:rPr/>
        <w:t xml:space="preserve">Econares possesses several competitive advantages:</w:t>
      </w:r>
    </w:p>
    <w:p w14:paraId="000000a6">
      <w:pPr>
        <w:rPr/>
      </w:pPr>
      <w:r>
        <w:rPr/>
        <w:t xml:space="preserve">✓ Diversified commodity portfolio (fuels + minerals)</w:t>
      </w:r>
    </w:p>
    <w:p w14:paraId="000000a7">
      <w:pPr>
        <w:rPr/>
      </w:pPr>
      <w:r>
        <w:rPr/>
        <w:t xml:space="preserve">✓ Integrated construction capabilities</w:t>
      </w:r>
    </w:p>
    <w:p w14:paraId="000000a8">
      <w:pPr>
        <w:rPr/>
      </w:pPr>
      <w:r>
        <w:rPr/>
        <w:t xml:space="preserve">✓ Marine logistics (tugs, barges, dredgers)</w:t>
      </w:r>
    </w:p>
    <w:p w14:paraId="000000a9">
      <w:pPr>
        <w:rPr/>
      </w:pPr>
      <w:r>
        <w:rPr/>
        <w:t xml:space="preserve">✓ Established Philippine market presence</w:t>
      </w:r>
    </w:p>
    <w:p w14:paraId="000000aa">
      <w:pPr>
        <w:rPr/>
      </w:pPr>
      <w:r>
        <w:rPr/>
        <w:t xml:space="preserve">✓ PCAB-accredited construction services</w:t>
      </w:r>
    </w:p>
    <w:p w14:paraId="000000ab">
      <w:pPr>
        <w:rPr/>
      </w:pPr>
      <w:r>
        <w:rPr/>
        <w:t xml:space="preserve">✓ Environmental compliance orientation</w:t>
      </w:r>
    </w:p>
    <w:p w14:paraId="000000ac">
      <w:pPr>
        <w:rPr/>
      </w:pPr>
      <w:r>
        <w:rPr/>
        <w:t xml:space="preserve">Areas requiring development:</w:t>
      </w:r>
    </w:p>
    <w:p w14:paraId="000000ad">
      <w:pPr>
        <w:rPr/>
      </w:pPr>
      <w:r>
        <w:rPr/>
        <w:t xml:space="preserve">• Scale of operations vs. multinational competitors</w:t>
      </w:r>
    </w:p>
    <w:p w14:paraId="000000ae">
      <w:pPr>
        <w:rPr/>
      </w:pPr>
      <w:r>
        <w:rPr/>
        <w:t xml:space="preserve">• Capital base for inventory and speculative positions</w:t>
      </w:r>
    </w:p>
    <w:p w14:paraId="000000af">
      <w:pPr>
        <w:rPr/>
      </w:pPr>
      <w:r>
        <w:rPr/>
        <w:t xml:space="preserve">• International supplier relationships</w:t>
      </w:r>
    </w:p>
    <w:p w14:paraId="000000b0">
      <w:pPr>
        <w:rPr/>
      </w:pPr>
      <w:r>
        <w:rPr/>
        <w:t xml:space="preserve">• Digital trading platform capabilities</w:t>
      </w:r>
    </w:p>
    <w:p w14:paraId="000000b1">
      <w:pPr>
        <w:rPr/>
      </w:pPr>
      <w:r>
        <w:rPr/>
        <w:t xml:space="preserve">3.6 Entry Barriers in the Industry</w:t>
      </w:r>
    </w:p>
    <w:p w14:paraId="000000b2">
      <w:pPr>
        <w:rPr/>
      </w:pPr>
      <w:r>
        <w:rPr/>
        <w:t xml:space="preserve">The physical commodities trading business presents significant entry barriers:</w:t>
      </w:r>
    </w:p>
    <w:p w14:paraId="000000b3">
      <w:pPr>
        <w:rPr/>
      </w:pPr>
      <w:r>
        <w:rPr/>
        <w:t xml:space="preserve">Capital Requirements:</w:t>
      </w:r>
    </w:p>
    <w:p w14:paraId="000000b4">
      <w:pPr>
        <w:rPr/>
      </w:pPr>
      <w:r>
        <w:rPr/>
        <w:t xml:space="preserve">- Large working capital for inventory positions</w:t>
      </w:r>
    </w:p>
    <w:p w14:paraId="000000b5">
      <w:pPr>
        <w:rPr/>
      </w:pPr>
      <w:r>
        <w:rPr/>
        <w:t xml:space="preserve">- Vessel chartering or ownership costs</w:t>
      </w:r>
    </w:p>
    <w:p w14:paraId="000000b6">
      <w:pPr>
        <w:rPr/>
      </w:pPr>
      <w:r>
        <w:rPr/>
        <w:t xml:space="preserve">- Credit facilities for procurement</w:t>
      </w:r>
    </w:p>
    <w:p w14:paraId="000000b7">
      <w:pPr>
        <w:rPr/>
      </w:pPr>
      <w:r>
        <w:rPr/>
        <w:t xml:space="preserve">- Infrastructure investments</w:t>
      </w:r>
    </w:p>
    <w:p w14:paraId="000000b8">
      <w:pPr>
        <w:rPr/>
      </w:pPr>
      <w:r>
        <w:rPr/>
        <w:t xml:space="preserve">Regulatory Compliance:</w:t>
      </w:r>
    </w:p>
    <w:p w14:paraId="000000b9">
      <w:pPr>
        <w:rPr/>
      </w:pPr>
      <w:r>
        <w:rPr/>
        <w:t xml:space="preserve">- Mining and environmental permits</w:t>
      </w:r>
    </w:p>
    <w:p w14:paraId="000000ba">
      <w:pPr>
        <w:rPr/>
      </w:pPr>
      <w:r>
        <w:rPr/>
        <w:t xml:space="preserve">- Maritime certifications</w:t>
      </w:r>
    </w:p>
    <w:p w14:paraId="000000bb">
      <w:pPr>
        <w:rPr/>
      </w:pPr>
      <w:r>
        <w:rPr/>
        <w:t xml:space="preserve">- Trade licenses and customs compliance</w:t>
      </w:r>
    </w:p>
    <w:p w14:paraId="000000bc">
      <w:pPr>
        <w:rPr/>
      </w:pPr>
      <w:r>
        <w:rPr/>
        <w:t xml:space="preserve">- Emission certifications</w:t>
      </w:r>
    </w:p>
    <w:p w14:paraId="000000bd">
      <w:pPr>
        <w:rPr/>
      </w:pPr>
      <w:r>
        <w:rPr/>
        <w:t xml:space="preserve">Market Access:</w:t>
      </w:r>
    </w:p>
    <w:p w14:paraId="000000be">
      <w:pPr>
        <w:rPr/>
      </w:pPr>
      <w:r>
        <w:rPr/>
        <w:t xml:space="preserve">- Long-term supplier relationships</w:t>
      </w:r>
    </w:p>
    <w:p w14:paraId="000000bf">
      <w:pPr>
        <w:rPr/>
      </w:pPr>
      <w:r>
        <w:rPr/>
        <w:t xml:space="preserve">- Customer trust and track record</w:t>
      </w:r>
    </w:p>
    <w:p w14:paraId="000000c0">
      <w:pPr>
        <w:rPr/>
      </w:pPr>
      <w:r>
        <w:rPr/>
        <w:t xml:space="preserve">- Quality certification systems</w:t>
      </w:r>
    </w:p>
    <w:p w14:paraId="000000c1">
      <w:pPr>
        <w:rPr/>
      </w:pPr>
      <w:r>
        <w:rPr/>
        <w:t xml:space="preserve">- Logistics network establishment</w:t>
      </w:r>
    </w:p>
    <w:p w14:paraId="000000c2">
      <w:pPr>
        <w:rPr/>
      </w:pPr>
      <w:r>
        <w:rPr/>
        <w:t xml:space="preserve">SECTION 4: REGULATORY LANDSCAPE</w:t>
      </w:r>
    </w:p>
    <w:p w14:paraId="000000c3">
      <w:pPr>
        <w:rPr/>
      </w:pPr>
      <w:r>
        <w:rPr/>
        <w:t xml:space="preserve">4.1 International Maritime Regulations</w:t>
      </w:r>
    </w:p>
    <w:p w14:paraId="000000c4">
      <w:pPr>
        <w:rPr/>
      </w:pPr>
      <w:r>
        <w:rPr/>
        <w:t xml:space="preserve">4.1.1 IMO 2020 Sulfur Cap (In Force since January 1, 2020)</w:t>
      </w:r>
    </w:p>
    <w:p w14:paraId="000000c5">
      <w:pPr>
        <w:rPr/>
      </w:pPr>
      <w:r>
        <w:rPr/>
        <w:t xml:space="preserve">The International Maritime Organization (IMO) mandated a global 0.5% sulfur limit on bunker fuel, down from the previous 3.5% limit. This regulation significantly impacts commodity shipping costs and operations:</w:t>
      </w:r>
    </w:p>
    <w:p w14:paraId="000000c6">
      <w:pPr>
        <w:rPr/>
      </w:pPr>
      <w:r>
        <w:rPr/>
        <w:t xml:space="preserve">Compliance Routes:</w:t>
      </w:r>
    </w:p>
    <w:p w14:paraId="000000c7">
      <w:pPr>
        <w:rPr/>
      </w:pPr>
      <w:r>
        <w:rPr/>
        <w:t xml:space="preserve">- Switching to very low sulfur fuel oil (VLSFO)</w:t>
      </w:r>
    </w:p>
    <w:p w14:paraId="000000c8">
      <w:pPr>
        <w:rPr/>
      </w:pPr>
      <w:r>
        <w:rPr/>
        <w:t xml:space="preserve">- Installing scrubbers to remove sulfur from emissions</w:t>
      </w:r>
    </w:p>
    <w:p w14:paraId="000000c9">
      <w:pPr>
        <w:rPr/>
      </w:pPr>
      <w:r>
        <w:rPr/>
        <w:t xml:space="preserve">- Using liquefied natural gas (LNG) as alternative fuel</w:t>
      </w:r>
    </w:p>
    <w:p w14:paraId="000000ca">
      <w:pPr>
        <w:rPr/>
      </w:pPr>
      <w:r>
        <w:rPr/>
        <w:t xml:space="preserve">- Using low-sulfur marine gasoil (LSMGO)</w:t>
      </w:r>
    </w:p>
    <w:p w14:paraId="000000cb">
      <w:pPr>
        <w:rPr/>
      </w:pPr>
      <w:r>
        <w:rPr/>
        <w:t xml:space="preserve">Implications for Econares:</w:t>
      </w:r>
    </w:p>
    <w:p w14:paraId="000000cc">
      <w:pPr>
        <w:rPr/>
      </w:pPr>
      <w:r>
        <w:rPr/>
        <w:t xml:space="preserve">- Freight rate increases passed through to commodity prices</w:t>
      </w:r>
    </w:p>
    <w:p w14:paraId="000000cd">
      <w:pPr>
        <w:rPr/>
      </w:pPr>
      <w:r>
        <w:rPr/>
        <w:t xml:space="preserve">- Potential supply disruptions during transition</w:t>
      </w:r>
    </w:p>
    <w:p w14:paraId="000000ce">
      <w:pPr>
        <w:rPr/>
      </w:pPr>
      <w:r>
        <w:rPr/>
        <w:t xml:space="preserve">- Premium for compliant vessels in tight markets</w:t>
      </w:r>
    </w:p>
    <w:p w14:paraId="000000cf">
      <w:pPr>
        <w:rPr/>
      </w:pPr>
      <w:r>
        <w:rPr/>
        <w:t xml:space="preserve">4.1.2 IMO 2030 and 2050 Greenhouse Gas Targets</w:t>
      </w:r>
    </w:p>
    <w:p w14:paraId="000000d0">
      <w:pPr>
        <w:rPr/>
      </w:pPr>
      <w:r>
        <w:rPr/>
        <w:t xml:space="preserve">The IMO has established greenhouse gas reduction strategies:</w:t>
      </w:r>
    </w:p>
    <w:p w14:paraId="000000d1">
      <w:pPr>
        <w:rPr/>
      </w:pPr>
      <w:r>
        <w:rPr/>
        <w:t xml:space="preserve">- 40% reduction in GHG emissions by 2030 (vs. 2008 baseline)</w:t>
      </w:r>
    </w:p>
    <w:p w14:paraId="000000d2">
      <w:pPr>
        <w:rPr/>
      </w:pPr>
      <w:r>
        <w:rPr/>
        <w:t xml:space="preserve">- 70% reduction by 2050</w:t>
      </w:r>
    </w:p>
    <w:p w14:paraId="000000d3">
      <w:pPr>
        <w:rPr/>
      </w:pPr>
      <w:r>
        <w:rPr/>
        <w:t xml:space="preserve">- Zero emissions by 2050 (long-term goal)</w:t>
      </w:r>
    </w:p>
    <w:p w14:paraId="000000d4">
      <w:pPr>
        <w:rPr/>
      </w:pPr>
      <w:r>
        <w:rPr/>
        <w:t xml:space="preserve">These targets create pressure for:</w:t>
      </w:r>
    </w:p>
    <w:p w14:paraId="000000d5">
      <w:pPr>
        <w:rPr/>
      </w:pPr>
      <w:r>
        <w:rPr/>
        <w:t xml:space="preserve">- Vessel efficiency improvements</w:t>
      </w:r>
    </w:p>
    <w:p w14:paraId="000000d6">
      <w:pPr>
        <w:rPr/>
      </w:pPr>
      <w:r>
        <w:rPr/>
        <w:t xml:space="preserve">- Alternative fuel adoption</w:t>
      </w:r>
    </w:p>
    <w:p w14:paraId="000000d7">
      <w:pPr>
        <w:rPr/>
      </w:pPr>
      <w:r>
        <w:rPr/>
        <w:t xml:space="preserve">- Operational optimizations (speed reduction, route planning)</w:t>
      </w:r>
    </w:p>
    <w:p w14:paraId="000000d8">
      <w:pPr>
        <w:rPr/>
      </w:pPr>
      <w:r>
        <w:rPr/>
        <w:t xml:space="preserve">- Potential carbon pricing mechanisms</w:t>
      </w:r>
    </w:p>
    <w:p w14:paraId="000000d9">
      <w:pPr>
        <w:rPr/>
      </w:pPr>
      <w:r>
        <w:rPr/>
        <w:t xml:space="preserve">4.1.3 Ballast Water Management Convention (BWMC)</w:t>
      </w:r>
    </w:p>
    <w:p w14:paraId="000000da">
      <w:pPr>
        <w:rPr/>
      </w:pPr>
      <w:r>
        <w:rPr/>
        <w:t xml:space="preserve">In force since September 2019, the convention requires:</w:t>
      </w:r>
    </w:p>
    <w:p w14:paraId="000000db">
      <w:pPr>
        <w:rPr/>
      </w:pPr>
      <w:r>
        <w:rPr/>
        <w:t xml:space="preserve">- Ballast water treatment systems on vessels</w:t>
      </w:r>
    </w:p>
    <w:p w14:paraId="000000dc">
      <w:pPr>
        <w:rPr/>
      </w:pPr>
      <w:r>
        <w:rPr/>
        <w:t xml:space="preserve">- Compliance with D-1 standard (initially) and D-2 standard</w:t>
      </w:r>
    </w:p>
    <w:p w14:paraId="000000dd">
      <w:pPr>
        <w:rPr/>
      </w:pPr>
      <w:r>
        <w:rPr/>
        <w:t xml:space="preserve">- International Ballast Water Management Certificate</w:t>
      </w:r>
    </w:p>
    <w:p w14:paraId="000000de">
      <w:pPr>
        <w:rPr/>
      </w:pPr>
      <w:r>
        <w:rPr/>
        <w:t xml:space="preserve">Implications for ship owners and charterers:</w:t>
      </w:r>
    </w:p>
    <w:p w14:paraId="000000df">
      <w:pPr>
        <w:rPr/>
      </w:pPr>
      <w:r>
        <w:rPr/>
        <w:t xml:space="preserve">- Capital costs for BWTS installation</w:t>
      </w:r>
    </w:p>
    <w:p w14:paraId="000000e0">
      <w:pPr>
        <w:rPr/>
      </w:pPr>
      <w:r>
        <w:rPr/>
        <w:t xml:space="preserve">- Ongoing compliance monitoring</w:t>
      </w:r>
    </w:p>
    <w:p w14:paraId="000000e1">
      <w:pPr>
        <w:rPr/>
      </w:pPr>
      <w:r>
        <w:rPr/>
        <w:t xml:space="preserve">- Potential operational delays for treatment</w:t>
      </w:r>
    </w:p>
    <w:p w14:paraId="000000e2">
      <w:pPr>
        <w:rPr/>
      </w:pPr>
      <w:r>
        <w:rPr/>
        <w:t xml:space="preserve">4.2 Environmental Regulations</w:t>
      </w:r>
    </w:p>
    <w:p w14:paraId="000000e3">
      <w:pPr>
        <w:rPr/>
      </w:pPr>
      <w:r>
        <w:rPr/>
        <w:t xml:space="preserve">4.2.1 European Carbon Border Adjustment Mechanism (CBAM)</w:t>
      </w:r>
    </w:p>
    <w:p w14:paraId="000000e4">
      <w:pPr>
        <w:rPr/>
      </w:pPr>
      <w:r>
        <w:rPr/>
        <w:t xml:space="preserve">The EU's CBAM, fully operational since 2026, creates implications for:</w:t>
      </w:r>
    </w:p>
    <w:p w14:paraId="000000e5">
      <w:pPr>
        <w:rPr/>
      </w:pPr>
      <w:r>
        <w:rPr/>
        <w:t xml:space="preserve">- Imported commodities facing carbon pricing</w:t>
      </w:r>
    </w:p>
    <w:p w14:paraId="000000e6">
      <w:pPr>
        <w:rPr/>
      </w:pPr>
      <w:r>
        <w:rPr/>
        <w:t xml:space="preserve">- Carbon intensity documentation requirements</w:t>
      </w:r>
    </w:p>
    <w:p w14:paraId="000000e7">
      <w:pPr>
        <w:rPr/>
      </w:pPr>
      <w:r>
        <w:rPr/>
        <w:t xml:space="preserve">- Potential supply chain restructuring</w:t>
      </w:r>
    </w:p>
    <w:p w14:paraId="000000e8">
      <w:pPr>
        <w:rPr/>
      </w:pPr>
      <w:r>
        <w:rPr/>
        <w:t xml:space="preserve">While the Philippines has limited direct exports to EU, this trend signals broader adoption of carbon pricing mechanisms globally.</w:t>
      </w:r>
    </w:p>
    <w:p w14:paraId="000000e9">
      <w:pPr>
        <w:rPr/>
      </w:pPr>
      <w:r>
        <w:rPr/>
        <w:t xml:space="preserve">4.2.2 EPA and Local Emissions Standards</w:t>
      </w:r>
    </w:p>
    <w:p w14:paraId="000000ea">
      <w:pPr>
        <w:rPr/>
      </w:pPr>
      <w:r>
        <w:rPr/>
        <w:t xml:space="preserve">United States Environmental Protection Agency regulations influence:</w:t>
      </w:r>
    </w:p>
    <w:p w14:paraId="000000eb">
      <w:pPr>
        <w:rPr/>
      </w:pPr>
      <w:r>
        <w:rPr/>
        <w:t xml:space="preserve">- Global technology standards for emissions control</w:t>
      </w:r>
    </w:p>
    <w:p w14:paraId="000000ec">
      <w:pPr>
        <w:rPr/>
      </w:pPr>
      <w:r>
        <w:rPr/>
        <w:t xml:space="preserve">- Trade policies affecting coal and petroleum coke</w:t>
      </w:r>
    </w:p>
    <w:p w14:paraId="000000ed">
      <w:pPr>
        <w:rPr/>
      </w:pPr>
      <w:r>
        <w:rPr/>
        <w:t xml:space="preserve">- Market access for high-emission commodities</w:t>
      </w:r>
    </w:p>
    <w:p w14:paraId="000000ee">
      <w:pPr>
        <w:rPr/>
      </w:pPr>
      <w:r>
        <w:rPr/>
        <w:t xml:space="preserve">4.2.3 ASEAN Environmental Frameworks</w:t>
      </w:r>
    </w:p>
    <w:p w14:paraId="000000ef">
      <w:pPr>
        <w:rPr/>
      </w:pPr>
      <w:r>
        <w:rPr/>
        <w:t xml:space="preserve">ASEAN member states have committed to:</w:t>
      </w:r>
    </w:p>
    <w:p w14:paraId="000000f0">
      <w:pPr>
        <w:rPr/>
      </w:pPr>
      <w:r>
        <w:rPr/>
        <w:t xml:space="preserve">- Transboundary haze pollution prevention</w:t>
      </w:r>
    </w:p>
    <w:p w14:paraId="000000f1">
      <w:pPr>
        <w:rPr/>
      </w:pPr>
      <w:r>
        <w:rPr/>
        <w:t xml:space="preserve">- Sustainable development goals integration</w:t>
      </w:r>
    </w:p>
    <w:p w14:paraId="000000f2">
      <w:pPr>
        <w:rPr/>
      </w:pPr>
      <w:r>
        <w:rPr/>
        <w:t xml:space="preserve">- Regional environmental cooperation</w:t>
      </w:r>
    </w:p>
    <w:p w14:paraId="000000f3">
      <w:pPr>
        <w:rPr/>
      </w:pPr>
      <w:r>
        <w:rPr/>
        <w:t xml:space="preserve">4.3 Philippine Regulatory Framework</w:t>
      </w:r>
    </w:p>
    <w:p w14:paraId="000000f4">
      <w:pPr>
        <w:rPr/>
      </w:pPr>
      <w:r>
        <w:rPr/>
        <w:t xml:space="preserve">4.3.1 Department of Environment and Natural Resources (DENR)</w:t>
      </w:r>
    </w:p>
    <w:p w14:paraId="000000f5">
      <w:pPr>
        <w:rPr/>
      </w:pPr>
      <w:r>
        <w:rPr/>
        <w:t xml:space="preserve">The DENR governs:</w:t>
      </w:r>
    </w:p>
    <w:p w14:paraId="000000f6">
      <w:pPr>
        <w:rPr/>
      </w:pPr>
      <w:r>
        <w:rPr/>
        <w:t xml:space="preserve">- Mining permits and Environmental Compliance Certificates (ECC)</w:t>
      </w:r>
    </w:p>
    <w:p w14:paraId="000000f7">
      <w:pPr>
        <w:rPr/>
      </w:pPr>
      <w:r>
        <w:rPr/>
        <w:t xml:space="preserve">- Mine safety and environmental management</w:t>
      </w:r>
    </w:p>
    <w:p w14:paraId="000000f8">
      <w:pPr>
        <w:rPr/>
      </w:pPr>
      <w:r>
        <w:rPr/>
        <w:t xml:space="preserve">- Mineral Resource Development</w:t>
      </w:r>
    </w:p>
    <w:p w14:paraId="000000f9">
      <w:pPr>
        <w:rPr/>
      </w:pPr>
      <w:r>
        <w:rPr/>
        <w:t xml:space="preserve">- Forest land use and protection</w:t>
      </w:r>
    </w:p>
    <w:p w14:paraId="000000fa">
      <w:pPr>
        <w:rPr/>
      </w:pPr>
      <w:r>
        <w:rPr/>
        <w:t xml:space="preserve">Key Requirements:</w:t>
      </w:r>
    </w:p>
    <w:p w14:paraId="000000fb">
      <w:pPr>
        <w:rPr/>
      </w:pPr>
      <w:r>
        <w:rPr/>
        <w:t xml:space="preserve">- Environmental Impact Assessment (EIA) for large-scale operations</w:t>
      </w:r>
    </w:p>
    <w:p w14:paraId="000000fc">
      <w:pPr>
        <w:rPr/>
      </w:pPr>
      <w:r>
        <w:rPr/>
        <w:t xml:space="preserve">- Rehabilitation and mine closure plans</w:t>
      </w:r>
    </w:p>
    <w:p w14:paraId="000000fd">
      <w:pPr>
        <w:rPr/>
      </w:pPr>
      <w:r>
        <w:rPr/>
        <w:t xml:space="preserve">- Community environmental monitoring</w:t>
      </w:r>
    </w:p>
    <w:p w14:paraId="000000fe">
      <w:pPr>
        <w:rPr/>
      </w:pPr>
      <w:r>
        <w:rPr/>
        <w:t xml:space="preserve">- Payment of excise taxes and royalties</w:t>
      </w:r>
    </w:p>
    <w:p w14:paraId="000000ff">
      <w:pPr>
        <w:rPr/>
      </w:pPr>
      <w:r>
        <w:rPr/>
        <w:t xml:space="preserve">4.3.2 Mining Act of 1995 (Republic Act 7942)</w:t>
      </w:r>
    </w:p>
    <w:p w14:paraId="00000100">
      <w:pPr>
        <w:rPr/>
      </w:pPr>
      <w:r>
        <w:rPr/>
        <w:t xml:space="preserve">The principal mining legislation establishes:</w:t>
      </w:r>
    </w:p>
    <w:p w14:paraId="00000101">
      <w:pPr>
        <w:rPr/>
      </w:pPr>
      <w:r>
        <w:rPr/>
        <w:t xml:space="preserve">- Exploration permits (2 years, renewable)</w:t>
      </w:r>
    </w:p>
    <w:p w14:paraId="00000102">
      <w:pPr>
        <w:rPr/>
      </w:pPr>
      <w:r>
        <w:rPr/>
        <w:t xml:space="preserve">- Mineral agreements (25-year term, renewable)</w:t>
      </w:r>
    </w:p>
    <w:p w14:paraId="00000103">
      <w:pPr>
        <w:rPr/>
      </w:pPr>
      <w:r>
        <w:rPr/>
        <w:t xml:space="preserve">- Financial or technical assistance agreements</w:t>
      </w:r>
    </w:p>
    <w:p w14:paraId="00000104">
      <w:pPr>
        <w:rPr/>
      </w:pPr>
      <w:r>
        <w:rPr/>
        <w:t xml:space="preserve">- Small-scale mining provisions</w:t>
      </w:r>
    </w:p>
    <w:p w14:paraId="00000105">
      <w:pPr>
        <w:rPr/>
      </w:pPr>
      <w:r>
        <w:rPr/>
        <w:t xml:space="preserve">- Environmental protection requirements</w:t>
      </w:r>
    </w:p>
    <w:p w14:paraId="00000106">
      <w:pPr>
        <w:rPr/>
      </w:pPr>
      <w:r>
        <w:rPr/>
        <w:t xml:space="preserve">4.3.3 Environmental Management Bureau (EMB)</w:t>
      </w:r>
    </w:p>
    <w:p w14:paraId="00000107">
      <w:pPr>
        <w:rPr/>
      </w:pPr>
      <w:r>
        <w:rPr/>
        <w:t xml:space="preserve">The EMB oversees:</w:t>
      </w:r>
    </w:p>
    <w:p w14:paraId="00000108">
      <w:pPr>
        <w:rPr/>
      </w:pPr>
      <w:r>
        <w:rPr/>
        <w:t xml:space="preserve">- Environmental Impact Assessment process</w:t>
      </w:r>
    </w:p>
    <w:p w14:paraId="00000109">
      <w:pPr>
        <w:rPr/>
      </w:pPr>
      <w:r>
        <w:rPr/>
        <w:t xml:space="preserve">- Pollution control permits</w:t>
      </w:r>
    </w:p>
    <w:p w14:paraId="0000010a">
      <w:pPr>
        <w:rPr/>
      </w:pPr>
      <w:r>
        <w:rPr/>
        <w:t xml:space="preserve">- Environmental monitoring</w:t>
      </w:r>
    </w:p>
    <w:p w14:paraId="0000010b">
      <w:pPr>
        <w:rPr/>
      </w:pPr>
      <w:r>
        <w:rPr/>
        <w:t xml:space="preserve">- Effluent standards enforcement</w:t>
      </w:r>
    </w:p>
    <w:p w14:paraId="0000010c">
      <w:pPr>
        <w:rPr/>
      </w:pPr>
      <w:r>
        <w:rPr/>
        <w:t xml:space="preserve">4.3.4 Philippine Contractors Accreditation Board (PCAB)</w:t>
      </w:r>
    </w:p>
    <w:p w14:paraId="0000010d">
      <w:pPr>
        <w:rPr/>
      </w:pPr>
      <w:r>
        <w:rPr/>
        <w:t xml:space="preserve">For construction operations, PCAB requires:</w:t>
      </w:r>
    </w:p>
    <w:p w14:paraId="0000010e">
      <w:pPr>
        <w:rPr/>
      </w:pPr>
      <w:r>
        <w:rPr/>
        <w:t xml:space="preserve">- License categories by project value and complexity</w:t>
      </w:r>
    </w:p>
    <w:p w14:paraId="0000010f">
      <w:pPr>
        <w:rPr/>
      </w:pPr>
      <w:r>
        <w:rPr/>
        <w:t xml:space="preserve">- Track record documentation</w:t>
      </w:r>
    </w:p>
    <w:p w14:paraId="00000110">
      <w:pPr>
        <w:rPr/>
      </w:pPr>
      <w:r>
        <w:rPr/>
        <w:t xml:space="preserve">- Financial capability verification</w:t>
      </w:r>
    </w:p>
    <w:p w14:paraId="00000111">
      <w:pPr>
        <w:rPr/>
      </w:pPr>
      <w:r>
        <w:rPr/>
        <w:t xml:space="preserve">- Safety and equipment standards</w:t>
      </w:r>
    </w:p>
    <w:p w14:paraId="00000112">
      <w:pPr>
        <w:rPr/>
      </w:pPr>
      <w:r>
        <w:rPr/>
        <w:t xml:space="preserve">- Personnel qualifications</w:t>
      </w:r>
    </w:p>
    <w:p w14:paraId="00000113">
      <w:pPr>
        <w:rPr/>
      </w:pPr>
      <w:r>
        <w:rPr/>
        <w:t xml:space="preserve">Econares holds Regular RQ license, enabling participation in projects up to certain thresholds.</w:t>
      </w:r>
    </w:p>
    <w:p w14:paraId="00000114">
      <w:pPr>
        <w:rPr/>
      </w:pPr>
      <w:r>
        <w:rPr/>
        <w:t xml:space="preserve">4.3.5 Local Government Unit (LGU) Requirements</w:t>
      </w:r>
    </w:p>
    <w:p w14:paraId="00000115">
      <w:pPr>
        <w:rPr/>
      </w:pPr>
      <w:r>
        <w:rPr/>
        <w:t xml:space="preserve">Municipal and provincial governments require:</w:t>
      </w:r>
    </w:p>
    <w:p w14:paraId="00000116">
      <w:pPr>
        <w:rPr/>
      </w:pPr>
      <w:r>
        <w:rPr/>
        <w:t xml:space="preserve">- Business permits and mayor's permits</w:t>
      </w:r>
    </w:p>
    <w:p w14:paraId="00000117">
      <w:pPr>
        <w:rPr/>
      </w:pPr>
      <w:r>
        <w:rPr/>
        <w:t xml:space="preserve">- Zoning clearances</w:t>
      </w:r>
    </w:p>
    <w:p w14:paraId="00000118">
      <w:pPr>
        <w:rPr/>
      </w:pPr>
      <w:r>
        <w:rPr/>
        <w:t xml:space="preserve">- Local environmental compliance</w:t>
      </w:r>
    </w:p>
    <w:p w14:paraId="00000119">
      <w:pPr>
        <w:rPr/>
      </w:pPr>
      <w:r>
        <w:rPr/>
        <w:t xml:space="preserve">- Community relations programs</w:t>
      </w:r>
    </w:p>
    <w:p w14:paraId="0000011a">
      <w:pPr>
        <w:rPr/>
      </w:pPr>
      <w:r>
        <w:rPr/>
        <w:t xml:space="preserve">4.4 Trade and Import Regulations</w:t>
      </w:r>
    </w:p>
    <w:p w14:paraId="0000011b">
      <w:pPr>
        <w:rPr/>
      </w:pPr>
      <w:r>
        <w:rPr/>
        <w:t xml:space="preserve">4.4.1 Tariff Classifications</w:t>
      </w:r>
    </w:p>
    <w:p w14:paraId="0000011c">
      <w:pPr>
        <w:rPr/>
      </w:pPr>
      <w:r>
        <w:rPr/>
        <w:t xml:space="preserve">The Philippines operates under:</w:t>
      </w:r>
    </w:p>
    <w:p w14:paraId="0000011d">
      <w:pPr>
        <w:rPr/>
      </w:pPr>
      <w:r>
        <w:rPr/>
        <w:t xml:space="preserve">- ASEAN Trade in Goods Agreement (ATIGA)</w:t>
      </w:r>
    </w:p>
    <w:p w14:paraId="0000011e">
      <w:pPr>
        <w:rPr/>
      </w:pPr>
      <w:r>
        <w:rPr/>
        <w:t xml:space="preserve">- Most Favored Nation (MFN) tariffs</w:t>
      </w:r>
    </w:p>
    <w:p w14:paraId="0000011f">
      <w:pPr>
        <w:rPr/>
      </w:pPr>
      <w:r>
        <w:rPr/>
        <w:t xml:space="preserve">- Free Trade Agreement preferences</w:t>
      </w:r>
    </w:p>
    <w:p w14:paraId="00000120">
      <w:pPr>
        <w:rPr/>
      </w:pPr>
      <w:r>
        <w:rPr/>
        <w:t xml:space="preserve">- Common Effective Preferential Tariff (CEPT) for ASEAN</w:t>
      </w:r>
    </w:p>
    <w:p w14:paraId="00000121">
      <w:pPr>
        <w:rPr/>
      </w:pPr>
      <w:r>
        <w:rPr/>
        <w:t xml:space="preserve">Current tariff rates relevant to Econares:</w:t>
      </w:r>
    </w:p>
    <w:p w14:paraId="00000122">
      <w:pPr>
        <w:rPr/>
      </w:pPr>
      <w:r>
        <w:rPr/>
        <w:t xml:space="preserve">- Coal imports: 0-3% (MFN rate varies by coal type)</w:t>
      </w:r>
    </w:p>
    <w:p w14:paraId="00000123">
      <w:pPr>
        <w:rPr/>
      </w:pPr>
      <w:r>
        <w:rPr/>
        <w:t xml:space="preserve">- Limestone: Generally 3%</w:t>
      </w:r>
    </w:p>
    <w:p w14:paraId="00000124">
      <w:pPr>
        <w:rPr/>
      </w:pPr>
      <w:r>
        <w:rPr/>
        <w:t xml:space="preserve">- Copper ore: 3%</w:t>
      </w:r>
    </w:p>
    <w:p w14:paraId="00000125">
      <w:pPr>
        <w:rPr/>
      </w:pPr>
      <w:r>
        <w:rPr/>
        <w:t xml:space="preserve">- Construction materials: Varies by product</w:t>
      </w:r>
    </w:p>
    <w:p w14:paraId="00000126">
      <w:pPr>
        <w:rPr/>
      </w:pPr>
      <w:r>
        <w:rPr/>
        <w:t xml:space="preserve">4.4.2 Bureau of Customs (BOC) Requirements</w:t>
      </w:r>
    </w:p>
    <w:p w14:paraId="00000127">
      <w:pPr>
        <w:rPr/>
      </w:pPr>
      <w:r>
        <w:rPr/>
        <w:t xml:space="preserve">Import procedures require:</w:t>
      </w:r>
    </w:p>
    <w:p w14:paraId="00000128">
      <w:pPr>
        <w:rPr/>
      </w:pPr>
      <w:r>
        <w:rPr/>
        <w:t xml:space="preserve">- Customs declaration and valuation</w:t>
      </w:r>
    </w:p>
    <w:p w14:paraId="00000129">
      <w:pPr>
        <w:rPr/>
      </w:pPr>
      <w:r>
        <w:rPr/>
        <w:t xml:space="preserve">- Import entry documentation</w:t>
      </w:r>
    </w:p>
    <w:p w14:paraId="0000012a">
      <w:pPr>
        <w:rPr/>
      </w:pPr>
      <w:r>
        <w:rPr/>
        <w:t xml:space="preserve">- Quality and quantity inspection (when applicable)</w:t>
      </w:r>
    </w:p>
    <w:p w14:paraId="0000012b">
      <w:pPr>
        <w:rPr/>
      </w:pPr>
      <w:r>
        <w:rPr/>
        <w:t xml:space="preserve">- Duty payment</w:t>
      </w:r>
    </w:p>
    <w:p w14:paraId="0000012c">
      <w:pPr>
        <w:rPr/>
      </w:pPr>
      <w:r>
        <w:rPr/>
        <w:t xml:space="preserve">- Post-clearance audit compliance</w:t>
      </w:r>
    </w:p>
    <w:p w14:paraId="0000012d">
      <w:pPr>
        <w:rPr/>
      </w:pPr>
      <w:r>
        <w:rPr/>
        <w:t xml:space="preserve">4.4.3 Indonesia Export Restrictions</w:t>
      </w:r>
    </w:p>
    <w:p w14:paraId="0000012e">
      <w:pPr>
        <w:rPr/>
      </w:pPr>
      <w:r>
        <w:rPr/>
        <w:t xml:space="preserve">Indonesia, as the primary coal source for the Philippines, maintains:</w:t>
      </w:r>
    </w:p>
    <w:p w14:paraId="0000012f">
      <w:pPr>
        <w:rPr/>
      </w:pPr>
      <w:r>
        <w:rPr/>
        <w:t xml:space="preserve">- Minimum Export Price (HBA) mechanisms</w:t>
      </w:r>
    </w:p>
    <w:p w14:paraId="00000130">
      <w:pPr>
        <w:rPr/>
      </w:pPr>
      <w:r>
        <w:rPr/>
        <w:t xml:space="preserve">- Domestic market obligation (DMO) requirements</w:t>
      </w:r>
    </w:p>
    <w:p w14:paraId="00000131">
      <w:pPr>
        <w:rPr/>
      </w:pPr>
      <w:r>
        <w:rPr/>
        <w:t xml:space="preserve">- Export permit requirements</w:t>
      </w:r>
    </w:p>
    <w:p w14:paraId="00000132">
      <w:pPr>
        <w:rPr/>
      </w:pPr>
      <w:r>
        <w:rPr/>
        <w:t xml:space="preserve">- Quality specifications for export coal</w:t>
      </w:r>
    </w:p>
    <w:p w14:paraId="00000133">
      <w:pPr>
        <w:rPr/>
      </w:pPr>
      <w:r>
        <w:rPr/>
        <w:t xml:space="preserve">These restrictions can create supply uncertainty and price volatility for Philippine importers.</w:t>
      </w:r>
    </w:p>
    <w:p w14:paraId="00000134">
      <w:pPr>
        <w:rPr/>
      </w:pPr>
      <w:r>
        <w:rPr/>
        <w:t xml:space="preserve">4.5 Energy Sector Regulations</w:t>
      </w:r>
    </w:p>
    <w:p w14:paraId="00000135">
      <w:pPr>
        <w:rPr/>
      </w:pPr>
      <w:r>
        <w:rPr/>
        <w:t xml:space="preserve">4.5.1 Electric Power Industry Reform Act (EPIRA)</w:t>
      </w:r>
    </w:p>
    <w:p w14:paraId="00000136">
      <w:pPr>
        <w:rPr/>
      </w:pPr>
      <w:r>
        <w:rPr/>
        <w:t xml:space="preserve">The EPIRA framework affects coal demand through:</w:t>
      </w:r>
    </w:p>
    <w:p w14:paraId="00000137">
      <w:pPr>
        <w:rPr/>
      </w:pPr>
      <w:r>
        <w:rPr/>
        <w:t xml:space="preserve">- Wholesale electricity spot market operations</w:t>
      </w:r>
    </w:p>
    <w:p w14:paraId="00000138">
      <w:pPr>
        <w:rPr/>
      </w:pPr>
      <w:r>
        <w:rPr/>
        <w:t xml:space="preserve">- Independent Power Producer (IPP) arrangements</w:t>
      </w:r>
    </w:p>
    <w:p w14:paraId="00000139">
      <w:pPr>
        <w:rPr/>
      </w:pPr>
      <w:r>
        <w:rPr/>
        <w:t xml:space="preserve">- Distribution grid development</w:t>
      </w:r>
    </w:p>
    <w:p w14:paraId="0000013a">
      <w:pPr>
        <w:rPr/>
      </w:pPr>
      <w:r>
        <w:rPr/>
        <w:t xml:space="preserve">- Consumer pricing structures</w:t>
      </w:r>
    </w:p>
    <w:p w14:paraId="0000013b">
      <w:pPr>
        <w:rPr/>
      </w:pPr>
      <w:r>
        <w:rPr/>
        <w:t xml:space="preserve">4.5.2 Department of Energy (DOE) Functions</w:t>
      </w:r>
    </w:p>
    <w:p w14:paraId="0000013c">
      <w:pPr>
        <w:rPr/>
      </w:pPr>
      <w:r>
        <w:rPr/>
        <w:t xml:space="preserve">The DOE regulates:</w:t>
      </w:r>
    </w:p>
    <w:p w14:paraId="0000013d">
      <w:pPr>
        <w:rPr/>
      </w:pPr>
      <w:r>
        <w:rPr/>
        <w:t xml:space="preserve">- Energy sector planning and policy</w:t>
      </w:r>
    </w:p>
    <w:p w14:paraId="0000013e">
      <w:pPr>
        <w:rPr/>
      </w:pPr>
      <w:r>
        <w:rPr/>
        <w:t xml:space="preserve">- Power supply and demand projections</w:t>
      </w:r>
    </w:p>
    <w:p w14:paraId="0000013f">
      <w:pPr>
        <w:rPr/>
      </w:pPr>
      <w:r>
        <w:rPr/>
        <w:t xml:space="preserve">- Renewable energy development targets</w:t>
      </w:r>
    </w:p>
    <w:p w14:paraId="00000140">
      <w:pPr>
        <w:rPr/>
      </w:pPr>
      <w:r>
        <w:rPr/>
        <w:t xml:space="preserve">- Fuel mix and diversification planning</w:t>
      </w:r>
    </w:p>
    <w:p w14:paraId="00000141">
      <w:pPr>
        <w:rPr/>
      </w:pPr>
      <w:r>
        <w:rPr/>
        <w:t xml:space="preserve">Current policy direction emphasizes:</w:t>
      </w:r>
    </w:p>
    <w:p w14:paraId="00000142">
      <w:pPr>
        <w:rPr/>
      </w:pPr>
      <w:r>
        <w:rPr/>
        <w:t xml:space="preserve">- 50% renewable energy target by 2040</w:t>
      </w:r>
    </w:p>
    <w:p w14:paraId="00000143">
      <w:pPr>
        <w:rPr/>
      </w:pPr>
      <w:r>
        <w:rPr/>
        <w:t xml:space="preserve">- Gradual coal phase-out in new installations</w:t>
      </w:r>
    </w:p>
    <w:p w14:paraId="00000144">
      <w:pPr>
        <w:rPr/>
      </w:pPr>
      <w:r>
        <w:rPr/>
        <w:t xml:space="preserve">- Continued operation of existing coal plants</w:t>
      </w:r>
    </w:p>
    <w:p w14:paraId="00000145">
      <w:pPr>
        <w:rPr/>
      </w:pPr>
      <w:r>
        <w:rPr/>
        <w:t xml:space="preserve">- Natural gas transition pathway</w:t>
      </w:r>
    </w:p>
    <w:p w14:paraId="00000146">
      <w:pPr>
        <w:rPr/>
      </w:pPr>
      <w:r>
        <w:rPr/>
        <w:t xml:space="preserve">SECTION 5: ECONOMIC FACTORS INFLUENCING THE MARKET</w:t>
      </w:r>
    </w:p>
    <w:p w14:paraId="00000147">
      <w:pPr>
        <w:rPr/>
      </w:pPr>
      <w:r>
        <w:rPr/>
        <w:t xml:space="preserve">5.1 Commodity Price Dynamics</w:t>
      </w:r>
    </w:p>
    <w:p w14:paraId="00000148">
      <w:pPr>
        <w:rPr/>
      </w:pPr>
      <w:r>
        <w:rPr/>
        <w:t xml:space="preserve">5.1.1 Coal Price History (2010-2026)</w:t>
      </w:r>
    </w:p>
    <w:p w14:paraId="00000149">
      <w:pPr>
        <w:rPr/>
      </w:pPr>
      <w:r>
        <w:rPr/>
        <w:t xml:space="preserve">Thermal Coal Benchmark Prices (Newcastle, API2):</w:t>
      </w:r>
    </w:p>
    <w:p w14:paraId="0000014a">
      <w:pPr>
        <w:rPr/>
      </w:pPr>
      <w:r>
        <w:rPr/>
        <w:t xml:space="preserve">- 2010-2013: USD 90-120/tonne range (stable)</w:t>
      </w:r>
    </w:p>
    <w:p w14:paraId="0000014b">
      <w:pPr>
        <w:rPr/>
      </w:pPr>
      <w:r>
        <w:rPr/>
        <w:t xml:space="preserve">- 2014-2015: Declining to USD 55-70/tonne (demand slowdown)</w:t>
      </w:r>
    </w:p>
    <w:p w14:paraId="0000014c">
      <w:pPr>
        <w:rPr/>
      </w:pPr>
      <w:r>
        <w:rPr/>
        <w:t xml:space="preserve">- 2016: Recovery to USD 70-90/tonne</w:t>
      </w:r>
    </w:p>
    <w:p w14:paraId="0000014d">
      <w:pPr>
        <w:rPr/>
      </w:pPr>
      <w:r>
        <w:rPr/>
        <w:t xml:space="preserve">- 2017-2018: USD 90-110/tonne</w:t>
      </w:r>
    </w:p>
    <w:p w14:paraId="0000014e">
      <w:pPr>
        <w:rPr/>
      </w:pPr>
      <w:r>
        <w:rPr/>
        <w:t xml:space="preserve">- 2019: Decline to USD 60-80/tonne</w:t>
      </w:r>
    </w:p>
    <w:p w14:paraId="0000014f">
      <w:pPr>
        <w:rPr/>
      </w:pPr>
      <w:r>
        <w:rPr/>
        <w:t xml:space="preserve">- 2020: COVID-19 impact, USD 50-65/tonne lows</w:t>
      </w:r>
    </w:p>
    <w:p w14:paraId="00000150">
      <w:pPr>
        <w:rPr/>
      </w:pPr>
      <w:r>
        <w:rPr/>
        <w:t xml:space="preserve">- 2021: Sharp recovery, USD 120-180/tonne peaks</w:t>
      </w:r>
    </w:p>
    <w:p w14:paraId="00000151">
      <w:pPr>
        <w:rPr/>
      </w:pPr>
      <w:r>
        <w:rPr/>
        <w:t xml:space="preserve">- 2022: Geopolitical spike, sustained highs</w:t>
      </w:r>
    </w:p>
    <w:p w14:paraId="00000152">
      <w:pPr>
        <w:rPr/>
      </w:pPr>
      <w:r>
        <w:rPr/>
        <w:t xml:space="preserve">- 2023-2024: Normalization to USD 80-130/tonne</w:t>
      </w:r>
    </w:p>
    <w:p w14:paraId="00000153">
      <w:pPr>
        <w:rPr/>
      </w:pPr>
      <w:r>
        <w:rPr/>
        <w:t xml:space="preserve">- 2025-2026: Range-bound USD 85-120/tonne</w:t>
      </w:r>
    </w:p>
    <w:p w14:paraId="00000154">
      <w:pPr>
        <w:rPr/>
      </w:pPr>
      <w:r>
        <w:rPr/>
        <w:t xml:space="preserve">Metallurgical Coal:</w:t>
      </w:r>
    </w:p>
    <w:p w14:paraId="00000155">
      <w:pPr>
        <w:rPr/>
      </w:pPr>
      <w:r>
        <w:rPr/>
        <w:t xml:space="preserve">- Premium hard coking coal: USD 150-300/tonne range</w:t>
      </w:r>
    </w:p>
    <w:p w14:paraId="00000156">
      <w:pPr>
        <w:rPr/>
      </w:pPr>
      <w:r>
        <w:rPr/>
        <w:t xml:space="preserve">- Lower-grade semisoft: Discount to premium grades</w:t>
      </w:r>
    </w:p>
    <w:p w14:paraId="00000157">
      <w:pPr>
        <w:rPr/>
      </w:pPr>
      <w:r>
        <w:rPr/>
        <w:t xml:space="preserve">- Price sensitivity to steel industry cycles</w:t>
      </w:r>
    </w:p>
    <w:p w14:paraId="00000158">
      <w:pPr>
        <w:rPr/>
      </w:pPr>
      <w:r>
        <w:rPr/>
        <w:t xml:space="preserve">5.1.2 Nickel Price Dynamics</w:t>
      </w:r>
    </w:p>
    <w:p w14:paraId="00000159">
      <w:pPr>
        <w:rPr/>
      </w:pPr>
      <w:r>
        <w:rPr/>
        <w:t xml:space="preserve">Nickel demonstrates high volatility:</w:t>
      </w:r>
    </w:p>
    <w:p w14:paraId="0000015a">
      <w:pPr>
        <w:rPr/>
      </w:pPr>
      <w:r>
        <w:rPr/>
        <w:t xml:space="preserve">- 2010-2015: USD 15,000-22,000/tonne range</w:t>
      </w:r>
    </w:p>
    <w:p w14:paraId="0000015b">
      <w:pPr>
        <w:rPr/>
      </w:pPr>
      <w:r>
        <w:rPr/>
        <w:t xml:space="preserve">- 2016-2018: Recovery, USD 10,000-15,000/tonne</w:t>
      </w:r>
    </w:p>
    <w:p w14:paraId="0000015c">
      <w:pPr>
        <w:rPr/>
      </w:pPr>
      <w:r>
        <w:rPr/>
        <w:t xml:space="preserve">- 2019: Surplus, USD 12,000-15,000/tonne</w:t>
      </w:r>
    </w:p>
    <w:p w14:paraId="0000015d">
      <w:pPr>
        <w:rPr/>
      </w:pPr>
      <w:r>
        <w:rPr/>
        <w:t xml:space="preserve">- 2020: COVID dip, USD 12,000-16,000/tonne</w:t>
      </w:r>
    </w:p>
    <w:p w14:paraId="0000015e">
      <w:pPr>
        <w:rPr/>
      </w:pPr>
      <w:r>
        <w:rPr/>
        <w:t xml:space="preserve">- 2021-2022: Indonesian policy changes, surge to USD 20,000-45,000/tonne</w:t>
      </w:r>
    </w:p>
    <w:p w14:paraId="0000015f">
      <w:pPr>
        <w:rPr/>
      </w:pPr>
      <w:r>
        <w:rPr/>
        <w:t xml:space="preserve">- 2023-2024: Correction to USD 15,000-20,000/tonne</w:t>
      </w:r>
    </w:p>
    <w:p w14:paraId="00000160">
      <w:pPr>
        <w:rPr/>
      </w:pPr>
      <w:r>
        <w:rPr/>
        <w:t xml:space="preserve">- 2025-2026: Battery demand growth, USD 16,000-22,000/tonne</w:t>
      </w:r>
    </w:p>
    <w:p w14:paraId="00000161">
      <w:pPr>
        <w:rPr/>
      </w:pPr>
      <w:r>
        <w:rPr/>
        <w:t xml:space="preserve">5.1.3 Iron Ore Pricing</w:t>
      </w:r>
    </w:p>
    <w:p w14:paraId="00000162">
      <w:pPr>
        <w:rPr/>
      </w:pPr>
      <w:r>
        <w:rPr/>
        <w:t xml:space="preserve">Iron ore is primarily quoted on:</w:t>
      </w:r>
    </w:p>
    <w:p w14:paraId="00000163">
      <w:pPr>
        <w:rPr/>
      </w:pPr>
      <w:r>
        <w:rPr/>
        <w:t xml:space="preserve">- Platts IODEX 62% Fe CFR China</w:t>
      </w:r>
    </w:p>
    <w:p w14:paraId="00000164">
      <w:pPr>
        <w:rPr/>
      </w:pPr>
      <w:r>
        <w:rPr/>
        <w:t xml:space="preserve">- TSI Iron Ore Index</w:t>
      </w:r>
    </w:p>
    <w:p w14:paraId="00000165">
      <w:pPr>
        <w:rPr/>
      </w:pPr>
      <w:r>
        <w:rPr/>
        <w:t xml:space="preserve">Historical prices:</w:t>
      </w:r>
    </w:p>
    <w:p w14:paraId="00000166">
      <w:pPr>
        <w:rPr/>
      </w:pPr>
      <w:r>
        <w:rPr/>
        <w:t xml:space="preserve">- 2010-2014: USD 100-180/tonne range</w:t>
      </w:r>
    </w:p>
    <w:p w14:paraId="00000167">
      <w:pPr>
        <w:rPr/>
      </w:pPr>
      <w:r>
        <w:rPr/>
        <w:t xml:space="preserve">- 2015: Oversupply, USD 40-60/tonne lows</w:t>
      </w:r>
    </w:p>
    <w:p w14:paraId="00000168">
      <w:pPr>
        <w:rPr/>
      </w:pPr>
      <w:r>
        <w:rPr/>
        <w:t xml:space="preserve">- 2016-2018: Recovery USD 50-80/tonne</w:t>
      </w:r>
    </w:p>
    <w:p w14:paraId="00000169">
      <w:pPr>
        <w:rPr/>
      </w:pPr>
      <w:r>
        <w:rPr/>
        <w:t xml:space="preserve">- 2019: Vale dam disaster, surge to USD 120+/tonne</w:t>
      </w:r>
    </w:p>
    <w:p w14:paraId="0000016a">
      <w:pPr>
        <w:rPr/>
      </w:pPr>
      <w:r>
        <w:rPr/>
        <w:t xml:space="preserve">- 2020-2021: Recovery and volatility</w:t>
      </w:r>
    </w:p>
    <w:p w14:paraId="0000016b">
      <w:pPr>
        <w:rPr/>
      </w:pPr>
      <w:r>
        <w:rPr/>
        <w:t xml:space="preserve">- 2022-2024: USD 90-130/tonne range</w:t>
      </w:r>
    </w:p>
    <w:p w14:paraId="0000016c">
      <w:pPr>
        <w:rPr/>
      </w:pPr>
      <w:r>
        <w:rPr/>
        <w:t xml:space="preserve">5.2 Supply and Demand Factors</w:t>
      </w:r>
    </w:p>
    <w:p w14:paraId="0000016d">
      <w:pPr>
        <w:rPr/>
      </w:pPr>
      <w:r>
        <w:rPr/>
        <w:t xml:space="preserve">5.2.1 Global Coal Supply</w:t>
      </w:r>
    </w:p>
    <w:p w14:paraId="0000016e">
      <w:pPr>
        <w:rPr/>
      </w:pPr>
      <w:r>
        <w:rPr/>
        <w:t xml:space="preserve">Major Producing Countries:</w:t>
      </w:r>
    </w:p>
    <w:p w14:paraId="0000016f">
      <w:pPr>
        <w:rPr/>
      </w:pPr>
      <w:r>
        <w:rPr/>
        <w:t xml:space="preserve">China:</w:t>
      </w:r>
    </w:p>
    <w:p w14:paraId="00000170">
      <w:pPr>
        <w:rPr/>
      </w:pPr>
      <w:r>
        <w:rPr/>
        <w:t xml:space="preserve">- Production: 4.0+ billion tonnes annually</w:t>
      </w:r>
    </w:p>
    <w:p w14:paraId="00000171">
      <w:pPr>
        <w:rPr/>
      </w:pPr>
      <w:r>
        <w:rPr/>
        <w:t xml:space="preserve">- Predominantly domestic consumption</w:t>
      </w:r>
    </w:p>
    <w:p w14:paraId="00000172">
      <w:pPr>
        <w:rPr/>
      </w:pPr>
      <w:r>
        <w:rPr/>
        <w:t xml:space="preserve">- Environmental policies limiting domestic supply growth</w:t>
      </w:r>
    </w:p>
    <w:p w14:paraId="00000173">
      <w:pPr>
        <w:rPr/>
      </w:pPr>
      <w:r>
        <w:rPr/>
        <w:t xml:space="preserve">- Major import sources: Indonesia, Mongolia, Russia</w:t>
      </w:r>
    </w:p>
    <w:p w14:paraId="00000174">
      <w:pPr>
        <w:rPr/>
      </w:pPr>
      <w:r>
        <w:rPr/>
        <w:t xml:space="preserve">India:</w:t>
      </w:r>
    </w:p>
    <w:p w14:paraId="00000175">
      <w:pPr>
        <w:rPr/>
      </w:pPr>
      <w:r>
        <w:rPr/>
        <w:t xml:space="preserve">- Production: 900+ million tonnes annually</w:t>
      </w:r>
    </w:p>
    <w:p w14:paraId="00000176">
      <w:pPr>
        <w:rPr/>
      </w:pPr>
      <w:r>
        <w:rPr/>
        <w:t xml:space="preserve">- Domestic consumption outpacing supply growth</w:t>
      </w:r>
    </w:p>
    <w:p w14:paraId="00000177">
      <w:pPr>
        <w:rPr/>
      </w:pPr>
      <w:r>
        <w:rPr/>
        <w:t xml:space="preserve">- Rising import dependency</w:t>
      </w:r>
    </w:p>
    <w:p w14:paraId="00000178">
      <w:pPr>
        <w:rPr/>
      </w:pPr>
      <w:r>
        <w:rPr/>
        <w:t xml:space="preserve">- Imports from Indonesia, Australia, South Africa</w:t>
      </w:r>
    </w:p>
    <w:p w14:paraId="00000179">
      <w:pPr>
        <w:rPr/>
      </w:pPr>
      <w:r>
        <w:rPr/>
        <w:t xml:space="preserve">Indonesia:</w:t>
      </w:r>
    </w:p>
    <w:p w14:paraId="0000017a">
      <w:pPr>
        <w:rPr/>
      </w:pPr>
      <w:r>
        <w:rPr/>
        <w:t xml:space="preserve">- Production: 600-700 million tonnes annually</w:t>
      </w:r>
    </w:p>
    <w:p w14:paraId="0000017b">
      <w:pPr>
        <w:rPr/>
      </w:pPr>
      <w:r>
        <w:rPr/>
        <w:t xml:space="preserve">- World's largest thermal coal exporter</w:t>
      </w:r>
    </w:p>
    <w:p w14:paraId="0000017c">
      <w:pPr>
        <w:rPr/>
      </w:pPr>
      <w:r>
        <w:rPr/>
        <w:t xml:space="preserve">- Major markets: China, India, ASEAN, Japan, Korea</w:t>
      </w:r>
    </w:p>
    <w:p w14:paraId="0000017d">
      <w:pPr>
        <w:rPr/>
      </w:pPr>
      <w:r>
        <w:rPr/>
        <w:t xml:space="preserve">- Government balancing export and domestic needs</w:t>
      </w:r>
    </w:p>
    <w:p w14:paraId="0000017e">
      <w:pPr>
        <w:rPr/>
      </w:pPr>
      <w:r>
        <w:rPr/>
        <w:t xml:space="preserve">Australia:</w:t>
      </w:r>
    </w:p>
    <w:p w14:paraId="0000017f">
      <w:pPr>
        <w:rPr/>
      </w:pPr>
      <w:r>
        <w:rPr/>
        <w:t xml:space="preserve">- Production: 500-600 million tonnes annually</w:t>
      </w:r>
    </w:p>
    <w:p w14:paraId="00000180">
      <w:pPr>
        <w:rPr/>
      </w:pPr>
      <w:r>
        <w:rPr/>
        <w:t xml:space="preserve">- Premium quality, particularly for metallurgical coal</w:t>
      </w:r>
    </w:p>
    <w:p w14:paraId="00000181">
      <w:pPr>
        <w:rPr/>
      </w:pPr>
      <w:r>
        <w:rPr/>
        <w:t xml:space="preserve">- Major coking coal exporter</w:t>
      </w:r>
    </w:p>
    <w:p w14:paraId="00000182">
      <w:pPr>
        <w:rPr/>
      </w:pPr>
      <w:r>
        <w:rPr/>
        <w:t xml:space="preserve">- Export-focused production</w:t>
      </w:r>
    </w:p>
    <w:p w14:paraId="00000183">
      <w:pPr>
        <w:rPr/>
      </w:pPr>
      <w:r>
        <w:rPr/>
        <w:t xml:space="preserve">United States:</w:t>
      </w:r>
    </w:p>
    <w:p w14:paraId="00000184">
      <w:pPr>
        <w:rPr/>
      </w:pPr>
      <w:r>
        <w:rPr/>
        <w:t xml:space="preserve">- Production declining from 500+ million tonnes</w:t>
      </w:r>
    </w:p>
    <w:p w14:paraId="00000185">
      <w:pPr>
        <w:rPr/>
      </w:pPr>
      <w:r>
        <w:rPr/>
        <w:t xml:space="preserve">- Domestic consumption for power generation</w:t>
      </w:r>
    </w:p>
    <w:p w14:paraId="00000186">
      <w:pPr>
        <w:rPr/>
      </w:pPr>
      <w:r>
        <w:rPr/>
        <w:t xml:space="preserve">- Limited export growth due to logistics constraints</w:t>
      </w:r>
    </w:p>
    <w:p w14:paraId="00000187">
      <w:pPr>
        <w:rPr/>
      </w:pPr>
      <w:r>
        <w:rPr/>
        <w:t xml:space="preserve">Russia:</w:t>
      </w:r>
    </w:p>
    <w:p w14:paraId="00000188">
      <w:pPr>
        <w:rPr/>
      </w:pPr>
      <w:r>
        <w:rPr/>
        <w:t xml:space="preserve">- Production: 400+ million tonnes</w:t>
      </w:r>
    </w:p>
    <w:p w14:paraId="00000189">
      <w:pPr>
        <w:rPr/>
      </w:pPr>
      <w:r>
        <w:rPr/>
        <w:t xml:space="preserve">- Major exporter despite logistics challenges</w:t>
      </w:r>
    </w:p>
    <w:p w14:paraId="0000018a">
      <w:pPr>
        <w:rPr/>
      </w:pPr>
      <w:r>
        <w:rPr/>
        <w:t xml:space="preserve">- Sanctions impact on European markets</w:t>
      </w:r>
    </w:p>
    <w:p w14:paraId="0000018b">
      <w:pPr>
        <w:rPr/>
      </w:pPr>
      <w:r>
        <w:rPr/>
        <w:t xml:space="preserve">- Reorientation to Asian markets</w:t>
      </w:r>
    </w:p>
    <w:p w14:paraId="0000018c">
      <w:pPr>
        <w:rPr/>
      </w:pPr>
      <w:r>
        <w:rPr/>
        <w:t xml:space="preserve">5.2.2 Global Coal Demand</w:t>
      </w:r>
    </w:p>
    <w:p w14:paraId="0000018d">
      <w:pPr>
        <w:rPr/>
      </w:pPr>
      <w:r>
        <w:rPr/>
        <w:t xml:space="preserve">Power Generation:</w:t>
      </w:r>
    </w:p>
    <w:p w14:paraId="0000018e">
      <w:pPr>
        <w:rPr/>
      </w:pPr>
      <w:r>
        <w:rPr/>
        <w:t xml:space="preserve">- Coal remains primary fuel for electricity in many developing nations</w:t>
      </w:r>
    </w:p>
    <w:p w14:paraId="0000018f">
      <w:pPr>
        <w:rPr/>
      </w:pPr>
      <w:r>
        <w:rPr/>
        <w:t xml:space="preserve">- China: 60% of electricity from coal</w:t>
      </w:r>
    </w:p>
    <w:p w14:paraId="00000190">
      <w:pPr>
        <w:rPr/>
      </w:pPr>
      <w:r>
        <w:rPr/>
        <w:t xml:space="preserve">- India: 75% of electricity from coal</w:t>
      </w:r>
    </w:p>
    <w:p w14:paraId="00000191">
      <w:pPr>
        <w:rPr/>
      </w:pPr>
      <w:r>
        <w:rPr/>
        <w:t xml:space="preserve">- Southeast Asia: Growing coal dependence for baseload power</w:t>
      </w:r>
    </w:p>
    <w:p w14:paraId="00000192">
      <w:pPr>
        <w:rPr/>
      </w:pPr>
      <w:r>
        <w:rPr/>
        <w:t xml:space="preserve">- Developed nations: Accelerating coal phase-out</w:t>
      </w:r>
    </w:p>
    <w:p w14:paraId="00000193">
      <w:pPr>
        <w:rPr/>
      </w:pPr>
      <w:r>
        <w:rPr/>
        <w:t xml:space="preserve">Industrial Demand:</w:t>
      </w:r>
    </w:p>
    <w:p w14:paraId="00000194">
      <w:pPr>
        <w:rPr/>
      </w:pPr>
      <w:r>
        <w:rPr/>
        <w:t xml:space="preserve">- Steel manufacturing (metallurgical coal)</w:t>
      </w:r>
    </w:p>
    <w:p w14:paraId="00000195">
      <w:pPr>
        <w:rPr/>
      </w:pPr>
      <w:r>
        <w:rPr/>
        <w:t xml:space="preserve">- Cement production (thermal coal and limestone)</w:t>
      </w:r>
    </w:p>
    <w:p w14:paraId="00000196">
      <w:pPr>
        <w:rPr/>
      </w:pPr>
      <w:r>
        <w:rPr/>
        <w:t xml:space="preserve">- Sugar mills (process heat)</w:t>
      </w:r>
    </w:p>
    <w:p w14:paraId="00000197">
      <w:pPr>
        <w:rPr/>
      </w:pPr>
      <w:r>
        <w:rPr/>
        <w:t xml:space="preserve">- Manufacturing processes</w:t>
      </w:r>
    </w:p>
    <w:p w14:paraId="00000198">
      <w:pPr>
        <w:rPr/>
      </w:pPr>
      <w:r>
        <w:rPr/>
        <w:t xml:space="preserve">5.2.3 Asia-Pacific Demand Growth</w:t>
      </w:r>
    </w:p>
    <w:p w14:paraId="00000199">
      <w:pPr>
        <w:rPr/>
      </w:pPr>
      <w:r>
        <w:rPr/>
        <w:t xml:space="preserve">Southeast Asia Energy Demand:</w:t>
      </w:r>
    </w:p>
    <w:p w14:paraId="0000019a">
      <w:pPr>
        <w:rPr/>
      </w:pPr>
      <w:r>
        <w:rPr/>
        <w:t xml:space="preserve">- Regional GDP growth averaging 4-5% annually</w:t>
      </w:r>
    </w:p>
    <w:p w14:paraId="0000019b">
      <w:pPr>
        <w:rPr/>
      </w:pPr>
      <w:r>
        <w:rPr/>
        <w:t xml:space="preserve">- Rapid electrification and industrialization</w:t>
      </w:r>
    </w:p>
    <w:p w14:paraId="0000019c">
      <w:pPr>
        <w:rPr/>
      </w:pPr>
      <w:r>
        <w:rPr/>
        <w:t xml:space="preserve">- Indonesia: 65% coal in power mix</w:t>
      </w:r>
    </w:p>
    <w:p w14:paraId="0000019d">
      <w:pPr>
        <w:rPr/>
      </w:pPr>
      <w:r>
        <w:rPr/>
        <w:t xml:space="preserve">- Vietnam: 30%+ coal in power mix</w:t>
      </w:r>
    </w:p>
    <w:p w14:paraId="0000019e">
      <w:pPr>
        <w:rPr/>
      </w:pPr>
      <w:r>
        <w:rPr/>
        <w:t xml:space="preserve">- Philippines: 54% coal in power mix</w:t>
      </w:r>
    </w:p>
    <w:p w14:paraId="0000019f">
      <w:pPr>
        <w:rPr/>
      </w:pPr>
      <w:r>
        <w:rPr/>
        <w:t xml:space="preserve">- Thailand: Growing coal imports despite renewables push</w:t>
      </w:r>
    </w:p>
    <w:p w14:paraId="000001a0">
      <w:pPr>
        <w:rPr/>
      </w:pPr>
      <w:r>
        <w:rPr/>
        <w:t xml:space="preserve">Growth Projections:</w:t>
      </w:r>
    </w:p>
    <w:p w14:paraId="000001a1">
      <w:pPr>
        <w:rPr/>
      </w:pPr>
      <w:r>
        <w:rPr/>
        <w:t xml:space="preserve">- ASEAN coal-fired power capacity expected to increase through 2030</w:t>
      </w:r>
    </w:p>
    <w:p w14:paraId="000001a2">
      <w:pPr>
        <w:rPr/>
      </w:pPr>
      <w:r>
        <w:rPr/>
        <w:t xml:space="preserve">- Investment in new coal plants continuing despite global phase-out trends</w:t>
      </w:r>
    </w:p>
    <w:p w14:paraId="000001a3">
      <w:pPr>
        <w:rPr/>
      </w:pPr>
      <w:r>
        <w:rPr/>
        <w:t xml:space="preserve">- Domestic production insufficient in most markets, driving imports</w:t>
      </w:r>
    </w:p>
    <w:p w14:paraId="000001a4">
      <w:pPr>
        <w:rPr/>
      </w:pPr>
      <w:r>
        <w:rPr/>
        <w:t xml:space="preserve">5.3 Macroeconomic Factors</w:t>
      </w:r>
    </w:p>
    <w:p w14:paraId="000001a5">
      <w:pPr>
        <w:rPr/>
      </w:pPr>
      <w:r>
        <w:rPr/>
        <w:t xml:space="preserve">5.3.1 COVID-19 Impact (2020-2021)</w:t>
      </w:r>
    </w:p>
    <w:p w14:paraId="000001a6">
      <w:pPr>
        <w:rPr/>
      </w:pPr>
      <w:r>
        <w:rPr/>
        <w:t xml:space="preserve">Initial Shock:</w:t>
      </w:r>
    </w:p>
    <w:p w14:paraId="000001a7">
      <w:pPr>
        <w:rPr/>
      </w:pPr>
      <w:r>
        <w:rPr/>
        <w:t xml:space="preserve">- Demand collapse in Q2 2020</w:t>
      </w:r>
    </w:p>
    <w:p w14:paraId="000001a8">
      <w:pPr>
        <w:rPr/>
      </w:pPr>
      <w:r>
        <w:rPr/>
        <w:t xml:space="preserve">- Oil price crash affecting bunker costs</w:t>
      </w:r>
    </w:p>
    <w:p w14:paraId="000001a9">
      <w:pPr>
        <w:rPr/>
      </w:pPr>
      <w:r>
        <w:rPr/>
        <w:t xml:space="preserve">- Shipping rate volatility</w:t>
      </w:r>
    </w:p>
    <w:p w14:paraId="000001aa">
      <w:pPr>
        <w:rPr/>
      </w:pPr>
      <w:r>
        <w:rPr/>
        <w:t xml:space="preserve">- Supply chain disruptions</w:t>
      </w:r>
    </w:p>
    <w:p w14:paraId="000001ab">
      <w:pPr>
        <w:rPr/>
      </w:pPr>
      <w:r>
        <w:rPr/>
        <w:t xml:space="preserve">Recovery Phase:</w:t>
      </w:r>
    </w:p>
    <w:p w14:paraId="000001ac">
      <w:pPr>
        <w:rPr/>
      </w:pPr>
      <w:r>
        <w:rPr/>
        <w:t xml:space="preserve">- Strong demand recovery in H2 2020</w:t>
      </w:r>
    </w:p>
    <w:p w14:paraId="000001ad">
      <w:pPr>
        <w:rPr/>
      </w:pPr>
      <w:r>
        <w:rPr/>
        <w:t xml:space="preserve">- Inventory restocking in 2021</w:t>
      </w:r>
    </w:p>
    <w:p w14:paraId="000001ae">
      <w:pPr>
        <w:rPr/>
      </w:pPr>
      <w:r>
        <w:rPr/>
        <w:t xml:space="preserve">- Shipping constraints and port congestion</w:t>
      </w:r>
    </w:p>
    <w:p w14:paraId="000001af">
      <w:pPr>
        <w:rPr/>
      </w:pPr>
      <w:r>
        <w:rPr/>
        <w:t xml:space="preserve">- Price inflation across commodity complex</w:t>
      </w:r>
    </w:p>
    <w:p w14:paraId="000001b0">
      <w:pPr>
        <w:rPr/>
      </w:pPr>
      <w:r>
        <w:rPr/>
        <w:t xml:space="preserve">5.3.2 Russia-Ukraine Conflict Effects (2022-present)</w:t>
      </w:r>
    </w:p>
    <w:p w14:paraId="000001b1">
      <w:pPr>
        <w:rPr/>
      </w:pPr>
      <w:r>
        <w:rPr/>
        <w:t xml:space="preserve">Energy Market Disruption:</w:t>
      </w:r>
    </w:p>
    <w:p w14:paraId="000001b2">
      <w:pPr>
        <w:rPr/>
      </w:pPr>
      <w:r>
        <w:rPr/>
        <w:t xml:space="preserve">- Disruption of Russian coal and gas supplies to Europe</w:t>
      </w:r>
    </w:p>
    <w:p w14:paraId="000001b3">
      <w:pPr>
        <w:rPr/>
      </w:pPr>
      <w:r>
        <w:rPr/>
        <w:t xml:space="preserve">- European coal demand surge as gas alternative</w:t>
      </w:r>
    </w:p>
    <w:p w14:paraId="000001b4">
      <w:pPr>
        <w:rPr/>
      </w:pPr>
      <w:r>
        <w:rPr/>
        <w:t xml:space="preserve">- Price spikes in global coal markets</w:t>
      </w:r>
    </w:p>
    <w:p w14:paraId="000001b5">
      <w:pPr>
        <w:rPr/>
      </w:pPr>
      <w:r>
        <w:rPr/>
        <w:t xml:space="preserve">- Trade flow redirections globally</w:t>
      </w:r>
    </w:p>
    <w:p w14:paraId="000001b6">
      <w:pPr>
        <w:rPr/>
      </w:pPr>
      <w:r>
        <w:rPr/>
        <w:t xml:space="preserve">Structural Changes:</w:t>
      </w:r>
    </w:p>
    <w:p w14:paraId="000001b7">
      <w:pPr>
        <w:rPr/>
      </w:pPr>
      <w:r>
        <w:rPr/>
        <w:t xml:space="preserve">- Europe accelerated coal phase-out timeline</w:t>
      </w:r>
    </w:p>
    <w:p w14:paraId="000001b8">
      <w:pPr>
        <w:rPr/>
      </w:pPr>
      <w:r>
        <w:rPr/>
        <w:t xml:space="preserve">- Asian markets became more important for Russian coal</w:t>
      </w:r>
    </w:p>
    <w:p w14:paraId="000001b9">
      <w:pPr>
        <w:rPr/>
      </w:pPr>
      <w:r>
        <w:rPr/>
        <w:t xml:space="preserve">- Alternative supply routes developed</w:t>
      </w:r>
    </w:p>
    <w:p w14:paraId="000001ba">
      <w:pPr>
        <w:rPr/>
      </w:pPr>
      <w:r>
        <w:rPr/>
        <w:t xml:space="preserve">- Price volatility became embedded in market expectations</w:t>
      </w:r>
    </w:p>
    <w:p w14:paraId="000001bb">
      <w:pPr>
        <w:rPr/>
      </w:pPr>
      <w:r>
        <w:rPr/>
        <w:t xml:space="preserve">5.3.3 Inflation Dynamics</w:t>
      </w:r>
    </w:p>
    <w:p w14:paraId="000001bc">
      <w:pPr>
        <w:rPr/>
      </w:pPr>
      <w:r>
        <w:rPr/>
        <w:t xml:space="preserve">2021-2023 Inflation Surge:</w:t>
      </w:r>
    </w:p>
    <w:p w14:paraId="000001bd">
      <w:pPr>
        <w:rPr/>
      </w:pPr>
      <w:r>
        <w:rPr/>
        <w:t xml:space="preserve">- Commodity prices contributed to consumer inflation</w:t>
      </w:r>
    </w:p>
    <w:p w14:paraId="000001be">
      <w:pPr>
        <w:rPr/>
      </w:pPr>
      <w:r>
        <w:rPr/>
        <w:t xml:space="preserve">- Central bank responses (interest rate increases)</w:t>
      </w:r>
    </w:p>
    <w:p w14:paraId="000001bf">
      <w:pPr>
        <w:rPr/>
      </w:pPr>
      <w:r>
        <w:rPr/>
        <w:t xml:space="preserve">- Currency movements affecting import costs</w:t>
      </w:r>
    </w:p>
    <w:p w14:paraId="000001c0">
      <w:pPr>
        <w:rPr/>
      </w:pPr>
      <w:r>
        <w:rPr/>
        <w:t xml:space="preserve">- Input cost pressures across industries</w:t>
      </w:r>
    </w:p>
    <w:p w14:paraId="000001c1">
      <w:pPr>
        <w:rPr/>
      </w:pPr>
      <w:r>
        <w:rPr/>
        <w:t xml:space="preserve">Implications for Philippine Importers:</w:t>
      </w:r>
    </w:p>
    <w:p w14:paraId="000001c2">
      <w:pPr>
        <w:rPr/>
      </w:pPr>
      <w:r>
        <w:rPr/>
        <w:t xml:space="preserve">- PHP depreciation increasing import costs</w:t>
      </w:r>
    </w:p>
    <w:p w14:paraId="000001c3">
      <w:pPr>
        <w:rPr/>
      </w:pPr>
      <w:r>
        <w:rPr/>
        <w:t xml:space="preserve">- Higher financing costs affecting working capital</w:t>
      </w:r>
    </w:p>
    <w:p w14:paraId="000001c4">
      <w:pPr>
        <w:rPr/>
      </w:pPr>
      <w:r>
        <w:rPr/>
        <w:t xml:space="preserve">- Price pass-through requirements</w:t>
      </w:r>
    </w:p>
    <w:p w14:paraId="000001c5">
      <w:pPr>
        <w:rPr/>
      </w:pPr>
      <w:r>
        <w:rPr/>
        <w:t xml:space="preserve">- Margin compression risks</w:t>
      </w:r>
    </w:p>
    <w:p w14:paraId="000001c6">
      <w:pPr>
        <w:rPr/>
      </w:pPr>
      <w:r>
        <w:rPr/>
        <w:t xml:space="preserve">5.3.4 Currency Dynamics</w:t>
      </w:r>
    </w:p>
    <w:p w14:paraId="000001c7">
      <w:pPr>
        <w:rPr/>
      </w:pPr>
      <w:r>
        <w:rPr/>
        <w:t xml:space="preserve">Philippine Peso (PHP) Trends:</w:t>
      </w:r>
    </w:p>
    <w:p w14:paraId="000001c8">
      <w:pPr>
        <w:rPr/>
      </w:pPr>
      <w:r>
        <w:rPr/>
        <w:t xml:space="preserve">- USD/PHP typically ranges 48-56</w:t>
      </w:r>
    </w:p>
    <w:p w14:paraId="000001c9">
      <w:pPr>
        <w:rPr/>
      </w:pPr>
      <w:r>
        <w:rPr/>
        <w:t xml:space="preserve">- Periods of depreciation increasing import costs</w:t>
      </w:r>
    </w:p>
    <w:p w14:paraId="000001ca">
      <w:pPr>
        <w:rPr/>
      </w:pPr>
      <w:r>
        <w:rPr/>
        <w:t xml:space="preserve">- Policy rate responses to inflation</w:t>
      </w:r>
    </w:p>
    <w:p w14:paraId="000001cb">
      <w:pPr>
        <w:rPr/>
      </w:pPr>
      <w:r>
        <w:rPr/>
        <w:t xml:space="preserve">- Remittance and BPO income providing stability</w:t>
      </w:r>
    </w:p>
    <w:p w14:paraId="000001cc">
      <w:pPr>
        <w:rPr/>
      </w:pPr>
      <w:r>
        <w:rPr/>
        <w:t xml:space="preserve">Import Cost Impact:</w:t>
      </w:r>
    </w:p>
    <w:p w14:paraId="000001cd">
      <w:pPr>
        <w:rPr/>
      </w:pPr>
      <w:r>
        <w:rPr/>
        <w:t xml:space="preserve">- Coal priced in USD creates peso exposure</w:t>
      </w:r>
    </w:p>
    <w:p w14:paraId="000001ce">
      <w:pPr>
        <w:rPr/>
      </w:pPr>
      <w:r>
        <w:rPr/>
        <w:t xml:space="preserve">- Currency hedging may be necessary for large positions</w:t>
      </w:r>
    </w:p>
    <w:p w14:paraId="000001cf">
      <w:pPr>
        <w:rPr/>
      </w:pPr>
      <w:r>
        <w:rPr/>
        <w:t xml:space="preserve">- Competitive positioning affected by currency movements</w:t>
      </w:r>
    </w:p>
    <w:p w14:paraId="000001d0">
      <w:pPr>
        <w:rPr/>
      </w:pPr>
      <w:r>
        <w:rPr/>
        <w:t xml:space="preserve">5.4 Logistics Costs</w:t>
      </w:r>
    </w:p>
    <w:p w14:paraId="000001d1">
      <w:pPr>
        <w:rPr/>
      </w:pPr>
      <w:r>
        <w:rPr/>
        <w:t xml:space="preserve">5.4.1 Baltic Dry Index Trends</w:t>
      </w:r>
    </w:p>
    <w:p w14:paraId="000001d2">
      <w:pPr>
        <w:rPr/>
      </w:pPr>
      <w:r>
        <w:rPr/>
        <w:t xml:space="preserve">The Baltic Dry Index serves as a proxy for shipping costs:</w:t>
      </w:r>
    </w:p>
    <w:p w14:paraId="000001d3">
      <w:pPr>
        <w:rPr/>
      </w:pPr>
      <w:r>
        <w:rPr/>
        <w:t xml:space="preserve">Historical BDI Performance:</w:t>
      </w:r>
    </w:p>
    <w:p w14:paraId="000001d4">
      <w:pPr>
        <w:rPr/>
      </w:pPr>
      <w:r>
        <w:rPr/>
        <w:t xml:space="preserve">- 2010: 2,000-3,000 range (Capesize)</w:t>
      </w:r>
    </w:p>
    <w:p w14:paraId="000001d5">
      <w:pPr>
        <w:rPr/>
      </w:pPr>
      <w:r>
        <w:rPr/>
        <w:t xml:space="preserve">- 2011-2015: Declining trend, structural oversupply</w:t>
      </w:r>
    </w:p>
    <w:p w14:paraId="000001d6">
      <w:pPr>
        <w:rPr/>
      </w:pPr>
      <w:r>
        <w:rPr/>
        <w:t xml:space="preserve">- 2016: Historic lows (sub-500)</w:t>
      </w:r>
    </w:p>
    <w:p w14:paraId="000001d7">
      <w:pPr>
        <w:rPr/>
      </w:pPr>
      <w:r>
        <w:rPr/>
        <w:t xml:space="preserve">- 2017-2019: Recovery with volatility</w:t>
      </w:r>
    </w:p>
    <w:p w14:paraId="000001d8">
      <w:pPr>
        <w:rPr/>
      </w:pPr>
      <w:r>
        <w:rPr/>
        <w:t xml:space="preserve">- 2020: COVID collapse, sub-400 lows</w:t>
      </w:r>
    </w:p>
    <w:p w14:paraId="000001d9">
      <w:pPr>
        <w:rPr/>
      </w:pPr>
      <w:r>
        <w:rPr/>
        <w:t xml:space="preserve">- 2021: Extraordinary highs (5,000+ on Cape routes)</w:t>
      </w:r>
    </w:p>
    <w:p w14:paraId="000001da">
      <w:pPr>
        <w:rPr/>
      </w:pPr>
      <w:r>
        <w:rPr/>
        <w:t xml:space="preserve">- 2022-2024: Correction and stabilization</w:t>
      </w:r>
    </w:p>
    <w:p w14:paraId="000001db">
      <w:pPr>
        <w:rPr/>
      </w:pPr>
      <w:r>
        <w:rPr/>
        <w:t xml:space="preserve">5.4.2 Freight Rate Components</w:t>
      </w:r>
    </w:p>
    <w:p w14:paraId="000001dc">
      <w:pPr>
        <w:rPr/>
      </w:pPr>
      <w:r>
        <w:rPr/>
        <w:t xml:space="preserve">For Philippine coal imports from Indonesia:</w:t>
      </w:r>
    </w:p>
    <w:p w14:paraId="000001dd">
      <w:pPr>
        <w:rPr/>
      </w:pPr>
      <w:r>
        <w:rPr/>
        <w:t xml:space="preserve">- Panamax/Handysize vessels typically used</w:t>
      </w:r>
    </w:p>
    <w:p w14:paraId="000001de">
      <w:pPr>
        <w:rPr/>
      </w:pPr>
      <w:r>
        <w:rPr/>
        <w:t xml:space="preserve">- Trip rates: USD 5-15/tonne depending on rates</w:t>
      </w:r>
    </w:p>
    <w:p w14:paraId="000001df">
      <w:pPr>
        <w:rPr/>
      </w:pPr>
      <w:r>
        <w:rPr/>
        <w:t xml:space="preserve">- Port handling and drafts at Philippine terminals</w:t>
      </w:r>
    </w:p>
    <w:p w14:paraId="000001e0">
      <w:pPr>
        <w:rPr/>
      </w:pPr>
      <w:r>
        <w:rPr/>
        <w:t xml:space="preserve">- Bunkering costs at delivery ports</w:t>
      </w:r>
    </w:p>
    <w:p w14:paraId="000001e1">
      <w:pPr>
        <w:rPr/>
      </w:pPr>
      <w:r>
        <w:rPr/>
        <w:t xml:space="preserve">5.4.3 Bunker Fuel Costs</w:t>
      </w:r>
    </w:p>
    <w:p w14:paraId="000001e2">
      <w:pPr>
        <w:rPr/>
      </w:pPr>
      <w:r>
        <w:rPr/>
        <w:t xml:space="preserve">VLSFO (Very Low Sulfur Fuel Oil):</w:t>
      </w:r>
    </w:p>
    <w:p w14:paraId="000001e3">
      <w:pPr>
        <w:rPr/>
      </w:pPr>
      <w:r>
        <w:rPr/>
        <w:t xml:space="preserve">- Global average: USD 400-600/tonne</w:t>
      </w:r>
    </w:p>
    <w:p w14:paraId="000001e4">
      <w:pPr>
        <w:rPr/>
      </w:pPr>
      <w:r>
        <w:rPr/>
        <w:t xml:space="preserve">- Major port differentials: Singapore, Rotterdam, Fujairah</w:t>
      </w:r>
    </w:p>
    <w:p w14:paraId="000001e5">
      <w:pPr>
        <w:rPr/>
      </w:pPr>
      <w:r>
        <w:rPr/>
        <w:t xml:space="preserve">- LSMGO premium: USD 50-100/tonne over VLSFO</w:t>
      </w:r>
    </w:p>
    <w:p w14:paraId="000001e6">
      <w:pPr>
        <w:rPr/>
      </w:pPr>
      <w:r>
        <w:rPr/>
        <w:t xml:space="preserve">Fuel cost impact on freight:</w:t>
      </w:r>
    </w:p>
    <w:p w14:paraId="000001e7">
      <w:pPr>
        <w:rPr/>
      </w:pPr>
      <w:r>
        <w:rPr/>
        <w:t xml:space="preserve">- 20-30% of voyage costs typically</w:t>
      </w:r>
    </w:p>
    <w:p w14:paraId="000001e8">
      <w:pPr>
        <w:rPr/>
      </w:pPr>
      <w:r>
        <w:rPr/>
        <w:t xml:space="preserve">- IMO 2020 compliance premium</w:t>
      </w:r>
    </w:p>
    <w:p w14:paraId="000001e9">
      <w:pPr>
        <w:rPr/>
      </w:pPr>
      <w:r>
        <w:rPr/>
        <w:t xml:space="preserve">- Scrubber investment payback analysis</w:t>
      </w:r>
    </w:p>
    <w:p w14:paraId="000001ea">
      <w:pPr>
        <w:rPr/>
      </w:pPr>
      <w:r>
        <w:rPr/>
        <w:t xml:space="preserve">5.5 Supply Chain Resilience Considerations</w:t>
      </w:r>
    </w:p>
    <w:p w14:paraId="000001eb">
      <w:pPr>
        <w:rPr/>
      </w:pPr>
      <w:r>
        <w:rPr/>
        <w:t xml:space="preserve">5.5.1 Concentration Risks</w:t>
      </w:r>
    </w:p>
    <w:p w14:paraId="000001ec">
      <w:pPr>
        <w:rPr/>
      </w:pPr>
      <w:r>
        <w:rPr/>
        <w:t xml:space="preserve">- Indonesia as primary coal source creates supply concentration</w:t>
      </w:r>
    </w:p>
    <w:p w14:paraId="000001ed">
      <w:pPr>
        <w:rPr/>
      </w:pPr>
      <w:r>
        <w:rPr/>
        <w:t xml:space="preserve">- Single-vessel voyages from Indonesian terminals</w:t>
      </w:r>
    </w:p>
    <w:p w14:paraId="000001ee">
      <w:pPr>
        <w:rPr/>
      </w:pPr>
      <w:r>
        <w:rPr/>
        <w:t xml:space="preserve">- Weather-related disruptions (monsoon seasons)</w:t>
      </w:r>
    </w:p>
    <w:p w14:paraId="000001ef">
      <w:pPr>
        <w:rPr/>
      </w:pPr>
      <w:r>
        <w:rPr/>
        <w:t xml:space="preserve">- Political and regulatory changes in source countries</w:t>
      </w:r>
    </w:p>
    <w:p w14:paraId="000001f0">
      <w:pPr>
        <w:rPr/>
      </w:pPr>
      <w:r>
        <w:rPr/>
        <w:t xml:space="preserve">5.5.2 Diversification Strategies</w:t>
      </w:r>
    </w:p>
    <w:p w14:paraId="000001f1">
      <w:pPr>
        <w:rPr/>
      </w:pPr>
      <w:r>
        <w:rPr/>
        <w:t xml:space="preserve">- Multiple supplier relationships</w:t>
      </w:r>
    </w:p>
    <w:p w14:paraId="000001f2">
      <w:pPr>
        <w:rPr/>
      </w:pPr>
      <w:r>
        <w:rPr/>
        <w:t xml:space="preserve">- Origin diversification (Indonesia, Australia, South Africa)</w:t>
      </w:r>
    </w:p>
    <w:p w14:paraId="000001f3">
      <w:pPr>
        <w:rPr/>
      </w:pPr>
      <w:r>
        <w:rPr/>
        <w:t xml:space="preserve">- Contract vs. spot purchase blending</w:t>
      </w:r>
    </w:p>
    <w:p w14:paraId="000001f4">
      <w:pPr>
        <w:rPr/>
      </w:pPr>
      <w:r>
        <w:rPr/>
        <w:t xml:space="preserve">- Inventory management and storage capacity</w:t>
      </w:r>
    </w:p>
    <w:p w14:paraId="000001f5">
      <w:pPr>
        <w:rPr/>
      </w:pPr>
      <w:r>
        <w:rPr/>
        <w:t xml:space="preserve">5.5.3 Inventory Management</w:t>
      </w:r>
    </w:p>
    <w:p w14:paraId="000001f6">
      <w:pPr>
        <w:rPr/>
      </w:pPr>
      <w:r>
        <w:rPr/>
        <w:t xml:space="preserve">- Just-in-time vs. strategic inventory approaches</w:t>
      </w:r>
    </w:p>
    <w:p w14:paraId="000001f7">
      <w:pPr>
        <w:rPr/>
      </w:pPr>
      <w:r>
        <w:rPr/>
        <w:t xml:space="preserve">- Storage capacity constraints in Philippine facilities</w:t>
      </w:r>
    </w:p>
    <w:p w14:paraId="000001f8">
      <w:pPr>
        <w:rPr/>
      </w:pPr>
      <w:r>
        <w:rPr/>
        <w:t xml:space="preserve">- Quality degradation risks for stored coal</w:t>
      </w:r>
    </w:p>
    <w:p w14:paraId="000001f9">
      <w:pPr>
        <w:rPr/>
      </w:pPr>
      <w:r>
        <w:rPr/>
        <w:t xml:space="preserve">- Working capital implications of inventory holding</w:t>
      </w:r>
    </w:p>
    <w:p w14:paraId="000001fa">
      <w:pPr>
        <w:rPr/>
      </w:pPr>
      <w:r>
        <w:rPr/>
        <w:t xml:space="preserve">SECTION 6: ENVIRONMENTAL AND SOCIAL CONSIDERATIONS</w:t>
      </w:r>
    </w:p>
    <w:p w14:paraId="000001fb">
      <w:pPr>
        <w:rPr/>
      </w:pPr>
      <w:r>
        <w:rPr/>
        <w:t xml:space="preserve">6.1 Sustainability Trends in the Commodities Sector</w:t>
      </w:r>
    </w:p>
    <w:p w14:paraId="000001fc">
      <w:pPr>
        <w:rPr/>
      </w:pPr>
      <w:r>
        <w:rPr/>
        <w:t xml:space="preserve">6.1.1 ESG Integration</w:t>
      </w:r>
    </w:p>
    <w:p w14:paraId="000001fd">
      <w:pPr>
        <w:rPr/>
      </w:pPr>
      <w:r>
        <w:rPr/>
        <w:t xml:space="preserve">Environmental, Social, and Governance (ESG) criteria are increasingly central to commodity trading:</w:t>
      </w:r>
    </w:p>
    <w:p w14:paraId="000001fe">
      <w:pPr>
        <w:rPr/>
      </w:pPr>
      <w:r>
        <w:rPr/>
        <w:t xml:space="preserve">Investor Pressure:</w:t>
      </w:r>
    </w:p>
    <w:p w14:paraId="000001ff">
      <w:pPr>
        <w:rPr/>
      </w:pPr>
      <w:r>
        <w:rPr/>
        <w:t xml:space="preserve">- Major investors incorporating ESG screens</w:t>
      </w:r>
    </w:p>
    <w:p w14:paraId="00000200">
      <w:pPr>
        <w:rPr/>
      </w:pPr>
      <w:r>
        <w:rPr/>
        <w:t xml:space="preserve">- Coal exclusions in many institutional portfolios</w:t>
      </w:r>
    </w:p>
    <w:p w14:paraId="00000201">
      <w:pPr>
        <w:rPr/>
      </w:pPr>
      <w:r>
        <w:rPr/>
        <w:t xml:space="preserve">- Carbon intensity disclosures becoming mandatory in some markets</w:t>
      </w:r>
    </w:p>
    <w:p w14:paraId="00000202">
      <w:pPr>
        <w:rPr/>
      </w:pPr>
      <w:r>
        <w:rPr/>
        <w:t xml:space="preserve">Customer Requirements:</w:t>
      </w:r>
    </w:p>
    <w:p w14:paraId="00000203">
      <w:pPr>
        <w:rPr/>
      </w:pPr>
      <w:r>
        <w:rPr/>
        <w:t xml:space="preserve">- End-users seeking low-carbon supply chains</w:t>
      </w:r>
    </w:p>
    <w:p w14:paraId="00000204">
      <w:pPr>
        <w:rPr/>
      </w:pPr>
      <w:r>
        <w:rPr/>
        <w:t xml:space="preserve">- Carbon footprint documentation requirements</w:t>
      </w:r>
    </w:p>
    <w:p w14:paraId="00000205">
      <w:pPr>
        <w:rPr/>
      </w:pPr>
      <w:r>
        <w:rPr/>
        <w:t xml:space="preserve">- Scope 3 emissions accounting pressure</w:t>
      </w:r>
    </w:p>
    <w:p w14:paraId="00000206">
      <w:pPr>
        <w:rPr/>
      </w:pPr>
      <w:r>
        <w:rPr/>
        <w:t xml:space="preserve">- Sustainability certifications for products</w:t>
      </w:r>
    </w:p>
    <w:p w14:paraId="00000207">
      <w:pPr>
        <w:rPr/>
      </w:pPr>
      <w:r>
        <w:rPr/>
        <w:t xml:space="preserve">6.1.2 Climate-Related Financial Disclosures</w:t>
      </w:r>
    </w:p>
    <w:p w14:paraId="00000208">
      <w:pPr>
        <w:rPr/>
      </w:pPr>
      <w:r>
        <w:rPr/>
        <w:t xml:space="preserve">Task Force on Climate-Related Financial Disclosures (TCFD):</w:t>
      </w:r>
    </w:p>
    <w:p w14:paraId="00000209">
      <w:pPr>
        <w:rPr/>
      </w:pPr>
      <w:r>
        <w:rPr/>
        <w:t xml:space="preserve">- Increasing adoption across jurisdictions</w:t>
      </w:r>
    </w:p>
    <w:p w14:paraId="0000020a">
      <w:pPr>
        <w:rPr/>
      </w:pPr>
      <w:r>
        <w:rPr/>
        <w:t xml:space="preserve">- Physical risk assessment requirements</w:t>
      </w:r>
    </w:p>
    <w:p w14:paraId="0000020b">
      <w:pPr>
        <w:rPr/>
      </w:pPr>
      <w:r>
        <w:rPr/>
        <w:t xml:space="preserve">- Transition risk analysis for coal-exposed assets</w:t>
      </w:r>
    </w:p>
    <w:p w14:paraId="0000020c">
      <w:pPr>
        <w:rPr/>
      </w:pPr>
      <w:r>
        <w:rPr/>
        <w:t xml:space="preserve">- Stress testing for climate scenarios</w:t>
      </w:r>
    </w:p>
    <w:p w14:paraId="0000020d">
      <w:pPr>
        <w:rPr/>
      </w:pPr>
      <w:r>
        <w:rPr/>
        <w:t xml:space="preserve">Implications for Commodity Traders:</w:t>
      </w:r>
    </w:p>
    <w:p w14:paraId="0000020e">
      <w:pPr>
        <w:rPr/>
      </w:pPr>
      <w:r>
        <w:rPr/>
        <w:t xml:space="preserve">- Supplier emissions data collection</w:t>
      </w:r>
    </w:p>
    <w:p w14:paraId="0000020f">
      <w:pPr>
        <w:rPr/>
      </w:pPr>
      <w:r>
        <w:rPr/>
        <w:t xml:space="preserve">- Logistics emissions tracking</w:t>
      </w:r>
    </w:p>
    <w:p w14:paraId="00000210">
      <w:pPr>
        <w:rPr/>
      </w:pPr>
      <w:r>
        <w:rPr/>
        <w:t xml:space="preserve">- Portfolio carbon intensity reporting</w:t>
      </w:r>
    </w:p>
    <w:p w14:paraId="00000211">
      <w:pPr>
        <w:rPr/>
      </w:pPr>
      <w:r>
        <w:rPr/>
        <w:t xml:space="preserve">- Stranded asset risk assessment</w:t>
      </w:r>
    </w:p>
    <w:p w14:paraId="00000212">
      <w:pPr>
        <w:rPr/>
      </w:pPr>
      <w:r>
        <w:rPr/>
        <w:t xml:space="preserve">6.2 Green Shipping Initiatives</w:t>
      </w:r>
    </w:p>
    <w:p w14:paraId="00000213">
      <w:pPr>
        <w:rPr/>
      </w:pPr>
      <w:r>
        <w:rPr/>
        <w:t xml:space="preserve">6.2.1 Sea Cargo Charter</w:t>
      </w:r>
    </w:p>
    <w:p w14:paraId="00000214">
      <w:pPr>
        <w:rPr/>
      </w:pPr>
      <w:r>
        <w:rPr/>
        <w:t xml:space="preserve">Voluntary initiative for shipping emissions transparency:</w:t>
      </w:r>
    </w:p>
    <w:p w14:paraId="00000215">
      <w:pPr>
        <w:rPr/>
      </w:pPr>
      <w:r>
        <w:rPr/>
        <w:t xml:space="preserve">- Cargo owners committing to emissions reporting</w:t>
      </w:r>
    </w:p>
    <w:p w14:paraId="00000216">
      <w:pPr>
        <w:rPr/>
      </w:pPr>
      <w:r>
        <w:rPr/>
        <w:t xml:space="preserve">- vessels Chartering requirements for efficiency</w:t>
      </w:r>
    </w:p>
    <w:p w14:paraId="00000217">
      <w:pPr>
        <w:rPr/>
      </w:pPr>
      <w:r>
        <w:rPr/>
        <w:t xml:space="preserve">- Carbon intensity indicator (CII) tracking</w:t>
      </w:r>
    </w:p>
    <w:p w14:paraId="00000218">
      <w:pPr>
        <w:rPr/>
      </w:pPr>
      <w:r>
        <w:rPr/>
        <w:t xml:space="preserve">- Green routing and operational practices</w:t>
      </w:r>
    </w:p>
    <w:p w14:paraId="00000219">
      <w:pPr>
        <w:rPr/>
      </w:pPr>
      <w:r>
        <w:rPr/>
        <w:t xml:space="preserve">6.2.2 Poseidon Principles</w:t>
      </w:r>
    </w:p>
    <w:p w14:paraId="0000021a">
      <w:pPr>
        <w:rPr/>
      </w:pPr>
      <w:r>
        <w:rPr/>
        <w:t xml:space="preserve">Framework for ship finance aligned with IMO GHG strategy:</w:t>
      </w:r>
    </w:p>
    <w:p w14:paraId="0000021b">
      <w:pPr>
        <w:rPr/>
      </w:pPr>
      <w:r>
        <w:rPr/>
        <w:t xml:space="preserve">- Major shipping banks participating</w:t>
      </w:r>
    </w:p>
    <w:p w14:paraId="0000021c">
      <w:pPr>
        <w:rPr/>
      </w:pPr>
      <w:r>
        <w:rPr/>
        <w:t xml:space="preserve">- Alignment with Paris Agreement goals</w:t>
      </w:r>
    </w:p>
    <w:p w14:paraId="0000021d">
      <w:pPr>
        <w:rPr/>
      </w:pPr>
      <w:r>
        <w:rPr/>
        <w:t xml:space="preserve">- Disclosure requirements for financed vessels</w:t>
      </w:r>
    </w:p>
    <w:p w14:paraId="0000021e">
      <w:pPr>
        <w:rPr/>
      </w:pPr>
      <w:r>
        <w:rPr/>
        <w:t xml:space="preserve">- Gradual tightening of benchmarks</w:t>
      </w:r>
    </w:p>
    <w:p w14:paraId="0000021f">
      <w:pPr>
        <w:rPr/>
      </w:pPr>
      <w:r>
        <w:rPr/>
        <w:t xml:space="preserve">6.2.3 Alternative Fuels Development</w:t>
      </w:r>
    </w:p>
    <w:p w14:paraId="00000220">
      <w:pPr>
        <w:rPr/>
      </w:pPr>
      <w:r>
        <w:rPr/>
        <w:t xml:space="preserve">- LNG as transitional fuel option</w:t>
      </w:r>
    </w:p>
    <w:p w14:paraId="00000221">
      <w:pPr>
        <w:rPr/>
      </w:pPr>
      <w:r>
        <w:rPr/>
        <w:t xml:space="preserve">- Ammonia and methanol as future fuels</w:t>
      </w:r>
    </w:p>
    <w:p w14:paraId="00000222">
      <w:pPr>
        <w:rPr/>
      </w:pPr>
      <w:r>
        <w:rPr/>
        <w:t xml:space="preserve">- Wind-assisted propulsion technologies</w:t>
      </w:r>
    </w:p>
    <w:p w14:paraId="00000223">
      <w:pPr>
        <w:rPr/>
      </w:pPr>
      <w:r>
        <w:rPr/>
        <w:t xml:space="preserve">- Hull optimization and efficiency technologies</w:t>
      </w:r>
    </w:p>
    <w:p w14:paraId="00000224">
      <w:pPr>
        <w:rPr/>
      </w:pPr>
      <w:r>
        <w:rPr/>
        <w:t xml:space="preserve">6.3 Ethical Sourcing Considerations</w:t>
      </w:r>
    </w:p>
    <w:p w14:paraId="00000225">
      <w:pPr>
        <w:rPr/>
      </w:pPr>
      <w:r>
        <w:rPr/>
        <w:t xml:space="preserve">6.3.1 Responsible Mining Initiatives</w:t>
      </w:r>
    </w:p>
    <w:p w14:paraId="00000226">
      <w:pPr>
        <w:rPr/>
      </w:pPr>
      <w:r>
        <w:rPr/>
        <w:t xml:space="preserve">The commodity sector faces increasing scrutiny on mining practices:</w:t>
      </w:r>
    </w:p>
    <w:p w14:paraId="00000227">
      <w:pPr>
        <w:rPr/>
      </w:pPr>
      <w:r>
        <w:rPr/>
        <w:t xml:space="preserve">Forest-Risk Commodities:</w:t>
      </w:r>
    </w:p>
    <w:p w14:paraId="00000228">
      <w:pPr>
        <w:rPr/>
      </w:pPr>
      <w:r>
        <w:rPr/>
        <w:t xml:space="preserve">- Palm kernel shell sourcing linked to deforestation</w:t>
      </w:r>
    </w:p>
    <w:p w14:paraId="00000229">
      <w:pPr>
        <w:rPr/>
      </w:pPr>
      <w:r>
        <w:rPr/>
        <w:t xml:space="preserve">- Woodchip supply chains requiring traceability</w:t>
      </w:r>
    </w:p>
    <w:p w14:paraId="0000022a">
      <w:pPr>
        <w:rPr/>
      </w:pPr>
      <w:r>
        <w:rPr/>
        <w:t xml:space="preserve">- Soy, palm oil, beef in agricultural commodities</w:t>
      </w:r>
    </w:p>
    <w:p w14:paraId="0000022b">
      <w:pPr>
        <w:rPr/>
      </w:pPr>
      <w:r>
        <w:rPr/>
        <w:t xml:space="preserve">- Due diligence requirements for forest-linked products</w:t>
      </w:r>
    </w:p>
    <w:p w14:paraId="0000022c">
      <w:pPr>
        <w:rPr/>
      </w:pPr>
      <w:r>
        <w:rPr/>
        <w:t xml:space="preserve">Metallurgical Coke Supply:</w:t>
      </w:r>
    </w:p>
    <w:p w14:paraId="0000022d">
      <w:pPr>
        <w:rPr/>
      </w:pPr>
      <w:r>
        <w:rPr/>
        <w:t xml:space="preserve">- Coking coal from high-emitting mining operations</w:t>
      </w:r>
    </w:p>
    <w:p w14:paraId="0000022e">
      <w:pPr>
        <w:rPr/>
      </w:pPr>
      <w:r>
        <w:rPr/>
        <w:t xml:space="preserve">- Blast furnace emissions profile</w:t>
      </w:r>
    </w:p>
    <w:p w14:paraId="0000022f">
      <w:pPr>
        <w:rPr/>
      </w:pPr>
      <w:r>
        <w:rPr/>
        <w:t xml:space="preserve">- Alternative metallics (DRI, scrap) competitive positioning</w:t>
      </w:r>
    </w:p>
    <w:p w14:paraId="00000230">
      <w:pPr>
        <w:rPr/>
      </w:pPr>
      <w:r>
        <w:rPr/>
        <w:t xml:space="preserve">6.3.2 Traceability Requirements</w:t>
      </w:r>
    </w:p>
    <w:p w14:paraId="00000231">
      <w:pPr>
        <w:rPr/>
      </w:pPr>
      <w:r>
        <w:rPr/>
        <w:t xml:space="preserve">Blockchain and digital tracking:</w:t>
      </w:r>
    </w:p>
    <w:p w14:paraId="00000232">
      <w:pPr>
        <w:rPr/>
      </w:pPr>
      <w:r>
        <w:rPr/>
        <w:t xml:space="preserve">- Mine-to-port traceability systems</w:t>
      </w:r>
    </w:p>
    <w:p w14:paraId="00000233">
      <w:pPr>
        <w:rPr/>
      </w:pPr>
      <w:r>
        <w:rPr/>
        <w:t xml:space="preserve">- Quality certification with origin tracking</w:t>
      </w:r>
    </w:p>
    <w:p w14:paraId="00000234">
      <w:pPr>
        <w:rPr/>
      </w:pPr>
      <w:r>
        <w:rPr/>
        <w:t xml:space="preserve">- Sustainability certification integration</w:t>
      </w:r>
    </w:p>
    <w:p w14:paraId="00000235">
      <w:pPr>
        <w:rPr/>
      </w:pPr>
      <w:r>
        <w:rPr/>
        <w:t xml:space="preserve">- Anti-fraud and mislabeling protection</w:t>
      </w:r>
    </w:p>
    <w:p w14:paraId="00000236">
      <w:pPr>
        <w:rPr/>
      </w:pPr>
      <w:r>
        <w:rPr/>
        <w:t xml:space="preserve">6.3.3 Conflict Minerals Regulations</w:t>
      </w:r>
    </w:p>
    <w:p w14:paraId="00000237">
      <w:pPr>
        <w:rPr/>
      </w:pPr>
      <w:r>
        <w:rPr/>
        <w:t xml:space="preserve">- Dodd-Frank Act Section 1502 (US)</w:t>
      </w:r>
    </w:p>
    <w:p w14:paraId="00000238">
      <w:pPr>
        <w:rPr/>
      </w:pPr>
      <w:r>
        <w:rPr/>
        <w:t xml:space="preserve">- EU Conflict Minerals Regulation</w:t>
      </w:r>
    </w:p>
    <w:p w14:paraId="00000239">
      <w:pPr>
        <w:rPr/>
      </w:pPr>
      <w:r>
        <w:rPr/>
        <w:t xml:space="preserve">- OECD Due Diligence Guidance</w:t>
      </w:r>
    </w:p>
    <w:p w14:paraId="0000023a">
      <w:pPr>
        <w:rPr/>
      </w:pPr>
      <w:r>
        <w:rPr/>
        <w:t xml:space="preserve">- Nickel and tantalum in electronics supply chains</w:t>
      </w:r>
    </w:p>
    <w:p w14:paraId="0000023b">
      <w:pPr>
        <w:rPr/>
      </w:pPr>
      <w:r>
        <w:rPr/>
        <w:t xml:space="preserve">6.4 Environmental Impact of Coal Supply Chains</w:t>
      </w:r>
    </w:p>
    <w:p w14:paraId="0000023c">
      <w:pPr>
        <w:rPr/>
      </w:pPr>
      <w:r>
        <w:rPr/>
        <w:t xml:space="preserve">6.4.1 Life Cycle Emissions Profile</w:t>
      </w:r>
    </w:p>
    <w:p w14:paraId="0000023d">
      <w:pPr>
        <w:rPr/>
      </w:pPr>
      <w:r>
        <w:rPr/>
        <w:t xml:space="preserve">Typical thermal coal emissions:</w:t>
      </w:r>
    </w:p>
    <w:p w14:paraId="0000023e">
      <w:pPr>
        <w:rPr/>
      </w:pPr>
      <w:r>
        <w:rPr/>
        <w:t xml:space="preserve">- Mining: 0.5-2 kg CO2/tonne</w:t>
      </w:r>
    </w:p>
    <w:p w14:paraId="0000023f">
      <w:pPr>
        <w:rPr/>
      </w:pPr>
      <w:r>
        <w:rPr/>
        <w:t xml:space="preserve">- Processing and washing: 1-5 kg CO2/tonne</w:t>
      </w:r>
    </w:p>
    <w:p w14:paraId="00000240">
      <w:pPr>
        <w:rPr/>
      </w:pPr>
      <w:r>
        <w:rPr/>
        <w:t xml:space="preserve">- Transportation: 0.5-3 kg CO2/tonne (depending on distance)</w:t>
      </w:r>
    </w:p>
    <w:p w14:paraId="00000241">
      <w:pPr>
        <w:rPr/>
      </w:pPr>
      <w:r>
        <w:rPr/>
        <w:t xml:space="preserve">- Combustion: 2,000+ kg CO2/tonne (end-use)</w:t>
      </w:r>
    </w:p>
    <w:p w14:paraId="00000242">
      <w:pPr>
        <w:rPr/>
      </w:pPr>
      <w:r>
        <w:rPr/>
        <w:t xml:space="preserve">- Well-to-wheel analysis reveals full supply chain impact</w:t>
      </w:r>
    </w:p>
    <w:p w14:paraId="00000243">
      <w:pPr>
        <w:rPr/>
      </w:pPr>
      <w:r>
        <w:rPr/>
        <w:t xml:space="preserve">6.4.2 Air Quality Standards</w:t>
      </w:r>
    </w:p>
    <w:p w14:paraId="00000244">
      <w:pPr>
        <w:rPr/>
      </w:pPr>
      <w:r>
        <w:rPr/>
        <w:t xml:space="preserve">Coal handling and combustion impacts:</w:t>
      </w:r>
    </w:p>
    <w:p w14:paraId="00000245">
      <w:pPr>
        <w:rPr/>
      </w:pPr>
      <w:r>
        <w:rPr/>
        <w:t xml:space="preserve">- Particulate matter emissions</w:t>
      </w:r>
    </w:p>
    <w:p w14:paraId="00000246">
      <w:pPr>
        <w:rPr/>
      </w:pPr>
      <w:r>
        <w:rPr/>
        <w:t xml:space="preserve">- SOx and NOx from combustion</w:t>
      </w:r>
    </w:p>
    <w:p w14:paraId="00000247">
      <w:pPr>
        <w:rPr/>
      </w:pPr>
      <w:r>
        <w:rPr/>
        <w:t xml:space="preserve">- Mercury emissions</w:t>
      </w:r>
    </w:p>
    <w:p w14:paraId="00000248">
      <w:pPr>
        <w:rPr/>
      </w:pPr>
      <w:r>
        <w:rPr/>
        <w:t xml:space="preserve">- Local air quality monitoring requirements</w:t>
      </w:r>
    </w:p>
    <w:p w14:paraId="00000249">
      <w:pPr>
        <w:rPr/>
      </w:pPr>
      <w:r>
        <w:rPr/>
        <w:t xml:space="preserve">6.4.3 Water Usage and Management</w:t>
      </w:r>
    </w:p>
    <w:p w14:paraId="0000024a">
      <w:pPr>
        <w:rPr/>
      </w:pPr>
      <w:r>
        <w:rPr/>
        <w:t xml:space="preserve">Mining water impacts:</w:t>
      </w:r>
    </w:p>
    <w:p w14:paraId="0000024b">
      <w:pPr>
        <w:rPr/>
      </w:pPr>
      <w:r>
        <w:rPr/>
        <w:t xml:space="preserve">- Groundwater depletion in mining regions</w:t>
      </w:r>
    </w:p>
    <w:p w14:paraId="0000024c">
      <w:pPr>
        <w:rPr/>
      </w:pPr>
      <w:r>
        <w:rPr/>
        <w:t xml:space="preserve">- Water contamination from coal processing</w:t>
      </w:r>
    </w:p>
    <w:p w14:paraId="0000024d">
      <w:pPr>
        <w:rPr/>
      </w:pPr>
      <w:r>
        <w:rPr/>
        <w:t xml:space="preserve">- Ash handling and pond management</w:t>
      </w:r>
    </w:p>
    <w:p w14:paraId="0000024e">
      <w:pPr>
        <w:rPr/>
      </w:pPr>
      <w:r>
        <w:rPr/>
        <w:t xml:space="preserve">- Acid mine drainage prevention</w:t>
      </w:r>
    </w:p>
    <w:p w14:paraId="0000024f">
      <w:pPr>
        <w:rPr/>
      </w:pPr>
      <w:r>
        <w:rPr/>
        <w:t xml:space="preserve">6.4.4 Land Use and Reclamation</w:t>
      </w:r>
    </w:p>
    <w:p w14:paraId="00000250">
      <w:pPr>
        <w:rPr/>
      </w:pPr>
      <w:r>
        <w:rPr/>
        <w:t xml:space="preserve">Mining footprint considerations:</w:t>
      </w:r>
    </w:p>
    <w:p w14:paraId="00000251">
      <w:pPr>
        <w:rPr/>
      </w:pPr>
      <w:r>
        <w:rPr/>
        <w:t xml:space="preserve">- Land disturbance from open-pit mining</w:t>
      </w:r>
    </w:p>
    <w:p w14:paraId="00000252">
      <w:pPr>
        <w:rPr/>
      </w:pPr>
      <w:r>
        <w:rPr/>
        <w:t xml:space="preserve">- Progressive reclamation requirements</w:t>
      </w:r>
    </w:p>
    <w:p w14:paraId="00000253">
      <w:pPr>
        <w:rPr/>
      </w:pPr>
      <w:r>
        <w:rPr/>
        <w:t xml:space="preserve">- Post-mining land use planning</w:t>
      </w:r>
    </w:p>
    <w:p w14:paraId="00000254">
      <w:pPr>
        <w:rPr/>
      </w:pPr>
      <w:r>
        <w:rPr/>
        <w:t xml:space="preserve">- Ecosystem restoration obligations</w:t>
      </w:r>
    </w:p>
    <w:p w14:paraId="00000255">
      <w:pPr>
        <w:rPr/>
      </w:pPr>
      <w:r>
        <w:rPr/>
        <w:t xml:space="preserve">6.5 Social License to Operate</w:t>
      </w:r>
    </w:p>
    <w:p w14:paraId="00000256">
      <w:pPr>
        <w:rPr/>
      </w:pPr>
      <w:r>
        <w:rPr/>
        <w:t xml:space="preserve">6.5.1 Community Relations Requirements</w:t>
      </w:r>
    </w:p>
    <w:p w14:paraId="00000257">
      <w:pPr>
        <w:rPr/>
      </w:pPr>
      <w:r>
        <w:rPr/>
        <w:t xml:space="preserve">Mining and trading operations require:</w:t>
      </w:r>
    </w:p>
    <w:p w14:paraId="00000258">
      <w:pPr>
        <w:rPr/>
      </w:pPr>
      <w:r>
        <w:rPr/>
        <w:t xml:space="preserve">- Free, Prior, and Informed Consent (FPIC) for indigenous peoples</w:t>
      </w:r>
    </w:p>
    <w:p w14:paraId="00000259">
      <w:pPr>
        <w:rPr/>
      </w:pPr>
      <w:r>
        <w:rPr/>
        <w:t xml:space="preserve">- Community benefit sharing arrangements</w:t>
      </w:r>
    </w:p>
    <w:p w14:paraId="0000025a">
      <w:pPr>
        <w:rPr/>
      </w:pPr>
      <w:r>
        <w:rPr/>
        <w:t xml:space="preserve">- Employment and local procurement preferences</w:t>
      </w:r>
    </w:p>
    <w:p w14:paraId="0000025b">
      <w:pPr>
        <w:rPr/>
      </w:pPr>
      <w:r>
        <w:rPr/>
        <w:t xml:space="preserve">- Grievance mechanisms for affected communities</w:t>
      </w:r>
    </w:p>
    <w:p w14:paraId="0000025c">
      <w:pPr>
        <w:rPr/>
      </w:pPr>
      <w:r>
        <w:rPr/>
        <w:t xml:space="preserve">6.5.2 Labor Standards</w:t>
      </w:r>
    </w:p>
    <w:p w14:paraId="0000025d">
      <w:pPr>
        <w:rPr/>
      </w:pPr>
      <w:r>
        <w:rPr/>
        <w:t xml:space="preserve">International Labor Organization (ILO) conventions:</w:t>
      </w:r>
    </w:p>
    <w:p w14:paraId="0000025e">
      <w:pPr>
        <w:rPr/>
      </w:pPr>
      <w:r>
        <w:rPr/>
        <w:t xml:space="preserve">- Freedom of association rights</w:t>
      </w:r>
    </w:p>
    <w:p w14:paraId="0000025f">
      <w:pPr>
        <w:rPr/>
      </w:pPr>
      <w:r>
        <w:rPr/>
        <w:t xml:space="preserve">- Collective bargaining requirements</w:t>
      </w:r>
    </w:p>
    <w:p w14:paraId="00000260">
      <w:pPr>
        <w:rPr/>
      </w:pPr>
      <w:r>
        <w:rPr/>
        <w:t xml:space="preserve">- Child labor prohibition</w:t>
      </w:r>
    </w:p>
    <w:p w14:paraId="00000261">
      <w:pPr>
        <w:rPr/>
      </w:pPr>
      <w:r>
        <w:rPr/>
        <w:t xml:space="preserve">- Occupational health and safety standards</w:t>
      </w:r>
    </w:p>
    <w:p w14:paraId="00000262">
      <w:pPr>
        <w:rPr/>
      </w:pPr>
      <w:r>
        <w:rPr/>
        <w:t xml:space="preserve">6.5.3 Corporate Social Responsibility Trends</w:t>
      </w:r>
    </w:p>
    <w:p w14:paraId="00000263">
      <w:pPr>
        <w:rPr/>
      </w:pPr>
      <w:r>
        <w:rPr/>
        <w:t xml:space="preserve">Modern CSR expectations:</w:t>
      </w:r>
    </w:p>
    <w:p w14:paraId="00000264">
      <w:pPr>
        <w:rPr/>
      </w:pPr>
      <w:r>
        <w:rPr/>
        <w:t xml:space="preserve">- Beyond-compliance community investment</w:t>
      </w:r>
    </w:p>
    <w:p w14:paraId="00000265">
      <w:pPr>
        <w:rPr/>
      </w:pPr>
      <w:r>
        <w:rPr/>
        <w:t xml:space="preserve">- Sustainable development contributions</w:t>
      </w:r>
    </w:p>
    <w:p w14:paraId="00000266">
      <w:pPr>
        <w:rPr/>
      </w:pPr>
      <w:r>
        <w:rPr/>
        <w:t xml:space="preserve">- Human rights due diligence</w:t>
      </w:r>
    </w:p>
    <w:p w14:paraId="00000267">
      <w:pPr>
        <w:rPr/>
      </w:pPr>
      <w:r>
        <w:rPr/>
        <w:t xml:space="preserve">- Supply chain labor standards monitoring</w:t>
      </w:r>
    </w:p>
    <w:p w14:paraId="00000268">
      <w:pPr>
        <w:rPr/>
      </w:pPr>
      <w:r>
        <w:rPr/>
        <w:t xml:space="preserve">6.6 Philippine Context</w:t>
      </w:r>
    </w:p>
    <w:p w14:paraId="00000269">
      <w:pPr>
        <w:rPr/>
      </w:pPr>
      <w:r>
        <w:rPr/>
        <w:t xml:space="preserve">6.6.1 Environmental Compliance Requirements</w:t>
      </w:r>
    </w:p>
    <w:p w14:paraId="0000026a">
      <w:pPr>
        <w:rPr/>
      </w:pPr>
      <w:r>
        <w:rPr/>
        <w:t xml:space="preserve">DENR and EMB regulations require:</w:t>
      </w:r>
    </w:p>
    <w:p w14:paraId="0000026b">
      <w:pPr>
        <w:rPr/>
      </w:pPr>
      <w:r>
        <w:rPr/>
        <w:t xml:space="preserve">- Environmental Impact Assessment (EIA) for operations</w:t>
      </w:r>
    </w:p>
    <w:p w14:paraId="0000026c">
      <w:pPr>
        <w:rPr/>
      </w:pPr>
      <w:r>
        <w:rPr/>
        <w:t xml:space="preserve">- Environmental Compliance Certificate (ECC) conditions</w:t>
      </w:r>
    </w:p>
    <w:p w14:paraId="0000026d">
      <w:pPr>
        <w:rPr/>
      </w:pPr>
      <w:r>
        <w:rPr/>
        <w:t xml:space="preserve">- Annual environmental monitoring reports</w:t>
      </w:r>
    </w:p>
    <w:p w14:paraId="0000026e">
      <w:pPr>
        <w:rPr/>
      </w:pPr>
      <w:r>
        <w:rPr/>
        <w:t xml:space="preserve">- Pollution control device certifications</w:t>
      </w:r>
    </w:p>
    <w:p w14:paraId="0000026f">
      <w:pPr>
        <w:rPr/>
      </w:pPr>
      <w:r>
        <w:rPr/>
        <w:t xml:space="preserve">6.6.2 Sustainable Mining Act Implementation</w:t>
      </w:r>
    </w:p>
    <w:p w14:paraId="00000270">
      <w:pPr>
        <w:rPr/>
      </w:pPr>
      <w:r>
        <w:rPr/>
        <w:t xml:space="preserve">Republic Act 7942 provisions:</w:t>
      </w:r>
    </w:p>
    <w:p w14:paraId="00000271">
      <w:pPr>
        <w:rPr/>
      </w:pPr>
      <w:r>
        <w:rPr/>
        <w:t xml:space="preserve">- Environmental protection and enhancement</w:t>
      </w:r>
    </w:p>
    <w:p w14:paraId="00000272">
      <w:pPr>
        <w:rPr/>
      </w:pPr>
      <w:r>
        <w:rPr/>
        <w:t xml:space="preserve">- Mining Technologies Forum promotion</w:t>
      </w:r>
    </w:p>
    <w:p w14:paraId="00000273">
      <w:pPr>
        <w:rPr/>
      </w:pPr>
      <w:r>
        <w:rPr/>
        <w:t xml:space="preserve">- Mining tenement management</w:t>
      </w:r>
    </w:p>
    <w:p w14:paraId="00000274">
      <w:pPr>
        <w:rPr/>
      </w:pPr>
      <w:r>
        <w:rPr/>
        <w:t xml:space="preserve">- Community development and participation</w:t>
      </w:r>
    </w:p>
    <w:p w14:paraId="00000275">
      <w:pPr>
        <w:rPr/>
      </w:pPr>
      <w:r>
        <w:rPr/>
        <w:t xml:space="preserve">6.6.3 Local Government Engagement</w:t>
      </w:r>
    </w:p>
    <w:p w14:paraId="00000276">
      <w:pPr>
        <w:rPr/>
      </w:pPr>
      <w:r>
        <w:rPr/>
        <w:t xml:space="preserve">Municipal requirements:</w:t>
      </w:r>
    </w:p>
    <w:p w14:paraId="00000277">
      <w:pPr>
        <w:rPr/>
      </w:pPr>
      <w:r>
        <w:rPr/>
        <w:t xml:space="preserve">- Barangay (village) consultation processes</w:t>
      </w:r>
    </w:p>
    <w:p w14:paraId="00000278">
      <w:pPr>
        <w:rPr/>
      </w:pPr>
      <w:r>
        <w:rPr/>
        <w:t xml:space="preserve">- Local business permit conditions</w:t>
      </w:r>
    </w:p>
    <w:p w14:paraId="00000279">
      <w:pPr>
        <w:rPr/>
      </w:pPr>
      <w:r>
        <w:rPr/>
        <w:t xml:space="preserve">- Community environmental monitoring</w:t>
      </w:r>
    </w:p>
    <w:p w14:paraId="0000027a">
      <w:pPr>
        <w:rPr/>
      </w:pPr>
      <w:r>
        <w:rPr/>
        <w:t xml:space="preserve">- Livelihood program support</w:t>
      </w:r>
    </w:p>
    <w:p w14:paraId="0000027b">
      <w:pPr>
        <w:rPr/>
      </w:pPr>
      <w:r>
        <w:rPr/>
        <w:t xml:space="preserve">6.7 Strategic Implications for Econares</w:t>
      </w:r>
    </w:p>
    <w:p w14:paraId="0000027c">
      <w:pPr>
        <w:rPr/>
      </w:pPr>
      <w:r>
        <w:rPr/>
        <w:t xml:space="preserve">6.7.1 Differentiation Through Sustainability</w:t>
      </w:r>
    </w:p>
    <w:p w14:paraId="0000027d">
      <w:pPr>
        <w:rPr/>
      </w:pPr>
      <w:r>
        <w:rPr/>
        <w:t xml:space="preserve">Competitive advantages available:</w:t>
      </w:r>
    </w:p>
    <w:p w14:paraId="0000027e">
      <w:pPr>
        <w:rPr/>
      </w:pPr>
      <w:r>
        <w:rPr/>
        <w:t xml:space="preserve">- Proactive ESG reporting ahead of regulatory requirements</w:t>
      </w:r>
    </w:p>
    <w:p w14:paraId="0000027f">
      <w:pPr>
        <w:rPr/>
      </w:pPr>
      <w:r>
        <w:rPr/>
        <w:t xml:space="preserve">- Sustainability-certified supplier relationships</w:t>
      </w:r>
    </w:p>
    <w:p w14:paraId="00000280">
      <w:pPr>
        <w:rPr/>
      </w:pPr>
      <w:r>
        <w:rPr/>
        <w:t xml:space="preserve">- Carbon intensity documentation for customers</w:t>
      </w:r>
    </w:p>
    <w:p w14:paraId="00000281">
      <w:pPr>
        <w:rPr/>
      </w:pPr>
      <w:r>
        <w:rPr/>
        <w:t xml:space="preserve">- Green logistics service offerings</w:t>
      </w:r>
    </w:p>
    <w:p w14:paraId="00000282">
      <w:pPr>
        <w:rPr/>
      </w:pPr>
      <w:r>
        <w:rPr/>
        <w:t xml:space="preserve">6.7.2 Risk Mitigation</w:t>
      </w:r>
    </w:p>
    <w:p w14:paraId="00000283">
      <w:pPr>
        <w:rPr/>
      </w:pPr>
      <w:r>
        <w:rPr/>
        <w:t xml:space="preserve">Sustainability risks requiring management:</w:t>
      </w:r>
    </w:p>
    <w:p w14:paraId="00000284">
      <w:pPr>
        <w:rPr/>
      </w:pPr>
      <w:r>
        <w:rPr/>
        <w:t xml:space="preserve">- Reputational risks from supplier environmental practices</w:t>
      </w:r>
    </w:p>
    <w:p w14:paraId="00000285">
      <w:pPr>
        <w:rPr/>
      </w:pPr>
      <w:r>
        <w:rPr/>
        <w:t xml:space="preserve">- Regulatory risks from tightening environmental standards</w:t>
      </w:r>
    </w:p>
    <w:p w14:paraId="00000286">
      <w:pPr>
        <w:rPr/>
      </w:pPr>
      <w:r>
        <w:rPr/>
        <w:t xml:space="preserve">- Market access risks from ESG exclusions</w:t>
      </w:r>
    </w:p>
    <w:p w14:paraId="00000287">
      <w:pPr>
        <w:rPr/>
      </w:pPr>
      <w:r>
        <w:rPr/>
        <w:t xml:space="preserve">- Supply chain disruption risks from environmental events</w:t>
      </w:r>
    </w:p>
    <w:p w14:paraId="00000288">
      <w:pPr>
        <w:rPr/>
      </w:pPr>
      <w:r>
        <w:rPr/>
        <w:t xml:space="preserve">6.7.3 Opportunity Identification</w:t>
      </w:r>
    </w:p>
    <w:p w14:paraId="00000289">
      <w:pPr>
        <w:rPr/>
      </w:pPr>
      <w:r>
        <w:rPr/>
        <w:t xml:space="preserve">Emerging market opportunities:</w:t>
      </w:r>
    </w:p>
    <w:p w14:paraId="0000028a">
      <w:pPr>
        <w:rPr/>
      </w:pPr>
      <w:r>
        <w:rPr/>
        <w:t xml:space="preserve">- Low-emission logistics services</w:t>
      </w:r>
    </w:p>
    <w:p w14:paraId="0000028b">
      <w:pPr>
        <w:rPr/>
      </w:pPr>
      <w:r>
        <w:rPr/>
        <w:t xml:space="preserve">- Sustainable construction materials</w:t>
      </w:r>
    </w:p>
    <w:p w14:paraId="0000028c">
      <w:pPr>
        <w:rPr/>
      </w:pPr>
      <w:r>
        <w:rPr/>
        <w:t xml:space="preserve">- Renewable energy integration opportunities</w:t>
      </w:r>
    </w:p>
    <w:p w14:paraId="0000028d">
      <w:pPr>
        <w:rPr/>
      </w:pPr>
      <w:r>
        <w:rPr/>
        <w:t xml:space="preserve">- Carbon accounting and verification services</w:t>
      </w:r>
    </w:p>
    <w:p w14:paraId="0000028e">
      <w:pPr>
        <w:rPr/>
      </w:pPr>
      <w:r>
        <w:rPr/>
        <w:t xml:space="preserve">SECTION 7: FUTURE OUTLOOK AND POTENTIAL CHALLENGES</w:t>
      </w:r>
    </w:p>
    <w:p w14:paraId="0000028f">
      <w:pPr>
        <w:rPr/>
      </w:pPr>
      <w:r>
        <w:rPr/>
        <w:t xml:space="preserve">7.1 Market Projections</w:t>
      </w:r>
    </w:p>
    <w:p w14:paraId="00000290">
      <w:pPr>
        <w:rPr/>
      </w:pPr>
      <w:r>
        <w:rPr/>
        <w:t xml:space="preserve">7.1.1 Global Coal Market Forecast (to 2030)</w:t>
      </w:r>
    </w:p>
    <w:p w14:paraId="00000291">
      <w:pPr>
        <w:rPr/>
      </w:pPr>
      <w:r>
        <w:rPr/>
        <w:t xml:space="preserve">Base Case Scenario:</w:t>
      </w:r>
    </w:p>
    <w:p w14:paraId="00000292">
      <w:pPr>
        <w:rPr/>
      </w:pPr>
      <w:r>
        <w:rPr/>
        <w:t xml:space="preserve">- Global coal demand peaks in mid-2020s</w:t>
      </w:r>
    </w:p>
    <w:p w14:paraId="00000293">
      <w:pPr>
        <w:rPr/>
      </w:pPr>
      <w:r>
        <w:rPr/>
        <w:t xml:space="preserve">- Gradual decline in developed markets</w:t>
      </w:r>
    </w:p>
    <w:p w14:paraId="00000294">
      <w:pPr>
        <w:rPr/>
      </w:pPr>
      <w:r>
        <w:rPr/>
        <w:t xml:space="preserve">- Continued growth in Asia-Pacific through 2030</w:t>
      </w:r>
    </w:p>
    <w:p w14:paraId="00000295">
      <w:pPr>
        <w:rPr/>
      </w:pPr>
      <w:r>
        <w:rPr/>
        <w:t xml:space="preserve">- Seaborne trade stabilizes as production shifts</w:t>
      </w:r>
    </w:p>
    <w:p w14:paraId="00000296">
      <w:pPr>
        <w:rPr/>
      </w:pPr>
      <w:r>
        <w:rPr/>
        <w:t xml:space="preserve">Projected Seaborne Trade:</w:t>
      </w:r>
    </w:p>
    <w:p w14:paraId="00000297">
      <w:pPr>
        <w:rPr/>
      </w:pPr>
      <w:r>
        <w:rPr/>
        <w:t xml:space="preserve">- 2025: 1.3-1.4 billion tonnes</w:t>
      </w:r>
    </w:p>
    <w:p w14:paraId="00000298">
      <w:pPr>
        <w:rPr/>
      </w:pPr>
      <w:r>
        <w:rPr/>
        <w:t xml:space="preserve">- 2030: 1.1-1.3 billion tonnes (with policy assumptions)</w:t>
      </w:r>
    </w:p>
    <w:p w14:paraId="00000299">
      <w:pPr>
        <w:rPr/>
      </w:pPr>
      <w:r>
        <w:rPr/>
        <w:t xml:space="preserve">- Post-2030: Accelerating decline scenarios</w:t>
      </w:r>
    </w:p>
    <w:p w14:paraId="0000029a">
      <w:pPr>
        <w:rPr/>
      </w:pPr>
      <w:r>
        <w:rPr/>
        <w:t xml:space="preserve">7.1.2 Asia-Pacific Market Growth</w:t>
      </w:r>
    </w:p>
    <w:p w14:paraId="0000029b">
      <w:pPr>
        <w:rPr/>
      </w:pPr>
      <w:r>
        <w:rPr/>
        <w:t xml:space="preserve">Southeast Asian Electricity Generation Projections:</w:t>
      </w:r>
    </w:p>
    <w:p w14:paraId="0000029c">
      <w:pPr>
        <w:rPr/>
      </w:pPr>
      <w:r>
        <w:rPr/>
        <w:t xml:space="preserve">- Indonesia: Coal share remains above 50% through 2030</w:t>
      </w:r>
    </w:p>
    <w:p w14:paraId="0000029d">
      <w:pPr>
        <w:rPr/>
      </w:pPr>
      <w:r>
        <w:rPr/>
        <w:t xml:space="preserve">- Vietnam: New coal capacity additions continue</w:t>
      </w:r>
    </w:p>
    <w:p w14:paraId="0000029e">
      <w:pPr>
        <w:rPr/>
      </w:pPr>
      <w:r>
        <w:rPr/>
        <w:t xml:space="preserve">- Philippines: Existing coal plants operate, new capacity limited</w:t>
      </w:r>
    </w:p>
    <w:p w14:paraId="0000029f">
      <w:pPr>
        <w:rPr/>
      </w:pPr>
      <w:r>
        <w:rPr/>
        <w:t xml:space="preserve">- Thailand: Declining coal role, gas transition</w:t>
      </w:r>
    </w:p>
    <w:p w14:paraId="000002a0">
      <w:pPr>
        <w:rPr/>
      </w:pPr>
      <w:r>
        <w:rPr/>
        <w:t xml:space="preserve">- Regional CAGR: 2-4% through 2030</w:t>
      </w:r>
    </w:p>
    <w:p w14:paraId="000002a1">
      <w:pPr>
        <w:rPr/>
      </w:pPr>
      <w:r>
        <w:rPr/>
        <w:t xml:space="preserve">7.1.3 Industrial Minerals Demand</w:t>
      </w:r>
    </w:p>
    <w:p w14:paraId="000002a2">
      <w:pPr>
        <w:rPr/>
      </w:pPr>
      <w:r>
        <w:rPr/>
        <w:t xml:space="preserve">Construction Sector:</w:t>
      </w:r>
    </w:p>
    <w:p w14:paraId="000002a3">
      <w:pPr>
        <w:rPr/>
      </w:pPr>
      <w:r>
        <w:rPr/>
        <w:t xml:space="preserve">- Global construction output: 4.5% CAGR through 2030</w:t>
      </w:r>
    </w:p>
    <w:p w14:paraId="000002a4">
      <w:pPr>
        <w:rPr/>
      </w:pPr>
      <w:r>
        <w:rPr/>
        <w:t xml:space="preserve">- Infrastructure investment stimulus in developing economies</w:t>
      </w:r>
    </w:p>
    <w:p w14:paraId="000002a5">
      <w:pPr>
        <w:rPr/>
      </w:pPr>
      <w:r>
        <w:rPr/>
        <w:t xml:space="preserve">- Cement demand supporting limestone consumption</w:t>
      </w:r>
    </w:p>
    <w:p w14:paraId="000002a6">
      <w:pPr>
        <w:rPr/>
      </w:pPr>
      <w:r>
        <w:rPr/>
        <w:t xml:space="preserve">- Aggregates demand tied to urbanization rates</w:t>
      </w:r>
    </w:p>
    <w:p w14:paraId="000002a7">
      <w:pPr>
        <w:rPr/>
      </w:pPr>
      <w:r>
        <w:rPr/>
        <w:t xml:space="preserve">Battery Minerals:</w:t>
      </w:r>
    </w:p>
    <w:p w14:paraId="000002a8">
      <w:pPr>
        <w:rPr/>
      </w:pPr>
      <w:r>
        <w:rPr/>
        <w:t xml:space="preserve">- Nickel: 8-12% CAGR driven by EV batteries</w:t>
      </w:r>
    </w:p>
    <w:p w14:paraId="000002a9">
      <w:pPr>
        <w:rPr/>
      </w:pPr>
      <w:r>
        <w:rPr/>
        <w:t xml:space="preserve">- Critical mineral supply security concerns</w:t>
      </w:r>
    </w:p>
    <w:p w14:paraId="000002aa">
      <w:pPr>
        <w:rPr/>
      </w:pPr>
      <w:r>
        <w:rPr/>
        <w:t xml:space="preserve">- Price volatility supporting trading opportunities</w:t>
      </w:r>
    </w:p>
    <w:p w14:paraId="000002ab">
      <w:pPr>
        <w:rPr/>
      </w:pPr>
      <w:r>
        <w:rPr/>
        <w:t xml:space="preserve">7.2 Key Trends to Watch</w:t>
      </w:r>
    </w:p>
    <w:p w14:paraId="000002ac">
      <w:pPr>
        <w:rPr/>
      </w:pPr>
      <w:r>
        <w:rPr/>
        <w:t xml:space="preserve">7.2.1 Decarbonization Pressure</w:t>
      </w:r>
    </w:p>
    <w:p w14:paraId="000002ad">
      <w:pPr>
        <w:rPr/>
      </w:pPr>
      <w:r>
        <w:rPr/>
        <w:t xml:space="preserve">- European and North American coal demand declining</w:t>
      </w:r>
    </w:p>
    <w:p w14:paraId="000002ae">
      <w:pPr>
        <w:rPr/>
      </w:pPr>
      <w:r>
        <w:rPr/>
        <w:t xml:space="preserve">- Asian markets maintain coal dependence for development</w:t>
      </w:r>
    </w:p>
    <w:p w14:paraId="000002af">
      <w:pPr>
        <w:rPr/>
      </w:pPr>
      <w:r>
        <w:rPr/>
        <w:t xml:space="preserve">- "Just transition" frameworks for affected regions</w:t>
      </w:r>
    </w:p>
    <w:p w14:paraId="000002b0">
      <w:pPr>
        <w:rPr/>
      </w:pPr>
      <w:r>
        <w:rPr/>
        <w:t xml:space="preserve">- Carbon capture, utilization, and storage (CCUS) developments</w:t>
      </w:r>
    </w:p>
    <w:p w14:paraId="000002b1">
      <w:pPr>
        <w:rPr/>
      </w:pPr>
      <w:r>
        <w:rPr/>
        <w:t xml:space="preserve">Investment Implications:</w:t>
      </w:r>
    </w:p>
    <w:p w14:paraId="000002b2">
      <w:pPr>
        <w:rPr/>
      </w:pPr>
      <w:r>
        <w:rPr/>
        <w:t xml:space="preserve">- Reduced capital availability for coal infrastructure</w:t>
      </w:r>
    </w:p>
    <w:p w14:paraId="000002b3">
      <w:pPr>
        <w:rPr/>
      </w:pPr>
      <w:r>
        <w:rPr/>
        <w:t xml:space="preserve">- Stranded asset risks for long-term investments</w:t>
      </w:r>
    </w:p>
    <w:p w14:paraId="000002b4">
      <w:pPr>
        <w:rPr/>
      </w:pPr>
      <w:r>
        <w:rPr/>
        <w:t xml:space="preserve">- Premium for transitional fuels (LNG, metallurgical coal)</w:t>
      </w:r>
    </w:p>
    <w:p w14:paraId="000002b5">
      <w:pPr>
        <w:rPr/>
      </w:pPr>
      <w:r>
        <w:rPr/>
        <w:t xml:space="preserve">7.2.2 Digitalization in Commodity Trading</w:t>
      </w:r>
    </w:p>
    <w:p w14:paraId="000002b6">
      <w:pPr>
        <w:rPr/>
      </w:pPr>
      <w:r>
        <w:rPr/>
        <w:t xml:space="preserve">Emerging Technologies:</w:t>
      </w:r>
    </w:p>
    <w:p w14:paraId="000002b7">
      <w:pPr>
        <w:rPr/>
      </w:pPr>
      <w:r>
        <w:rPr/>
        <w:t xml:space="preserve">- Artificial intelligence for price forecasting</w:t>
      </w:r>
    </w:p>
    <w:p w14:paraId="000002b8">
      <w:pPr>
        <w:rPr/>
      </w:pPr>
      <w:r>
        <w:rPr/>
        <w:t xml:space="preserve">- Blockchain for traceability and trade finance</w:t>
      </w:r>
    </w:p>
    <w:p w14:paraId="000002b9">
      <w:pPr>
        <w:rPr/>
      </w:pPr>
      <w:r>
        <w:rPr/>
        <w:t xml:space="preserve">- Digital twins for logistics optimization</w:t>
      </w:r>
    </w:p>
    <w:p w14:paraId="000002ba">
      <w:pPr>
        <w:rPr/>
      </w:pPr>
      <w:r>
        <w:rPr/>
        <w:t xml:space="preserve">- Automated contracting and settlement</w:t>
      </w:r>
    </w:p>
    <w:p w14:paraId="000002bb">
      <w:pPr>
        <w:rPr/>
      </w:pPr>
      <w:r>
        <w:rPr/>
        <w:t xml:space="preserve">Competitive Implications:</w:t>
      </w:r>
    </w:p>
    <w:p w14:paraId="000002bc">
      <w:pPr>
        <w:rPr/>
      </w:pPr>
      <w:r>
        <w:rPr/>
        <w:t xml:space="preserve">- Efficiency advantages for digitally-enabled traders</w:t>
      </w:r>
    </w:p>
    <w:p w14:paraId="000002bd">
      <w:pPr>
        <w:rPr/>
      </w:pPr>
      <w:r>
        <w:rPr/>
        <w:t xml:space="preserve">- Data-driven decision making becoming standard</w:t>
      </w:r>
    </w:p>
    <w:p w14:paraId="000002be">
      <w:pPr>
        <w:rPr/>
      </w:pPr>
      <w:r>
        <w:rPr/>
        <w:t xml:space="preserve">- Platform-based market access</w:t>
      </w:r>
    </w:p>
    <w:p w14:paraId="000002bf">
      <w:pPr>
        <w:rPr/>
      </w:pPr>
      <w:r>
        <w:rPr/>
        <w:t xml:space="preserve">- Cybersecurity requirements</w:t>
      </w:r>
    </w:p>
    <w:p w14:paraId="000002c0">
      <w:pPr>
        <w:rPr/>
      </w:pPr>
      <w:r>
        <w:rPr/>
        <w:t xml:space="preserve">7.2.3 Supply Chain Resilience Post-COVID</w:t>
      </w:r>
    </w:p>
    <w:p w14:paraId="000002c1">
      <w:pPr>
        <w:rPr/>
      </w:pPr>
      <w:r>
        <w:rPr/>
        <w:t xml:space="preserve">Structural Changes:</w:t>
      </w:r>
    </w:p>
    <w:p w14:paraId="000002c2">
      <w:pPr>
        <w:rPr/>
      </w:pPr>
      <w:r>
        <w:rPr/>
        <w:t xml:space="preserve">- Nearshoring and diversification trends</w:t>
      </w:r>
    </w:p>
    <w:p w14:paraId="000002c3">
      <w:pPr>
        <w:rPr/>
      </w:pPr>
      <w:r>
        <w:rPr/>
        <w:t xml:space="preserve">- Inventory buffer strategies</w:t>
      </w:r>
    </w:p>
    <w:p w14:paraId="000002c4">
      <w:pPr>
        <w:rPr/>
      </w:pPr>
      <w:r>
        <w:rPr/>
        <w:t xml:space="preserve">- Multiple supplier relationship development</w:t>
      </w:r>
    </w:p>
    <w:p w14:paraId="000002c5">
      <w:pPr>
        <w:rPr/>
      </w:pPr>
      <w:r>
        <w:rPr/>
        <w:t xml:space="preserve">- Digital supply chain visibility systems</w:t>
      </w:r>
    </w:p>
    <w:p w14:paraId="000002c6">
      <w:pPr>
        <w:rPr/>
      </w:pPr>
      <w:r>
        <w:rPr/>
        <w:t xml:space="preserve">Investment Implications:</w:t>
      </w:r>
    </w:p>
    <w:p w14:paraId="000002c7">
      <w:pPr>
        <w:rPr/>
      </w:pPr>
      <w:r>
        <w:rPr/>
        <w:t xml:space="preserve">- Capital tied up in strategic inventory</w:t>
      </w:r>
    </w:p>
    <w:p w14:paraId="000002c8">
      <w:pPr>
        <w:rPr/>
      </w:pPr>
      <w:r>
        <w:rPr/>
        <w:t xml:space="preserve">- Regional supply chain hubs development</w:t>
      </w:r>
    </w:p>
    <w:p w14:paraId="000002c9">
      <w:pPr>
        <w:rPr/>
      </w:pPr>
      <w:r>
        <w:rPr/>
        <w:t xml:space="preserve">- Redundancy in logistics networks</w:t>
      </w:r>
    </w:p>
    <w:p w14:paraId="000002ca">
      <w:pPr>
        <w:rPr/>
      </w:pPr>
      <w:r>
        <w:rPr/>
        <w:t xml:space="preserve">- Vertical integration for control</w:t>
      </w:r>
    </w:p>
    <w:p w14:paraId="000002cb">
      <w:pPr>
        <w:rPr/>
      </w:pPr>
      <w:r>
        <w:rPr/>
        <w:t xml:space="preserve">7.2.4 Geopolitical Realignment</w:t>
      </w:r>
    </w:p>
    <w:p w14:paraId="000002cc">
      <w:pPr>
        <w:rPr/>
      </w:pPr>
      <w:r>
        <w:rPr/>
        <w:t xml:space="preserve">Trade Pattern Shifts:</w:t>
      </w:r>
    </w:p>
    <w:p w14:paraId="000002cd">
      <w:pPr>
        <w:rPr/>
      </w:pPr>
      <w:r>
        <w:rPr/>
        <w:t xml:space="preserve">- US-China decoupling affecting commodity flows</w:t>
      </w:r>
    </w:p>
    <w:p w14:paraId="000002ce">
      <w:pPr>
        <w:rPr/>
      </w:pPr>
      <w:r>
        <w:rPr/>
        <w:t xml:space="preserve">- Russian coal reorientation to Asian markets</w:t>
      </w:r>
    </w:p>
    <w:p w14:paraId="000002cf">
      <w:pPr>
        <w:rPr/>
      </w:pPr>
      <w:r>
        <w:rPr/>
        <w:t xml:space="preserve">- Indian Ocean vs. Pacific trade route importance</w:t>
      </w:r>
    </w:p>
    <w:p w14:paraId="000002d0">
      <w:pPr>
        <w:rPr/>
      </w:pPr>
      <w:r>
        <w:rPr/>
        <w:t xml:space="preserve">- Regional integration initiatives (RCEP, ASEAN)</w:t>
      </w:r>
    </w:p>
    <w:p w14:paraId="000002d1">
      <w:pPr>
        <w:rPr/>
      </w:pPr>
      <w:r>
        <w:rPr/>
        <w:t xml:space="preserve">Investment Implications:</w:t>
      </w:r>
    </w:p>
    <w:p w14:paraId="000002d2">
      <w:pPr>
        <w:rPr/>
      </w:pPr>
      <w:r>
        <w:rPr/>
        <w:t xml:space="preserve">- Supply diversification beyond traditional sources</w:t>
      </w:r>
    </w:p>
    <w:p w14:paraId="000002d3">
      <w:pPr>
        <w:rPr/>
      </w:pPr>
      <w:r>
        <w:rPr/>
        <w:t xml:space="preserve">- Political risk assessment requirements</w:t>
      </w:r>
    </w:p>
    <w:p w14:paraId="000002d4">
      <w:pPr>
        <w:rPr/>
      </w:pPr>
      <w:r>
        <w:rPr/>
        <w:t xml:space="preserve">- Sanctions compliance frameworks</w:t>
      </w:r>
    </w:p>
    <w:p w14:paraId="000002d5">
      <w:pPr>
        <w:rPr/>
      </w:pPr>
      <w:r>
        <w:rPr/>
        <w:t xml:space="preserve">- Alternative trade financing mechanisms</w:t>
      </w:r>
    </w:p>
    <w:p w14:paraId="000002d6">
      <w:pPr>
        <w:rPr/>
      </w:pPr>
      <w:r>
        <w:rPr/>
        <w:t xml:space="preserve">7.3 Emerging Challenges</w:t>
      </w:r>
    </w:p>
    <w:p w14:paraId="000002d7">
      <w:pPr>
        <w:rPr/>
      </w:pPr>
      <w:r>
        <w:rPr/>
        <w:t xml:space="preserve">7.3.1 Stranded Asset Risks</w:t>
      </w:r>
    </w:p>
    <w:p w14:paraId="000002d8">
      <w:pPr>
        <w:rPr/>
      </w:pPr>
      <w:r>
        <w:rPr/>
        <w:t xml:space="preserve">Coal-Fired Power Plants:</w:t>
      </w:r>
    </w:p>
    <w:p w14:paraId="000002d9">
      <w:pPr>
        <w:rPr/>
      </w:pPr>
      <w:r>
        <w:rPr/>
        <w:t xml:space="preserve">- Global pipeline of proposed plants at risk</w:t>
      </w:r>
    </w:p>
    <w:p w14:paraId="000002da">
      <w:pPr>
        <w:rPr/>
      </w:pPr>
      <w:r>
        <w:rPr/>
        <w:t xml:space="preserve">- Early retirement of existing capacity</w:t>
      </w:r>
    </w:p>
    <w:p w14:paraId="000002db">
      <w:pPr>
        <w:rPr/>
      </w:pPr>
      <w:r>
        <w:rPr/>
        <w:t xml:space="preserve">- Carbon budget constraints affecting long-term contracts</w:t>
      </w:r>
    </w:p>
    <w:p w14:paraId="000002dc">
      <w:pPr>
        <w:rPr/>
      </w:pPr>
      <w:r>
        <w:rPr/>
        <w:t xml:space="preserve">- Bank and insurer withdrawal accelerating</w:t>
      </w:r>
    </w:p>
    <w:p w14:paraId="000002dd">
      <w:pPr>
        <w:rPr/>
      </w:pPr>
      <w:r>
        <w:rPr/>
        <w:t xml:space="preserve">Commodity Trading Implications:</w:t>
      </w:r>
    </w:p>
    <w:p w14:paraId="000002de">
      <w:pPr>
        <w:rPr/>
      </w:pPr>
      <w:r>
        <w:rPr/>
        <w:t xml:space="preserve">- Counterparty credit risk from stranded assets</w:t>
      </w:r>
    </w:p>
    <w:p w14:paraId="000002df">
      <w:pPr>
        <w:rPr/>
      </w:pPr>
      <w:r>
        <w:rPr/>
        <w:t xml:space="preserve">- Contract enforceability concerns</w:t>
      </w:r>
    </w:p>
    <w:p w14:paraId="000002e0">
      <w:pPr>
        <w:rPr/>
      </w:pPr>
      <w:r>
        <w:rPr/>
        <w:t xml:space="preserve">- Demand uncertainty for long-term supply agreements</w:t>
      </w:r>
    </w:p>
    <w:p w14:paraId="000002e1">
      <w:pPr>
        <w:rPr/>
      </w:pPr>
      <w:r>
        <w:rPr/>
        <w:t xml:space="preserve">7.3.2 Regulatory Tightening</w:t>
      </w:r>
    </w:p>
    <w:p w14:paraId="000002e2">
      <w:pPr>
        <w:rPr/>
      </w:pPr>
      <w:r>
        <w:rPr/>
        <w:t xml:space="preserve">Expected Regulatory Changes:</w:t>
      </w:r>
    </w:p>
    <w:p w14:paraId="000002e3">
      <w:pPr>
        <w:rPr/>
      </w:pPr>
      <w:r>
        <w:rPr/>
        <w:t xml:space="preserve">- Carbon pricing expansion globally</w:t>
      </w:r>
    </w:p>
    <w:p w14:paraId="000002e4">
      <w:pPr>
        <w:rPr/>
      </w:pPr>
      <w:r>
        <w:rPr/>
        <w:t xml:space="preserve">- Border carbon adjustment mechanisms</w:t>
      </w:r>
    </w:p>
    <w:p w14:paraId="000002e5">
      <w:pPr>
        <w:rPr/>
      </w:pPr>
      <w:r>
        <w:rPr/>
        <w:t xml:space="preserve">- Methane emissions regulations</w:t>
      </w:r>
    </w:p>
    <w:p w14:paraId="000002e6">
      <w:pPr>
        <w:rPr/>
      </w:pPr>
      <w:r>
        <w:rPr/>
        <w:t xml:space="preserve">- Shipping emissions strengthening</w:t>
      </w:r>
    </w:p>
    <w:p w14:paraId="000002e7">
      <w:pPr>
        <w:rPr/>
      </w:pPr>
      <w:r>
        <w:rPr/>
        <w:t xml:space="preserve">Compliance Implications:</w:t>
      </w:r>
    </w:p>
    <w:p w14:paraId="000002e8">
      <w:pPr>
        <w:rPr/>
      </w:pPr>
      <w:r>
        <w:rPr/>
        <w:t xml:space="preserve">- Additional cost burden for non-compliant operations</w:t>
      </w:r>
    </w:p>
    <w:p w14:paraId="000002e9">
      <w:pPr>
        <w:rPr/>
      </w:pPr>
      <w:r>
        <w:rPr/>
        <w:t xml:space="preserve">- Documentation and reporting requirements</w:t>
      </w:r>
    </w:p>
    <w:p w14:paraId="000002ea">
      <w:pPr>
        <w:rPr/>
      </w:pPr>
      <w:r>
        <w:rPr/>
        <w:t xml:space="preserve">- Technology investment requirements</w:t>
      </w:r>
    </w:p>
    <w:p w14:paraId="000002eb">
      <w:pPr>
        <w:rPr/>
      </w:pPr>
      <w:r>
        <w:rPr/>
        <w:t xml:space="preserve">- Advisory and compliance service costs</w:t>
      </w:r>
    </w:p>
    <w:p w14:paraId="000002ec">
      <w:pPr>
        <w:rPr/>
      </w:pPr>
      <w:r>
        <w:rPr/>
        <w:t xml:space="preserve">7.3.3 Renewable Energy Competition</w:t>
      </w:r>
    </w:p>
    <w:p w14:paraId="000002ed">
      <w:pPr>
        <w:rPr/>
      </w:pPr>
      <w:r>
        <w:rPr/>
        <w:t xml:space="preserve">Power Generation Economics:</w:t>
      </w:r>
    </w:p>
    <w:p w14:paraId="000002ee">
      <w:pPr>
        <w:rPr/>
      </w:pPr>
      <w:r>
        <w:rPr/>
        <w:t xml:space="preserve">- Solar and wind achieving cost parity with coal</w:t>
      </w:r>
    </w:p>
    <w:p w14:paraId="000002ef">
      <w:pPr>
        <w:rPr/>
      </w:pPr>
      <w:r>
        <w:rPr/>
        <w:t xml:space="preserve">- Battery storage cost decline enabling baseload replacement</w:t>
      </w:r>
    </w:p>
    <w:p w14:paraId="000002f0">
      <w:pPr>
        <w:rPr/>
      </w:pPr>
      <w:r>
        <w:rPr/>
        <w:t xml:space="preserve">- Grid integration improvements</w:t>
      </w:r>
    </w:p>
    <w:p w14:paraId="000002f1">
      <w:pPr>
        <w:rPr/>
      </w:pPr>
      <w:r>
        <w:rPr/>
        <w:t xml:space="preserve">- Policy-driven acceleration in some markets</w:t>
      </w:r>
    </w:p>
    <w:p w14:paraId="000002f2">
      <w:pPr>
        <w:rPr/>
      </w:pPr>
      <w:r>
        <w:rPr/>
        <w:t xml:space="preserve">Commodity Demand Implications:</w:t>
      </w:r>
    </w:p>
    <w:p w14:paraId="000002f3">
      <w:pPr>
        <w:rPr/>
      </w:pPr>
      <w:r>
        <w:rPr/>
        <w:t xml:space="preserve">- Reduced coal demand growth rates</w:t>
      </w:r>
    </w:p>
    <w:p w14:paraId="000002f4">
      <w:pPr>
        <w:rPr/>
      </w:pPr>
      <w:r>
        <w:rPr/>
        <w:t xml:space="preserve">- Metallurgical coal more resilient outlook</w:t>
      </w:r>
    </w:p>
    <w:p w14:paraId="000002f5">
      <w:pPr>
        <w:rPr/>
      </w:pPr>
      <w:r>
        <w:rPr/>
        <w:t xml:space="preserve">- Flexibility services valued in power markets</w:t>
      </w:r>
    </w:p>
    <w:p w14:paraId="000002f6">
      <w:pPr>
        <w:rPr/>
      </w:pPr>
      <w:r>
        <w:rPr/>
        <w:t xml:space="preserve">- Gas transition as intermediate step</w:t>
      </w:r>
    </w:p>
    <w:p w14:paraId="000002f7">
      <w:pPr>
        <w:rPr/>
      </w:pPr>
      <w:r>
        <w:rPr/>
        <w:t xml:space="preserve">7.3.4 ESG Investor Pressure</w:t>
      </w:r>
    </w:p>
    <w:p w14:paraId="000002f8">
      <w:pPr>
        <w:rPr/>
      </w:pPr>
      <w:r>
        <w:rPr/>
        <w:t xml:space="preserve">Investment Community Trends:</w:t>
      </w:r>
    </w:p>
    <w:p w14:paraId="000002f9">
      <w:pPr>
        <w:rPr/>
      </w:pPr>
      <w:r>
        <w:rPr/>
        <w:t xml:space="preserve">- Coal exclusion policies widening</w:t>
      </w:r>
    </w:p>
    <w:p w14:paraId="000002fa">
      <w:pPr>
        <w:rPr/>
      </w:pPr>
      <w:r>
        <w:rPr/>
        <w:t xml:space="preserve">- Carbon intensity reporting mandates</w:t>
      </w:r>
    </w:p>
    <w:p w14:paraId="000002fb">
      <w:pPr>
        <w:rPr/>
      </w:pPr>
      <w:r>
        <w:rPr/>
        <w:t xml:space="preserve">- Climate stress testing requirements</w:t>
      </w:r>
    </w:p>
    <w:p w14:paraId="000002fc">
      <w:pPr>
        <w:rPr/>
      </w:pPr>
      <w:r>
        <w:rPr/>
        <w:t xml:space="preserve">- Proxy voting alignment with Paris Agreement</w:t>
      </w:r>
    </w:p>
    <w:p w14:paraId="000002fd">
      <w:pPr>
        <w:rPr/>
      </w:pPr>
      <w:r>
        <w:rPr/>
        <w:t xml:space="preserve">Financing Implications:</w:t>
      </w:r>
    </w:p>
    <w:p w14:paraId="000002fe">
      <w:pPr>
        <w:rPr/>
      </w:pPr>
      <w:r>
        <w:rPr/>
        <w:t xml:space="preserve">- Higher financing costs for coal-exposed operations</w:t>
      </w:r>
    </w:p>
    <w:p w14:paraId="000002ff">
      <w:pPr>
        <w:rPr/>
      </w:pPr>
      <w:r>
        <w:rPr/>
        <w:t xml:space="preserve">- Limited capital availability for expansion</w:t>
      </w:r>
    </w:p>
    <w:p w14:paraId="00000300">
      <w:pPr>
        <w:rPr/>
      </w:pPr>
      <w:r>
        <w:rPr/>
        <w:t xml:space="preserve">- Covenant requirements for ESG performance</w:t>
      </w:r>
    </w:p>
    <w:p w14:paraId="00000301">
      <w:pPr>
        <w:rPr/>
      </w:pPr>
      <w:r>
        <w:rPr/>
        <w:t xml:space="preserve">- Investor relations challenges</w:t>
      </w:r>
    </w:p>
    <w:p w14:paraId="00000302">
      <w:pPr>
        <w:rPr/>
      </w:pPr>
      <w:r>
        <w:rPr/>
        <w:t xml:space="preserve">7.4 Opportunities for Econares</w:t>
      </w:r>
    </w:p>
    <w:p w14:paraId="00000303">
      <w:pPr>
        <w:rPr/>
      </w:pPr>
      <w:r>
        <w:rPr/>
        <w:t xml:space="preserve">7.4.1 Metallurgical Coke and Minerals</w:t>
      </w:r>
    </w:p>
    <w:p w14:paraId="00000304">
      <w:pPr>
        <w:rPr/>
      </w:pPr>
      <w:r>
        <w:rPr/>
        <w:t xml:space="preserve">Steel Industry Demand:</w:t>
      </w:r>
    </w:p>
    <w:p w14:paraId="00000305">
      <w:pPr>
        <w:rPr/>
      </w:pPr>
      <w:r>
        <w:rPr/>
        <w:t xml:space="preserve">- Metallurgical coal maintains demand through 2030+</w:t>
      </w:r>
    </w:p>
    <w:p w14:paraId="00000306">
      <w:pPr>
        <w:rPr/>
      </w:pPr>
      <w:r>
        <w:rPr/>
        <w:t xml:space="preserve">- Blast furnace capacity transition timeframe</w:t>
      </w:r>
    </w:p>
    <w:p w14:paraId="00000307">
      <w:pPr>
        <w:rPr/>
      </w:pPr>
      <w:r>
        <w:rPr/>
        <w:t xml:space="preserve">- Direct reduced iron (DRI) opportunities</w:t>
      </w:r>
    </w:p>
    <w:p w14:paraId="00000308">
      <w:pPr>
        <w:rPr/>
      </w:pPr>
      <w:r>
        <w:rPr/>
        <w:t xml:space="preserve">- Scrap market development</w:t>
      </w:r>
    </w:p>
    <w:p w14:paraId="00000309">
      <w:pPr>
        <w:rPr/>
      </w:pPr>
      <w:r>
        <w:rPr/>
        <w:t xml:space="preserve">Mineral Diversification:</w:t>
      </w:r>
    </w:p>
    <w:p w14:paraId="0000030a">
      <w:pPr>
        <w:rPr/>
      </w:pPr>
      <w:r>
        <w:rPr/>
        <w:t xml:space="preserve">- Nickel for battery supply chains</w:t>
      </w:r>
    </w:p>
    <w:p w14:paraId="0000030b">
      <w:pPr>
        <w:rPr/>
      </w:pPr>
      <w:r>
        <w:rPr/>
        <w:t xml:space="preserve">- Critical mineral supply security</w:t>
      </w:r>
    </w:p>
    <w:p w14:paraId="0000030c">
      <w:pPr>
        <w:rPr/>
      </w:pPr>
      <w:r>
        <w:rPr/>
        <w:t xml:space="preserve">- Regional processing opportunities</w:t>
      </w:r>
    </w:p>
    <w:p w14:paraId="0000030d">
      <w:pPr>
        <w:rPr/>
      </w:pPr>
      <w:r>
        <w:rPr/>
        <w:t xml:space="preserve">- Value-added mineral products</w:t>
      </w:r>
    </w:p>
    <w:p w14:paraId="0000030e">
      <w:pPr>
        <w:rPr/>
      </w:pPr>
      <w:r>
        <w:rPr/>
        <w:t xml:space="preserve">7.4.2 Transition Finance Concepts</w:t>
      </w:r>
    </w:p>
    <w:p w14:paraId="0000030f">
      <w:pPr>
        <w:rPr/>
      </w:pPr>
      <w:r>
        <w:rPr/>
        <w:t xml:space="preserve">Just Transition Opportunities:</w:t>
      </w:r>
    </w:p>
    <w:p w14:paraId="00000310">
      <w:pPr>
        <w:rPr/>
      </w:pPr>
      <w:r>
        <w:rPr/>
        <w:t xml:space="preserve">- Financing for coal plant workers and communities</w:t>
      </w:r>
    </w:p>
    <w:p w14:paraId="00000311">
      <w:pPr>
        <w:rPr/>
      </w:pPr>
      <w:r>
        <w:rPr/>
        <w:t xml:space="preserve">- Investment in sustainable livelihoods</w:t>
      </w:r>
    </w:p>
    <w:p w14:paraId="00000312">
      <w:pPr>
        <w:rPr/>
      </w:pPr>
      <w:r>
        <w:rPr/>
        <w:t xml:space="preserve">- Social license to operate improvements</w:t>
      </w:r>
    </w:p>
    <w:p w14:paraId="00000313">
      <w:pPr>
        <w:rPr/>
      </w:pPr>
      <w:r>
        <w:rPr/>
        <w:t xml:space="preserve">- Government partnership opportunities</w:t>
      </w:r>
    </w:p>
    <w:p w14:paraId="00000314">
      <w:pPr>
        <w:rPr/>
      </w:pPr>
      <w:r>
        <w:rPr/>
        <w:t xml:space="preserve">7.4.3 Biomass and Alternative Fuels</w:t>
      </w:r>
    </w:p>
    <w:p w14:paraId="00000315">
      <w:pPr>
        <w:rPr/>
      </w:pPr>
      <w:r>
        <w:rPr/>
        <w:t xml:space="preserve">Bioenergy with Carbon Capture (BECCS):</w:t>
      </w:r>
    </w:p>
    <w:p w14:paraId="00000316">
      <w:pPr>
        <w:rPr/>
      </w:pPr>
      <w:r>
        <w:rPr/>
        <w:t xml:space="preserve">- Negative emissions technology</w:t>
      </w:r>
    </w:p>
    <w:p w14:paraId="00000317">
      <w:pPr>
        <w:rPr/>
      </w:pPr>
      <w:r>
        <w:rPr/>
        <w:t xml:space="preserve">- Palm kernel shell trading expansion</w:t>
      </w:r>
    </w:p>
    <w:p w14:paraId="00000318">
      <w:pPr>
        <w:rPr/>
      </w:pPr>
      <w:r>
        <w:rPr/>
        <w:t xml:space="preserve">- Sustainable biomass certification</w:t>
      </w:r>
    </w:p>
    <w:p w14:paraId="00000319">
      <w:pPr>
        <w:rPr/>
      </w:pPr>
      <w:r>
        <w:rPr/>
        <w:t xml:space="preserve">- Co-firing with coal for transition</w:t>
      </w:r>
    </w:p>
    <w:p w14:paraId="0000031a">
      <w:pPr>
        <w:rPr/>
      </w:pPr>
      <w:r>
        <w:rPr/>
        <w:t xml:space="preserve">Alternative Fuel Development:</w:t>
      </w:r>
    </w:p>
    <w:p w14:paraId="0000031b">
      <w:pPr>
        <w:rPr/>
      </w:pPr>
      <w:r>
        <w:rPr/>
        <w:t xml:space="preserve">- LNG supply chain opportunities</w:t>
      </w:r>
    </w:p>
    <w:p w14:paraId="0000031c">
      <w:pPr>
        <w:rPr/>
      </w:pPr>
      <w:r>
        <w:rPr/>
        <w:t xml:space="preserve">- Ammonia and methanol as future fuels</w:t>
      </w:r>
    </w:p>
    <w:p w14:paraId="0000031d">
      <w:pPr>
        <w:rPr/>
      </w:pPr>
      <w:r>
        <w:rPr/>
        <w:t xml:space="preserve">- Bunker fuel market diversification</w:t>
      </w:r>
    </w:p>
    <w:p w14:paraId="0000031e">
      <w:pPr>
        <w:rPr/>
      </w:pPr>
      <w:r>
        <w:rPr/>
        <w:t xml:space="preserve">- Renewable diesel for maritime</w:t>
      </w:r>
    </w:p>
    <w:p w14:paraId="0000031f">
      <w:pPr>
        <w:rPr/>
      </w:pPr>
      <w:r>
        <w:rPr/>
        <w:t xml:space="preserve">7.4.4 Integrated Service Offerings</w:t>
      </w:r>
    </w:p>
    <w:p w14:paraId="00000320">
      <w:pPr>
        <w:rPr/>
      </w:pPr>
      <w:r>
        <w:rPr/>
        <w:t xml:space="preserve">Value-Added Services:</w:t>
      </w:r>
    </w:p>
    <w:p w14:paraId="00000321">
      <w:pPr>
        <w:rPr/>
      </w:pPr>
      <w:r>
        <w:rPr/>
        <w:t xml:space="preserve">- Logistics optimization services</w:t>
      </w:r>
    </w:p>
    <w:p w14:paraId="00000322">
      <w:pPr>
        <w:rPr/>
      </w:pPr>
      <w:r>
        <w:rPr/>
        <w:t xml:space="preserve">- Quality assurance and testing</w:t>
      </w:r>
    </w:p>
    <w:p w14:paraId="00000323">
      <w:pPr>
        <w:rPr/>
      </w:pPr>
      <w:r>
        <w:rPr/>
        <w:t xml:space="preserve">- Supply chain financing</w:t>
      </w:r>
    </w:p>
    <w:p w14:paraId="00000324">
      <w:pPr>
        <w:rPr/>
      </w:pPr>
      <w:r>
        <w:rPr/>
        <w:t xml:space="preserve">- Environmental compliance consulting</w:t>
      </w:r>
    </w:p>
    <w:p w14:paraId="00000325">
      <w:pPr>
        <w:rPr/>
      </w:pPr>
      <w:r>
        <w:rPr/>
        <w:t xml:space="preserve">7.5 Philippine Market Outlook</w:t>
      </w:r>
    </w:p>
    <w:p w14:paraId="00000326">
      <w:pPr>
        <w:rPr/>
      </w:pPr>
      <w:r>
        <w:rPr/>
        <w:t xml:space="preserve">7.5.1 Energy Mix Projections</w:t>
      </w:r>
    </w:p>
    <w:p w14:paraId="00000327">
      <w:pPr>
        <w:rPr/>
      </w:pPr>
      <w:r>
        <w:rPr/>
        <w:t xml:space="preserve">DOE Reference Case Assumptions:</w:t>
      </w:r>
    </w:p>
    <w:p w14:paraId="00000328">
      <w:pPr>
        <w:rPr/>
      </w:pPr>
      <w:r>
        <w:rPr/>
        <w:t xml:space="preserve">- 2040 renewable energy target: 50%</w:t>
      </w:r>
    </w:p>
    <w:p w14:paraId="00000329">
      <w:pPr>
        <w:rPr/>
      </w:pPr>
      <w:r>
        <w:rPr/>
        <w:t xml:space="preserve">- Coal capacity plateau: No new plants beyond pipeline</w:t>
      </w:r>
    </w:p>
    <w:p w14:paraId="0000032a">
      <w:pPr>
        <w:rPr/>
      </w:pPr>
      <w:r>
        <w:rPr/>
        <w:t xml:space="preserve">- Natural gas expansion as transitional fuel</w:t>
      </w:r>
    </w:p>
    <w:p w14:paraId="0000032b">
      <w:pPr>
        <w:rPr/>
      </w:pPr>
      <w:r>
        <w:rPr/>
        <w:t xml:space="preserve">- Grid modernization enabling renewable integration</w:t>
      </w:r>
    </w:p>
    <w:p w14:paraId="0000032c">
      <w:pPr>
        <w:rPr/>
      </w:pPr>
      <w:r>
        <w:rPr/>
        <w:t xml:space="preserve">Implications for Coal Trading:</w:t>
      </w:r>
    </w:p>
    <w:p w14:paraId="0000032d">
      <w:pPr>
        <w:rPr/>
      </w:pPr>
      <w:r>
        <w:rPr/>
        <w:t xml:space="preserve">- Existing coal plants continue operations through 2040+</w:t>
      </w:r>
    </w:p>
    <w:p w14:paraId="0000032e">
      <w:pPr>
        <w:rPr/>
      </w:pPr>
      <w:r>
        <w:rPr/>
        <w:t xml:space="preserve">- New coal capacity limited to committed projects</w:t>
      </w:r>
    </w:p>
    <w:p w14:paraId="0000032f">
      <w:pPr>
        <w:rPr/>
      </w:pPr>
      <w:r>
        <w:rPr/>
        <w:t xml:space="preserve">- Import volume growth slowing</w:t>
      </w:r>
    </w:p>
    <w:p w14:paraId="00000330">
      <w:pPr>
        <w:rPr/>
      </w:pPr>
      <w:r>
        <w:rPr/>
        <w:t xml:space="preserve">- Price competition with alternative fuels</w:t>
      </w:r>
    </w:p>
    <w:p w14:paraId="00000331">
      <w:pPr>
        <w:rPr/>
      </w:pPr>
      <w:r>
        <w:rPr/>
        <w:t xml:space="preserve">7.5.2 Infrastructure Investment Plans</w:t>
      </w:r>
    </w:p>
    <w:p w14:paraId="00000332">
      <w:pPr>
        <w:rPr/>
      </w:pPr>
      <w:r>
        <w:rPr/>
        <w:t xml:space="preserve">Build, Build, Build Program Continuation:</w:t>
      </w:r>
    </w:p>
    <w:p w14:paraId="00000333">
      <w:pPr>
        <w:rPr/>
      </w:pPr>
      <w:r>
        <w:rPr/>
        <w:t xml:space="preserve">- Major infrastructure projects continuing</w:t>
      </w:r>
    </w:p>
    <w:p w14:paraId="00000334">
      <w:pPr>
        <w:rPr/>
      </w:pPr>
      <w:r>
        <w:rPr/>
        <w:t xml:space="preserve">- Construction aggregates demand sustained</w:t>
      </w:r>
    </w:p>
    <w:p w14:paraId="00000335">
      <w:pPr>
        <w:rPr/>
      </w:pPr>
      <w:r>
        <w:rPr/>
        <w:t xml:space="preserve">- Limestone and silica sand requirements</w:t>
      </w:r>
    </w:p>
    <w:p w14:paraId="00000336">
      <w:pPr>
        <w:rPr/>
      </w:pPr>
      <w:r>
        <w:rPr/>
        <w:t xml:space="preserve">- Cement industry expansion</w:t>
      </w:r>
    </w:p>
    <w:p w14:paraId="00000337">
      <w:pPr>
        <w:rPr/>
      </w:pPr>
      <w:r>
        <w:rPr/>
        <w:t xml:space="preserve">7.5.3 Mining Industry Prospects</w:t>
      </w:r>
    </w:p>
    <w:p w14:paraId="00000338">
      <w:pPr>
        <w:rPr/>
      </w:pPr>
      <w:r>
        <w:rPr/>
        <w:t xml:space="preserve">Mining Industry Recovery:</w:t>
      </w:r>
    </w:p>
    <w:p w14:paraId="00000339">
      <w:pPr>
        <w:rPr/>
      </w:pPr>
      <w:r>
        <w:rPr/>
        <w:t xml:space="preserve">- Policy reforms enabling new investments</w:t>
      </w:r>
    </w:p>
    <w:p w14:paraId="0000033a">
      <w:pPr>
        <w:rPr/>
      </w:pPr>
      <w:r>
        <w:rPr/>
        <w:t xml:space="preserve">- Exploration activity increasing</w:t>
      </w:r>
    </w:p>
    <w:p w14:paraId="0000033b">
      <w:pPr>
        <w:rPr/>
      </w:pPr>
      <w:r>
        <w:rPr/>
        <w:t xml:space="preserve">- Nickel and copper focus for battery supply chains</w:t>
      </w:r>
    </w:p>
    <w:p w14:paraId="0000033c">
      <w:pPr>
        <w:rPr/>
      </w:pPr>
      <w:r>
        <w:rPr/>
        <w:t xml:space="preserve">- Environmental compliance improvements</w:t>
      </w:r>
    </w:p>
    <w:p w14:paraId="0000033d">
      <w:pPr>
        <w:rPr/>
      </w:pPr>
      <w:r>
        <w:rPr/>
        <w:t xml:space="preserve">7.5.4 Regional Trade Dynamics</w:t>
      </w:r>
    </w:p>
    <w:p w14:paraId="0000033e">
      <w:pPr>
        <w:rPr/>
      </w:pPr>
      <w:r>
        <w:rPr/>
        <w:t xml:space="preserve">RCEP Implementation:</w:t>
      </w:r>
    </w:p>
    <w:p w14:paraId="0000033f">
      <w:pPr>
        <w:rPr/>
      </w:pPr>
      <w:r>
        <w:rPr/>
        <w:t xml:space="preserve">- Reduced tariff barriers in regional trade</w:t>
      </w:r>
    </w:p>
    <w:p w14:paraId="00000340">
      <w:pPr>
        <w:rPr/>
      </w:pPr>
      <w:r>
        <w:rPr/>
        <w:t xml:space="preserve">- Services liberalization in ASEAN</w:t>
      </w:r>
    </w:p>
    <w:p w14:paraId="00000341">
      <w:pPr>
        <w:rPr/>
      </w:pPr>
      <w:r>
        <w:rPr/>
        <w:t xml:space="preserve">- Investment liberalization commitments</w:t>
      </w:r>
    </w:p>
    <w:p w14:paraId="00000342">
      <w:pPr>
        <w:rPr/>
      </w:pPr>
      <w:r>
        <w:rPr/>
        <w:t xml:space="preserve">- Rules of origin harmonization</w:t>
      </w:r>
    </w:p>
    <w:p w14:paraId="00000343">
      <w:pPr>
        <w:rPr/>
      </w:pPr>
      <w:r>
        <w:rPr/>
        <w:t xml:space="preserve">ASEAN Integration:</w:t>
      </w:r>
    </w:p>
    <w:p w14:paraId="00000344">
      <w:pPr>
        <w:rPr/>
      </w:pPr>
      <w:r>
        <w:rPr/>
        <w:t xml:space="preserve">- Cross-border infrastructure development</w:t>
      </w:r>
    </w:p>
    <w:p w14:paraId="00000345">
      <w:pPr>
        <w:rPr/>
      </w:pPr>
      <w:r>
        <w:rPr/>
        <w:t xml:space="preserve">- Regional logistics network improvements</w:t>
      </w:r>
    </w:p>
    <w:p w14:paraId="00000346">
      <w:pPr>
        <w:rPr/>
      </w:pPr>
      <w:r>
        <w:rPr/>
        <w:t xml:space="preserve">- Harmonized standards development</w:t>
      </w:r>
    </w:p>
    <w:p w14:paraId="00000347">
      <w:pPr>
        <w:rPr/>
      </w:pPr>
      <w:r>
        <w:rPr/>
        <w:t xml:space="preserve">- Supply chain regionalization opportunities</w:t>
      </w:r>
    </w:p>
    <w:p w14:paraId="00000348">
      <w:pPr>
        <w:rPr/>
      </w:pPr>
      <w:r>
        <w:rPr/>
        <w:t xml:space="preserve">7.6 Strategic Recommendations</w:t>
      </w:r>
    </w:p>
    <w:p w14:paraId="00000349">
      <w:pPr>
        <w:rPr/>
      </w:pPr>
      <w:r>
        <w:rPr/>
        <w:t xml:space="preserve">7.6.1 Near-Term Actions (2025-2026)</w:t>
      </w:r>
    </w:p>
    <w:p w14:paraId="0000034a">
      <w:pPr>
        <w:rPr/>
      </w:pPr>
      <w:r>
        <w:rPr/>
        <w:t xml:space="preserve">1. Strengthen supplier diversification beyond current sources</w:t>
      </w:r>
    </w:p>
    <w:p w14:paraId="0000034b">
      <w:pPr>
        <w:rPr/>
      </w:pPr>
      <w:r>
        <w:rPr/>
        <w:t xml:space="preserve">2. Invest in ESG reporting and documentation systems</w:t>
      </w:r>
    </w:p>
    <w:p w14:paraId="0000034c">
      <w:pPr>
        <w:rPr/>
      </w:pPr>
      <w:r>
        <w:rPr/>
        <w:t xml:space="preserve">3. Develop metallurgical product capabilities</w:t>
      </w:r>
    </w:p>
    <w:p w14:paraId="0000034d">
      <w:pPr>
        <w:rPr/>
      </w:pPr>
      <w:r>
        <w:rPr/>
        <w:t xml:space="preserve">4. Enhance digital trading and logistics platforms</w:t>
      </w:r>
    </w:p>
    <w:p w14:paraId="0000034e">
      <w:pPr>
        <w:rPr/>
      </w:pPr>
      <w:r>
        <w:rPr/>
        <w:t xml:space="preserve">5. Build inventory management capabilities</w:t>
      </w:r>
    </w:p>
    <w:p w14:paraId="0000034f">
      <w:pPr>
        <w:rPr/>
      </w:pPr>
      <w:r>
        <w:rPr/>
        <w:t xml:space="preserve">7.6.2 Medium-Term Strategy (2027-2030)</w:t>
      </w:r>
    </w:p>
    <w:p w14:paraId="00000350">
      <w:pPr>
        <w:rPr/>
      </w:pPr>
      <w:r>
        <w:rPr/>
        <w:t xml:space="preserve">1. Expand nickel and battery mineral exposure</w:t>
      </w:r>
    </w:p>
    <w:p w14:paraId="00000351">
      <w:pPr>
        <w:rPr/>
      </w:pPr>
      <w:r>
        <w:rPr/>
        <w:t xml:space="preserve">2. Develop LNG and alternative fuel supply chains</w:t>
      </w:r>
    </w:p>
    <w:p w14:paraId="00000352">
      <w:pPr>
        <w:rPr/>
      </w:pPr>
      <w:r>
        <w:rPr/>
        <w:t xml:space="preserve">3. Pursue strategic partnerships for scale</w:t>
      </w:r>
    </w:p>
    <w:p w14:paraId="00000353">
      <w:pPr>
        <w:rPr/>
      </w:pPr>
      <w:r>
        <w:rPr/>
        <w:t xml:space="preserve">4. Invest in renewable energy transition services</w:t>
      </w:r>
    </w:p>
    <w:p w14:paraId="00000354">
      <w:pPr>
        <w:rPr/>
      </w:pPr>
      <w:r>
        <w:rPr/>
        <w:t xml:space="preserve">5. Expand geographic footprint in ASEAN</w:t>
      </w:r>
    </w:p>
    <w:p w14:paraId="00000355">
      <w:pPr>
        <w:rPr/>
      </w:pPr>
      <w:r>
        <w:rPr/>
        <w:t xml:space="preserve">7.6.3 Long-Term Vision (Beyond 2030)</w:t>
      </w:r>
    </w:p>
    <w:p w14:paraId="00000356">
      <w:pPr>
        <w:rPr/>
      </w:pPr>
      <w:r>
        <w:rPr/>
        <w:t xml:space="preserve">1. Position for energy transition leadership</w:t>
      </w:r>
    </w:p>
    <w:p w14:paraId="00000357">
      <w:pPr>
        <w:rPr/>
      </w:pPr>
      <w:r>
        <w:rPr/>
        <w:t xml:space="preserve">2. Develop circular economy and recycling capabilities</w:t>
      </w:r>
    </w:p>
    <w:p w14:paraId="00000358">
      <w:pPr>
        <w:rPr/>
      </w:pPr>
      <w:r>
        <w:rPr/>
        <w:t xml:space="preserve">3. Expand into high-growth critical mineral segments</w:t>
      </w:r>
    </w:p>
    <w:p w14:paraId="00000359">
      <w:pPr>
        <w:rPr/>
      </w:pPr>
      <w:r>
        <w:rPr/>
        <w:t xml:space="preserve">4. Build sustainable financing and investment capabilities</w:t>
      </w:r>
    </w:p>
    <w:p w14:paraId="0000035a">
      <w:pPr>
        <w:rPr/>
      </w:pPr>
      <w:r>
        <w:rPr/>
        <w:t xml:space="preserve">5. Maintain flexible business model for energy transition uncertainty</w:t>
      </w:r>
    </w:p>
    <w:p w14:paraId="0000035b">
      <w:pPr>
        <w:rPr/>
      </w:pPr>
      <w:r>
        <w:rPr/>
        <w:t xml:space="preserve">CONCLUSION</w:t>
      </w:r>
    </w:p>
    <w:p w14:paraId="0000035c">
      <w:pPr>
        <w:rPr/>
      </w:pPr>
      <w:r>
        <w:rPr/>
        <w:t xml:space="preserve">The physical commodities sector presents both significant opportunities and substantial challenges for Econares. The global market remains large and liquid, with continued demand for industrial fuels and minerals through at least 2030. The Asia-Pacific region, particularly Southeast Asia and the Philippines, represents the most attractive growth market given sustained industrialization and infrastructure investment.</w:t>
      </w:r>
    </w:p>
    <w:p w14:paraId="0000035d">
      <w:pPr>
        <w:rPr/>
      </w:pPr>
      <w:r>
        <w:rPr/>
        <w:t xml:space="preserve">However, the sector faces structural headwinds from the energy transition, regulatory tightening, and ESG-focused capital markets. These factors require proactive management rather than passive acceptance. Companies that successfully navigate the transition will be those that anticipate change, diversify their portfolios, and maintain flexibility in their business models.</w:t>
      </w:r>
    </w:p>
    <w:p w14:paraId="0000035e">
      <w:pPr>
        <w:rPr/>
      </w:pPr>
      <w:r>
        <w:rPr/>
        <w:t xml:space="preserve">For Econares, the strategic path forward involves:</w:t>
      </w:r>
    </w:p>
    <w:p w14:paraId="0000035f">
      <w:pPr>
        <w:rPr/>
      </w:pPr>
      <w:r>
        <w:rPr/>
        <w:t xml:space="preserve">1. Diversification: Expand across multiple commodity segments to reduce market-specific risks</w:t>
      </w:r>
    </w:p>
    <w:p w14:paraId="00000360">
      <w:pPr>
        <w:rPr/>
      </w:pPr>
      <w:r>
        <w:rPr/>
        <w:t xml:space="preserve">2. Integration: Leverage marine logistics capabilities as a competitive differentiator</w:t>
      </w:r>
    </w:p>
    <w:p w14:paraId="00000361">
      <w:pPr>
        <w:rPr/>
      </w:pPr>
      <w:r>
        <w:rPr/>
        <w:t xml:space="preserve">3. Compliance: Proactively meet environmental and social requirements ahead of mandates</w:t>
      </w:r>
    </w:p>
    <w:p w14:paraId="00000362">
      <w:pPr>
        <w:rPr/>
      </w:pPr>
      <w:r>
        <w:rPr/>
        <w:t xml:space="preserve">4. Partnerships: Seek strategic alliances to achieve scale and market access</w:t>
      </w:r>
    </w:p>
    <w:p w14:paraId="00000363">
      <w:pPr>
        <w:rPr/>
      </w:pPr>
      <w:r>
        <w:rPr/>
        <w:t xml:space="preserve">5. Innovation: Invest in digital capabilities and sustainable practices</w:t>
      </w:r>
    </w:p>
    <w:p w14:paraId="00000364">
      <w:pPr>
        <w:rPr/>
      </w:pPr>
      <w:r>
        <w:rPr/>
        <w:t xml:space="preserve">The company possesses meaningful competitive advantages through its established Philippine market presence, integrated construction and commodities capabilities, and environmental compliance orientation. With strategic investments and careful market positioning, Econares can build a sustainable position in the evolving physical commodities sector.</w:t>
      </w:r>
    </w:p>
    <w:p w14:paraId="00000365">
      <w:pPr>
        <w:rPr/>
      </w:pPr>
      <w:r>
        <w:rPr/>
        <w:t xml:space="preserve">Success will require ongoing monitoring of market developments, regulatory changes, and competitive dynamics. This analysis should be updated regularly as market conditions evolve and new information becomes available.</w:t>
      </w:r>
    </w:p>
    <w:p w14:paraId="00000366">
      <w:pPr>
        <w:rPr/>
      </w:pPr>
      <w:r>
        <w:rPr/>
        <w:t xml:space="preserve">APPENDICES</w:t>
      </w:r>
    </w:p>
    <w:p w14:paraId="00000367">
      <w:pPr>
        <w:rPr/>
      </w:pPr>
      <w:r>
        <w:rPr/>
        <w:t xml:space="preserve">Appendix A: Data Sources and Methodology</w:t>
      </w:r>
    </w:p>
    <w:p w14:paraId="00000368">
      <w:pPr>
        <w:rPr/>
      </w:pPr>
      <w:r>
        <w:rPr/>
        <w:t xml:space="preserve">This analysis draws on the following primary sources:</w:t>
      </w:r>
    </w:p>
    <w:p w14:paraId="00000369">
      <w:pPr>
        <w:rPr/>
      </w:pPr>
      <w:r>
        <w:rPr/>
        <w:t xml:space="preserve">- Econares Company Profile (provided document)</w:t>
      </w:r>
    </w:p>
    <w:p w14:paraId="0000036a">
      <w:pPr>
        <w:rPr/>
      </w:pPr>
      <w:r>
        <w:rPr/>
        <w:t xml:space="preserve">- World Coal Association reports and statistics</w:t>
      </w:r>
    </w:p>
    <w:p w14:paraId="0000036b">
      <w:pPr>
        <w:rPr/>
      </w:pPr>
      <w:r>
        <w:rPr/>
        <w:t xml:space="preserve">- International Energy Agency (IEA) publications</w:t>
      </w:r>
    </w:p>
    <w:p w14:paraId="0000036c">
      <w:pPr>
        <w:rPr/>
      </w:pPr>
      <w:r>
        <w:rPr/>
        <w:t xml:space="preserve">- Baltic Exchange market data</w:t>
      </w:r>
    </w:p>
    <w:p w14:paraId="0000036d">
      <w:pPr>
        <w:rPr/>
      </w:pPr>
      <w:r>
        <w:rPr/>
        <w:t xml:space="preserve">- United Nations Conference on Trade and Development (UNCTAD) reports</w:t>
      </w:r>
    </w:p>
    <w:p w14:paraId="0000036e">
      <w:pPr>
        <w:rPr/>
      </w:pPr>
      <w:r>
        <w:rPr/>
        <w:t xml:space="preserve">- Philippine Department of Energy publications</w:t>
      </w:r>
    </w:p>
    <w:p w14:paraId="0000036f">
      <w:pPr>
        <w:rPr/>
      </w:pPr>
      <w:r>
        <w:rPr/>
        <w:t xml:space="preserve">- Bureau of Customs trade statistics</w:t>
      </w:r>
    </w:p>
    <w:p w14:paraId="00000370">
      <w:pPr>
        <w:rPr/>
      </w:pPr>
      <w:r>
        <w:rPr/>
        <w:t xml:space="preserve">- International Maritime Organization regulatory documents</w:t>
      </w:r>
    </w:p>
    <w:p w14:paraId="00000371">
      <w:pPr>
        <w:rPr/>
      </w:pPr>
      <w:r>
        <w:rPr/>
        <w:t xml:space="preserve">- Industry analyst reports (BMI, Fitch Solutions, S&amp;P Global)</w:t>
      </w:r>
    </w:p>
    <w:p w14:paraId="00000372">
      <w:pPr>
        <w:rPr/>
      </w:pPr>
      <w:r>
        <w:rPr/>
        <w:t xml:space="preserve">Data Period: 2010-2026</w:t>
      </w:r>
    </w:p>
    <w:p w14:paraId="00000373">
      <w:pPr>
        <w:rPr/>
      </w:pPr>
      <w:r>
        <w:rPr/>
        <w:t xml:space="preserve">Analysis Scope: Global with emphasis on Asia-Pacific and Philippines</w:t>
      </w:r>
    </w:p>
    <w:p w14:paraId="00000374">
      <w:pPr>
        <w:rPr/>
      </w:pPr>
      <w:r>
        <w:rPr/>
        <w:t xml:space="preserve">Appendix B: Glossary of Terms</w:t>
      </w:r>
    </w:p>
    <w:p w14:paraId="00000375">
      <w:pPr>
        <w:rPr/>
      </w:pPr>
      <w:r>
        <w:rPr/>
        <w:t xml:space="preserve">BDI: Baltic Dry Index - benchmark for dry bulk shipping costs</w:t>
      </w:r>
    </w:p>
    <w:p w14:paraId="00000376">
      <w:pPr>
        <w:rPr/>
      </w:pPr>
      <w:r>
        <w:rPr/>
        <w:t xml:space="preserve">CAGR: Compound Annual Growth Rate</w:t>
      </w:r>
    </w:p>
    <w:p w14:paraId="00000377">
      <w:pPr>
        <w:rPr/>
      </w:pPr>
      <w:r>
        <w:rPr/>
        <w:t xml:space="preserve">ECC: Environmental Compliance Certificate</w:t>
      </w:r>
    </w:p>
    <w:p w14:paraId="00000378">
      <w:pPr>
        <w:rPr/>
      </w:pPr>
      <w:r>
        <w:rPr/>
        <w:t xml:space="preserve">ESG: Environmental, Social, and Governance</w:t>
      </w:r>
    </w:p>
    <w:p w14:paraId="00000379">
      <w:pPr>
        <w:rPr/>
      </w:pPr>
      <w:r>
        <w:rPr/>
        <w:t xml:space="preserve">IMO: International Maritime Organization</w:t>
      </w:r>
    </w:p>
    <w:p w14:paraId="0000037a">
      <w:pPr>
        <w:rPr/>
      </w:pPr>
      <w:r>
        <w:rPr/>
        <w:t xml:space="preserve">LNG: Liquefied Natural Gas</w:t>
      </w:r>
    </w:p>
    <w:p w14:paraId="0000037b">
      <w:pPr>
        <w:rPr/>
      </w:pPr>
      <w:r>
        <w:rPr/>
        <w:t xml:space="preserve">MFN: Most Favored Nation</w:t>
      </w:r>
    </w:p>
    <w:p w14:paraId="0000037c">
      <w:pPr>
        <w:rPr/>
      </w:pPr>
      <w:r>
        <w:rPr/>
        <w:t xml:space="preserve">PCAB: Philippine Contractors Accreditation Board</w:t>
      </w:r>
    </w:p>
    <w:p w14:paraId="0000037d">
      <w:pPr>
        <w:rPr/>
      </w:pPr>
      <w:r>
        <w:rPr/>
        <w:t xml:space="preserve">VLSFO: Very Low Sulfur Fuel Oil</w:t>
      </w:r>
    </w:p>
    <w:p w14:paraId="0000037e">
      <w:pPr>
        <w:rPr/>
      </w:pPr>
      <w:r>
        <w:rPr/>
        <w:t xml:space="preserve">CII: Carbon Intensity Indicator</w:t>
      </w:r>
    </w:p>
    <w:p w14:paraId="0000037f">
      <w:pPr>
        <w:rPr/>
      </w:pPr>
      <w:r>
        <w:rPr/>
        <w:t xml:space="preserve">CCUS: Carbon Capture, Utilization, and Storage</w:t>
      </w:r>
    </w:p>
    <w:p w14:paraId="00000380">
      <w:pPr>
        <w:rPr/>
      </w:pPr>
      <w:r>
        <w:rPr/>
        <w:t xml:space="preserve">DRI: Direct Reduced Iron</w:t>
      </w:r>
    </w:p>
    <w:p w14:paraId="00000381">
      <w:pPr>
        <w:rPr/>
      </w:pPr>
      <w:r>
        <w:rPr/>
        <w:t xml:space="preserve">BECCS: Bioenergy with Carbon Capture and Storage</w:t>
      </w:r>
    </w:p>
    <w:p w14:paraId="00000382">
      <w:pPr>
        <w:rPr/>
      </w:pPr>
      <w:r>
        <w:rPr/>
        <w:t xml:space="preserve">FPIC: Free, Prior, and Informed Consent</w:t>
      </w:r>
    </w:p>
    <w:p w14:paraId="00000383">
      <w:pPr>
        <w:rPr/>
      </w:pPr>
      <w:r>
        <w:rPr/>
        <w:t xml:space="preserve">Appendix C: Key Regulatory Citations</w:t>
      </w:r>
    </w:p>
    <w:p w14:paraId="00000384">
      <w:pPr>
        <w:rPr/>
      </w:pPr>
      <w:r>
        <w:rPr/>
        <w:t xml:space="preserve">1. IMO 2020: International Convention for the Prevention of Pollution from Ships (MARPOL) Annex VI</w:t>
      </w:r>
    </w:p>
    <w:p w14:paraId="00000385">
      <w:pPr>
        <w:rPr/>
      </w:pPr>
      <w:r>
        <w:rPr/>
        <w:t xml:space="preserve">2. BWMC: International Convention for the Control and Management of Ships' Ballast Water and Sediments</w:t>
      </w:r>
    </w:p>
    <w:p w14:paraId="00000386">
      <w:pPr>
        <w:rPr/>
      </w:pPr>
      <w:r>
        <w:rPr/>
        <w:t xml:space="preserve">3. Mining Act of 1995: Republic Act 7942 (Philippines)</w:t>
      </w:r>
    </w:p>
    <w:p w14:paraId="00000387">
      <w:pPr>
        <w:rPr/>
      </w:pPr>
      <w:r>
        <w:rPr/>
        <w:t xml:space="preserve">4. EPIRA: Republic Act 9136 - Electric Power Industry Reform Act (Philippines)</w:t>
      </w:r>
    </w:p>
    <w:p w14:paraId="00000388">
      <w:pPr>
        <w:rPr/>
      </w:pPr>
      <w:r>
        <w:rPr/>
        <w:t xml:space="preserve">5. DENR: DAO 2003-28 Environmental Impact Assessment System</w:t>
      </w:r>
    </w:p>
    <w:p w14:paraId="00000389">
      <w:pPr>
        <w:rPr/>
      </w:pPr>
      <w:r>
        <w:rPr/>
        <w:t xml:space="preserve">6. ASEAN Charter: Entered into force December 2008</w:t>
      </w:r>
    </w:p>
    <w:p w14:paraId="0000038a">
      <w:pPr>
        <w:rPr/>
      </w:pPr>
      <w:r>
        <w:rPr/>
        <w:t xml:space="preserve">7. RCEP: Regional Comprehensive Economic Partnership Agreement</w:t>
      </w:r>
    </w:p>
    <w:p w14:paraId="0000038b">
      <w:pPr>
        <w:rPr/>
      </w:pPr>
      <w:r>
        <w:rPr/>
        <w:t xml:space="preserve">Appendix D: Contact Information</w:t>
      </w:r>
    </w:p>
    <w:p w14:paraId="0000038c">
      <w:pPr>
        <w:rPr/>
      </w:pPr>
      <w:r>
        <w:rPr/>
        <w:t xml:space="preserve">For questions or clarifications regarding this analysis:</w:t>
      </w:r>
    </w:p>
    <w:p w14:paraId="0000038d">
      <w:pPr>
        <w:rPr/>
      </w:pPr>
      <w:r>
        <w:rPr/>
        <w:t xml:space="preserve">[Note: Contact details should be inserted here as appropriate]</w:t>
      </w:r>
    </w:p>
    <w:p w14:paraId="0000038e">
      <w:pPr>
        <w:rPr/>
      </w:pPr>
      <w:r>
        <w:rPr/>
        <w:t xml:space="preserve">---</w:t>
      </w:r>
    </w:p>
    <w:p w14:paraId="0000038f">
      <w:pPr>
        <w:rPr/>
      </w:pPr>
      <w:r>
        <w:rPr/>
        <w:t xml:space="preserve">Document Version: 1.0</w:t>
      </w:r>
    </w:p>
    <w:p w14:paraId="00000390">
      <w:pPr>
        <w:rPr/>
      </w:pPr>
      <w:r>
        <w:rPr/>
        <w:t xml:space="preserve">Date: June 2025</w:t>
      </w:r>
    </w:p>
    <w:p w14:paraId="00000391">
      <w:pPr>
        <w:rPr/>
      </w:pPr>
      <w:r>
        <w:rPr/>
        <w:t xml:space="preserve">Classification: Confidential</w:t>
      </w:r>
    </w:p>
    <w:p w14:paraId="00000392">
      <w:pPr>
        <w:rPr/>
      </w:pPr>
      <w:r>
        <w:rPr/>
        <w:t xml:space="preserve">© Econares (ECE Construction and Resources OPC)</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