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500"/>
      </w:pPr>
    </w:p>
    <w:p>
      <w:pPr>
        <w:spacing w:after="200" w:line="920" w:lineRule="atLeast"/>
      </w:pPr>
      <w:r>
        <w:rPr>
          <w:rFonts w:ascii="Times New Roman" w:eastAsia="SimHei"/>
          <w:b/>
          <w:bCs/>
          <w:color w:val="FFFFFF"/>
          <w:sz w:val="80"/>
          <w:szCs w:val="80"/>
        </w:rPr>
        <w:t xml:space="preserve">Top Nickel Ore Buyers</w:t>
      </w:r>
    </w:p>
    <w:p>
      <w:pPr>
        <w:pBdr>
          <w:bottom w:val="single" w:color="D4AF37" w:sz="12" w:space="8"/>
        </w:pBdr>
        <w:spacing w:after="400"/>
        <w:ind w:left="0" w:right="6000"/>
      </w:pPr>
    </w:p>
    <w:p>
      <w:pPr>
        <w:spacing w:after="600" w:line="368" w:lineRule="atLeast"/>
      </w:pPr>
      <w:r>
        <w:rPr>
          <w:rFonts w:ascii="Times New Roman" w:eastAsia="Microsoft YaHei"/>
          <w:color w:val="B0B8C0"/>
          <w:sz w:val="32"/>
          <w:szCs w:val="32"/>
        </w:rPr>
        <w:t xml:space="preserve">Market Intelligence for a Philippines-Based Commodities Trading Company</w:t>
      </w:r>
    </w:p>
    <w:p>
      <w:pPr>
        <w:spacing w:after="100"/>
      </w:pPr>
      <w:r>
        <w:rPr>
          <w:rFonts w:ascii="Calibri" w:eastAsia="Microsoft YaHei"/>
          <w:color w:val="90989F"/>
          <w:sz w:val="24"/>
          <w:szCs w:val="24"/>
        </w:rPr>
        <w:t xml:space="preserve">Commodities Market Research Division</w:t>
      </w:r>
    </w:p>
    <w:p>
      <w:r>
        <w:rPr>
          <w:rFonts w:ascii="Calibri" w:eastAsia="Microsoft YaHei"/>
          <w:color w:val="90989F"/>
          <w:sz w:val="24"/>
          <w:szCs w:val="24"/>
        </w:rPr>
        <w:t xml:space="preserve">May 2026</w:t>
      </w:r>
    </w:p>
    <w:p>
      <w:pPr>
        <w:sectPr>
          <w:pgSz w:w="11906" w:h="16838" w:orient="portrait"/>
          <w:pgMar w:top="0" w:right="1417" w:bottom="0" w:left="1701" w:header="708" w:footer="708" w:gutter="0"/>
          <w:pgNumType/>
          <w:docGrid w:linePitch="360"/>
        </w:sectPr>
      </w:pPr>
    </w:p>
    <w:p>
      <w:pPr>
        <w:spacing w:after="300" w:before="200"/>
      </w:pPr>
      <w:r>
        <w:rPr>
          <w:rFonts w:ascii="Times New Roman" w:eastAsia="SimHei"/>
          <w:b/>
          <w:bCs/>
          <w:color w:val="0F2027"/>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Philippines Nickel Ore Export Overview</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Production and Export Scale</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2.2 Export Destination Breakdown</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3. China: The Dominant Buyer Market</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3.1 Market Overview</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3.2 Key Chinese Buyer Companies</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3.3 Chinese NPI Smelters as Indirect Buyers</w:t>
            </w:r>
            <w:r>
              <w:tab/>
            </w:r>
            <w:r>
              <w:fldChar w:fldCharType="begin"/>
            </w:r>
            <w:r>
              <w:instrText xml:space="preserve"> PAGEREF _Toc100007 \h </w:instrText>
            </w:r>
            <w:r>
              <w:fldChar w:fldCharType="separate"/>
            </w:r>
            <w:r>
              <w:t>5</w:t>
            </w:r>
            <w:r>
              <w:fldChar w:fldCharType="end"/>
            </w:r>
          </w:hyperlink>
        </w:p>
        <w:p>
          <w:pPr>
            <w:pStyle w:val="9"/>
            <w:tabs>
              <w:tab w:val="right" w:leader="dot" w:pos="9026"/>
            </w:tabs>
            <w:spacing w:before="120" w:after="60"/>
          </w:pPr>
          <w:hyperlink w:anchor="_Toc100008" w:history="1">
            <w:r>
              <w:rPr>
                <w:rStyle w:val="Hyperlink"/>
              </w:rPr>
              <w:t>4. Indonesia: The Emerging Giant Buyer</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4.1 Indonesia’s Nickel Ore Import Surge</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4.2 Key Indonesian Buyer Entities</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4.3 The Philippines-Indonesia Nickel Corridor</w:t>
            </w:r>
            <w:r>
              <w:tab/>
            </w:r>
            <w:r>
              <w:fldChar w:fldCharType="begin"/>
            </w:r>
            <w:r>
              <w:instrText xml:space="preserve"> PAGEREF _Toc100011 \h </w:instrText>
            </w:r>
            <w:r>
              <w:fldChar w:fldCharType="separate"/>
            </w:r>
            <w:r>
              <w:t>6</w:t>
            </w:r>
            <w:r>
              <w:fldChar w:fldCharType="end"/>
            </w:r>
          </w:hyperlink>
        </w:p>
        <w:p>
          <w:pPr>
            <w:pStyle w:val="9"/>
            <w:tabs>
              <w:tab w:val="right" w:leader="dot" w:pos="9026"/>
            </w:tabs>
            <w:spacing w:before="120" w:after="60"/>
          </w:pPr>
          <w:hyperlink w:anchor="_Toc100012" w:history="1">
            <w:r>
              <w:rPr>
                <w:rStyle w:val="Hyperlink"/>
              </w:rPr>
              <w:t>5. Japan and South Korea: Secondary Markets</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5.1 Japan</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5.2 South Korea</w:t>
            </w:r>
            <w:r>
              <w:tab/>
            </w:r>
            <w:r>
              <w:fldChar w:fldCharType="begin"/>
            </w:r>
            <w:r>
              <w:instrText xml:space="preserve"> PAGEREF _Toc100014 \h </w:instrText>
            </w:r>
            <w:r>
              <w:fldChar w:fldCharType="separate"/>
            </w:r>
            <w:r>
              <w:t>7</w:t>
            </w:r>
            <w:r>
              <w:fldChar w:fldCharType="end"/>
            </w:r>
          </w:hyperlink>
        </w:p>
        <w:p>
          <w:pPr>
            <w:pStyle w:val="9"/>
            <w:tabs>
              <w:tab w:val="right" w:leader="dot" w:pos="9026"/>
            </w:tabs>
            <w:spacing w:before="120" w:after="60"/>
          </w:pPr>
          <w:hyperlink w:anchor="_Toc100015" w:history="1">
            <w:r>
              <w:rPr>
                <w:rStyle w:val="Hyperlink"/>
              </w:rPr>
              <w:t>6. Global Commodity Trading Houses</w:t>
            </w:r>
            <w:r>
              <w:tab/>
            </w:r>
            <w:r>
              <w:fldChar w:fldCharType="begin"/>
            </w:r>
            <w:r>
              <w:instrText xml:space="preserve"> PAGEREF _Toc100015 \h </w:instrText>
            </w:r>
            <w:r>
              <w:fldChar w:fldCharType="separate"/>
            </w:r>
            <w:r>
              <w:t>8</w:t>
            </w:r>
            <w:r>
              <w:fldChar w:fldCharType="end"/>
            </w:r>
          </w:hyperlink>
        </w:p>
        <w:p>
          <w:pPr>
            <w:pStyle w:val="9"/>
            <w:tabs>
              <w:tab w:val="right" w:leader="dot" w:pos="9026"/>
            </w:tabs>
            <w:spacing w:before="120" w:after="60"/>
          </w:pPr>
          <w:hyperlink w:anchor="_Toc100016" w:history="1">
            <w:r>
              <w:rPr>
                <w:rStyle w:val="Hyperlink"/>
              </w:rPr>
              <w:t>7. Indian and Other Emerging Buyers</w:t>
            </w:r>
            <w:r>
              <w:tab/>
            </w:r>
            <w:r>
              <w:fldChar w:fldCharType="begin"/>
            </w:r>
            <w:r>
              <w:instrText xml:space="preserve"> PAGEREF _Toc100016 \h </w:instrText>
            </w:r>
            <w:r>
              <w:fldChar w:fldCharType="separate"/>
            </w:r>
            <w:r>
              <w:t>8</w:t>
            </w:r>
            <w:r>
              <w:fldChar w:fldCharType="end"/>
            </w:r>
          </w:hyperlink>
        </w:p>
        <w:p>
          <w:pPr>
            <w:pStyle w:val="9"/>
            <w:tabs>
              <w:tab w:val="right" w:leader="dot" w:pos="9026"/>
            </w:tabs>
            <w:spacing w:before="120" w:after="60"/>
          </w:pPr>
          <w:hyperlink w:anchor="_Toc100017" w:history="1">
            <w:r>
              <w:rPr>
                <w:rStyle w:val="Hyperlink"/>
              </w:rPr>
              <w:t>8. Strategic Buyer Segmentation for a Philippine Trading Company</w:t>
            </w:r>
            <w:r>
              <w:tab/>
            </w:r>
            <w:r>
              <w:fldChar w:fldCharType="begin"/>
            </w:r>
            <w:r>
              <w:instrText xml:space="preserve"> PAGEREF _Toc100017 \h </w:instrText>
            </w:r>
            <w:r>
              <w:fldChar w:fldCharType="separate"/>
            </w:r>
            <w:r>
              <w:t>9</w:t>
            </w:r>
            <w:r>
              <w:fldChar w:fldCharType="end"/>
            </w:r>
          </w:hyperlink>
        </w:p>
        <w:p>
          <w:pPr>
            <w:pStyle w:val="9"/>
            <w:tabs>
              <w:tab w:val="right" w:leader="dot" w:pos="9026"/>
            </w:tabs>
            <w:spacing w:before="120" w:after="60"/>
          </w:pPr>
          <w:hyperlink w:anchor="_Toc100018" w:history="1">
            <w:r>
              <w:rPr>
                <w:rStyle w:val="Hyperlink"/>
              </w:rPr>
              <w:t>9. Key Trade Flow Data and Pricing Context</w:t>
            </w:r>
            <w:r>
              <w:tab/>
            </w:r>
            <w:r>
              <w:fldChar w:fldCharType="begin"/>
            </w:r>
            <w:r>
              <w:instrText xml:space="preserve"> PAGEREF _Toc100018 \h </w:instrText>
            </w:r>
            <w:r>
              <w:fldChar w:fldCharType="separate"/>
            </w:r>
            <w:r>
              <w:t>9</w:t>
            </w:r>
            <w:r>
              <w:fldChar w:fldCharType="end"/>
            </w:r>
          </w:hyperlink>
        </w:p>
        <w:p>
          <w:pPr>
            <w:pStyle w:val="9"/>
            <w:tabs>
              <w:tab w:val="right" w:leader="dot" w:pos="9026"/>
            </w:tabs>
            <w:spacing w:before="120" w:after="60"/>
          </w:pPr>
          <w:hyperlink w:anchor="_Toc100019" w:history="1">
            <w:r>
              <w:rPr>
                <w:rStyle w:val="Hyperlink"/>
              </w:rPr>
              <w:t>10. Conclusions and Recommendations</w:t>
            </w:r>
            <w:r>
              <w:tab/>
            </w:r>
            <w:r>
              <w:fldChar w:fldCharType="begin"/>
            </w:r>
            <w:r>
              <w:instrText xml:space="preserve"> PAGEREF _Toc100019 \h </w:instrText>
            </w:r>
            <w:r>
              <w:fldChar w:fldCharType="separate"/>
            </w:r>
            <w:r>
              <w:t>10</w:t>
            </w:r>
            <w:r>
              <w:fldChar w:fldCharType="end"/>
            </w:r>
          </w:hyperlink>
        </w:p>
        <w:p>
          <w:pPr>
            <w:pStyle w:val="11"/>
            <w:ind w:left="360"/>
            <w:tabs>
              <w:tab w:val="right" w:leader="dot" w:pos="9026"/>
            </w:tabs>
            <w:spacing w:before="120" w:after="60"/>
          </w:pPr>
          <w:hyperlink w:anchor="_Toc100020" w:history="1">
            <w:r>
              <w:rPr>
                <w:rStyle w:val="Hyperlink"/>
              </w:rPr>
              <w:t>10.1 Key Conclusions</w:t>
            </w:r>
            <w:r>
              <w:tab/>
            </w:r>
            <w:r>
              <w:fldChar w:fldCharType="begin"/>
            </w:r>
            <w:r>
              <w:instrText xml:space="preserve"> PAGEREF _Toc100020 \h </w:instrText>
            </w:r>
            <w:r>
              <w:fldChar w:fldCharType="separate"/>
            </w:r>
            <w:r>
              <w:t>10</w:t>
            </w:r>
            <w:r>
              <w:fldChar w:fldCharType="end"/>
            </w:r>
          </w:hyperlink>
        </w:p>
        <w:p>
          <w:pPr>
            <w:pStyle w:val="11"/>
            <w:ind w:left="360"/>
            <w:tabs>
              <w:tab w:val="right" w:leader="dot" w:pos="9026"/>
            </w:tabs>
            <w:spacing w:before="120" w:after="60"/>
          </w:pPr>
          <w:hyperlink w:anchor="_Toc100021" w:history="1">
            <w:r>
              <w:rPr>
                <w:rStyle w:val="Hyperlink"/>
              </w:rPr>
              <w:t>10.2 Strategic Recommendations</w:t>
            </w:r>
            <w:r>
              <w:tab/>
            </w:r>
            <w:r>
              <w:fldChar w:fldCharType="begin"/>
            </w:r>
            <w:r>
              <w:instrText xml:space="preserve"> PAGEREF _Toc100021 \h </w:instrText>
            </w:r>
            <w:r>
              <w:fldChar w:fldCharType="separate"/>
            </w:r>
            <w:r>
              <w:t>10</w:t>
            </w:r>
            <w:r>
              <w:fldChar w:fldCharType="end"/>
            </w:r>
          </w:hyperlink>
        </w:p>
        <w:p>
          <w:pPr>
            <w:pStyle w:val="9"/>
            <w:tabs>
              <w:tab w:val="right" w:leader="dot" w:pos="9026"/>
            </w:tabs>
            <w:spacing w:before="120" w:after="60"/>
          </w:pPr>
          <w:hyperlink w:anchor="_Toc100022" w:history="1">
            <w:r>
              <w:rPr>
                <w:rStyle w:val="Hyperlink"/>
              </w:rPr>
              <w:t>11. Data Sources and Methodology</w:t>
            </w:r>
            <w:r>
              <w:tab/>
            </w:r>
            <w:r>
              <w:fldChar w:fldCharType="begin"/>
            </w:r>
            <w:r>
              <w:instrText xml:space="preserve"> PAGEREF _Toc100022 \h </w:instrText>
            </w:r>
            <w:r>
              <w:fldChar w:fldCharType="separate"/>
            </w:r>
            <w:r>
              <w:t>11</w:t>
            </w:r>
            <w:r>
              <w:fldChar w:fldCharType="end"/>
            </w:r>
          </w:hyperlink>
        </w:p>
        <w:p>
          <w:r>
            <w:fldChar w:fldCharType="end"/>
          </w:r>
        </w:p>
      </w:sdtContent>
    </w:sdt>
    <w:p>
      <w:pPr>
        <w:spacing w:after="100" w:before="200"/>
        <w:jc w:val="center"/>
      </w:pPr>
      <w:r>
        <w:rPr>
          <w:i/>
          <w:iCs/>
          <w:color w:val="90989F"/>
          <w:sz w:val="18"/>
          <w:szCs w:val="18"/>
        </w:rPr>
        <w:t xml:space="preserve">Right-click the Table of Contents and select “Update Field” to refresh page numbers.</w:t>
      </w:r>
    </w:p>
    <w:p>
      <w:r>
        <w:t xml:space="preserve"/>
      </w:r>
      <w:r>
        <w:br w:type="page"/>
      </w:r>
    </w:p>
    <w:p>
      <w:pPr>
        <w:sectPr>
          <w:headerReference w:type="default" r:id="rId7"/>
          <w:footerReference w:type="default" r:id="rId8"/>
          <w:pgSz w:w="11906" w:h="16838" w:orient="portrait"/>
          <w:pgMar w:top="1440" w:right="1417" w:bottom="1440" w:left="1701" w:header="708" w:footer="708" w:gutter="0"/>
          <w:pgNumType/>
          <w:docGrid w:linePitch="360"/>
        </w:sectPr>
      </w:pPr>
    </w:p>
    <w:p>
      <w:pPr>
        <w:pStyle w:val="Heading1"/>
        <w:spacing w:after="120" w:before="360" w:line="312"/>
      </w:pPr>
      <w:bookmarkStart w:id="100000" w:name="_Toc100000"/>
      <w:r>
        <w:rPr>
          <w:rFonts w:ascii="Times New Roman" w:eastAsia="SimHei"/>
          <w:b/>
          <w:bCs/>
          <w:color w:val="0F2027"/>
        </w:rPr>
        <w:t xml:space="preserve">1. Executive Summary</w:t>
      </w:r>
      <w:bookmarkEnd w:id="100000"/>
    </w:p>
    <w:p>
      <w:pPr>
        <w:spacing w:line="312"/>
        <w:jc w:val="both"/>
      </w:pPr>
      <w:r>
        <w:rPr>
          <w:rFonts w:ascii="Times New Roman" w:eastAsia="Microsoft YaHei"/>
          <w:color w:val="1A2B40"/>
          <w:sz w:val="24"/>
          <w:szCs w:val="24"/>
        </w:rPr>
        <w:t xml:space="preserve">This report identifies and profiles the top global buyers of nickel ore, with a specific focus on those most relevant to a physical commodities trading company based in the Philippines. The Philippines is the world’s largest exporter of nickel ores and concentrates, accounting for approximately 35% of global export value ($1.85 billion in 2024), making buyer intelligence a critical competitive advantage for any trading firm operating in this space.</w:t>
      </w:r>
    </w:p>
    <w:p>
      <w:pPr>
        <w:spacing w:line="312"/>
        <w:jc w:val="both"/>
      </w:pPr>
      <w:r>
        <w:rPr>
          <w:rFonts w:ascii="Times New Roman" w:eastAsia="Microsoft YaHei"/>
          <w:color w:val="1A2B40"/>
          <w:sz w:val="24"/>
          <w:szCs w:val="24"/>
        </w:rPr>
        <w:t xml:space="preserve">Our research reveals that the global nickel ore buyer landscape is dominated by two major demand poles: China, which absorbs over 90% of Philippine nickel ore exports directly, and Indonesia, which has emerged as a rapidly growing buyer as its domestic smelters face ore shortages due to government mining quotas. Together, these two destinations account for the vast majority of Philippine nickel ore trade. Japan and South Korea represent secondary but important markets, while European buyers focus primarily on refined nickel and battery-grade intermediates rather than raw ore.</w:t>
      </w:r>
    </w:p>
    <w:p>
      <w:pPr>
        <w:spacing w:line="312"/>
        <w:jc w:val="both"/>
      </w:pPr>
      <w:r>
        <w:rPr>
          <w:rFonts w:ascii="Times New Roman" w:eastAsia="Microsoft YaHei"/>
          <w:color w:val="1A2B40"/>
          <w:sz w:val="24"/>
          <w:szCs w:val="24"/>
        </w:rPr>
        <w:t xml:space="preserve">Key findings include: (1) China’s stainless steel producers, led by Tsingshan Holding Group, remain the dominant buyers; (2) Indonesia imported 10.4 million tonnes of nickel ore from the Philippines in 2024, surging to an estimated 15.8 million tonnes in 2025, with projections of up to 30 million tonnes by 2026; (3) major commodity trading houses such as Trafigura and Glencore play significant intermediary roles; and (4) the emerging Philippines-Indonesia “nickel corridor” presents new trading opportunities for firms positioned in the Philippines.</w:t>
      </w:r>
    </w:p>
    <w:p>
      <w:pPr>
        <w:pStyle w:val="Heading1"/>
        <w:spacing w:after="120" w:before="360" w:line="312"/>
      </w:pPr>
      <w:bookmarkStart w:id="100001" w:name="_Toc100001"/>
      <w:r>
        <w:rPr>
          <w:rFonts w:ascii="Times New Roman" w:eastAsia="SimHei"/>
          <w:b/>
          <w:bCs/>
          <w:color w:val="0F2027"/>
        </w:rPr>
        <w:t xml:space="preserve">2. Philippines Nickel Ore Export Overview</w:t>
      </w:r>
      <w:bookmarkEnd w:id="100001"/>
    </w:p>
    <w:p>
      <w:pPr>
        <w:pStyle w:val="Heading2"/>
        <w:spacing w:after="120" w:before="240" w:line="312"/>
      </w:pPr>
      <w:bookmarkStart w:id="100002" w:name="_Toc100002"/>
      <w:r>
        <w:rPr>
          <w:rFonts w:ascii="Times New Roman" w:eastAsia="SimHei"/>
          <w:b/>
          <w:bCs/>
          <w:color w:val="0F2027"/>
        </w:rPr>
        <w:t xml:space="preserve">2.1 Production and Export Scale</w:t>
      </w:r>
      <w:bookmarkEnd w:id="100002"/>
    </w:p>
    <w:p>
      <w:pPr>
        <w:spacing w:line="312"/>
        <w:jc w:val="both"/>
      </w:pPr>
      <w:r>
        <w:rPr>
          <w:rFonts w:ascii="Times New Roman" w:eastAsia="Microsoft YaHei"/>
          <w:color w:val="1A2B40"/>
          <w:sz w:val="24"/>
          <w:szCs w:val="24"/>
        </w:rPr>
        <w:t xml:space="preserve">The Philippines is one of the world’s top nickel ore producers and the single largest exporter of nickel ores and concentrates by value. According to trade data from TrendEconomy and OEC, the Philippines exported approximately $1.85 billion worth of nickel ore in 2024, representing roughly 35% of global nickel ore exports. The country’s nickel mining sector is concentrated in the Caraga region (Surigao del Norte, Surigao del Sur, Dinagat Islands) and Palawan, with major producers including Global Ferronickel Holdings (FNI), Nickel Asia Corporation, and CTP Construction and Mining.</w:t>
      </w:r>
    </w:p>
    <w:p>
      <w:pPr>
        <w:spacing w:line="312"/>
        <w:jc w:val="both"/>
      </w:pPr>
      <w:r>
        <w:rPr>
          <w:rFonts w:ascii="Times New Roman" w:eastAsia="Microsoft YaHei"/>
          <w:color w:val="1A2B40"/>
          <w:sz w:val="24"/>
          <w:szCs w:val="24"/>
        </w:rPr>
        <w:t xml:space="preserve">Philippine nickel ore is predominantly low-to-medium grade laterite ore (Ni 0.8–1.8%), which is ideally suited for nickel pig iron (NPI) production via rotary kiln-electric furnace (RKEF) technology. This makes it particularly attractive to Chinese stainless steel producers who use NPI as a lower-cost substitute for refined nickel in stainless steel manufacturing. The ore’s physical characteristics and grade profile essentially dictate its end markets — primarily Chinese and Indonesian smelters.</w:t>
      </w:r>
    </w:p>
    <w:p>
      <w:pPr>
        <w:pStyle w:val="Heading2"/>
        <w:spacing w:after="120" w:before="240" w:line="312"/>
      </w:pPr>
      <w:bookmarkStart w:id="100003" w:name="_Toc100003"/>
      <w:r>
        <w:rPr>
          <w:rFonts w:ascii="Times New Roman" w:eastAsia="SimHei"/>
          <w:b/>
          <w:bCs/>
          <w:color w:val="0F2027"/>
        </w:rPr>
        <w:t xml:space="preserve">2.2 Export Destination Breakdown</w:t>
      </w:r>
      <w:bookmarkEnd w:id="100003"/>
    </w:p>
    <w:p>
      <w:pPr>
        <w:spacing w:line="312"/>
        <w:jc w:val="both"/>
      </w:pPr>
      <w:r>
        <w:rPr>
          <w:rFonts w:ascii="Times New Roman" w:eastAsia="Microsoft YaHei"/>
          <w:color w:val="1A2B40"/>
          <w:sz w:val="24"/>
          <w:szCs w:val="24"/>
        </w:rPr>
        <w:t xml:space="preserve">OEC bilateral trade data for 2024 shows the following destination breakdown for Philippine nickel ore exports:</w:t>
      </w:r>
    </w:p>
    <w:tbl>
      <w:tblPr>
        <w:tblW w:type="pct" w:w="100%"/>
        <w:tblBorders>
          <w:top w:val="single" w:color="D4AF37" w:sz="2"/>
          <w:left w:val="none"/>
          <w:bottom w:val="single" w:color="D4AF37" w:sz="2"/>
          <w:right w:val="none"/>
          <w:insideH w:val="single" w:color="D0D8E0" w:sz="1"/>
          <w:insideV w:val="none"/>
        </w:tblBorders>
      </w:tblPr>
      <w:tblGrid>
        <w:gridCol w:w="100"/>
        <w:gridCol w:w="100"/>
        <w:gridCol w:w="100"/>
        <w:gridCol w:w="100"/>
      </w:tblGrid>
      <w:tr>
        <w:trPr>
          <w:cantSplit/>
          <w:tblHeader/>
        </w:trPr>
        <w:tc>
          <w:tcPr>
            <w:tcW w:type="pct" w:w="22%"/>
            <w:shd w:fill="0F2027" w:val="clear"/>
            <w:tcMar>
              <w:top w:type="dxa" w:w="60"/>
              <w:left w:type="dxa" w:w="120"/>
              <w:bottom w:type="dxa" w:w="60"/>
              <w:right w:type="dxa" w:w="120"/>
            </w:tcMar>
          </w:tcPr>
          <w:p>
            <w:r>
              <w:rPr>
                <w:rFonts w:ascii="Times New Roman" w:eastAsia="SimHei"/>
                <w:b/>
                <w:bCs/>
                <w:color w:val="FFFFFF"/>
                <w:sz w:val="21"/>
                <w:szCs w:val="21"/>
              </w:rPr>
              <w:t xml:space="preserve">Destination</w:t>
            </w:r>
          </w:p>
        </w:tc>
        <w:tc>
          <w:tcPr>
            <w:tcW w:type="pct" w:w="22%"/>
            <w:shd w:fill="0F2027" w:val="clear"/>
            <w:tcMar>
              <w:top w:type="dxa" w:w="60"/>
              <w:left w:type="dxa" w:w="120"/>
              <w:bottom w:type="dxa" w:w="60"/>
              <w:right w:type="dxa" w:w="120"/>
            </w:tcMar>
          </w:tcPr>
          <w:p>
            <w:r>
              <w:rPr>
                <w:rFonts w:ascii="Times New Roman" w:eastAsia="SimHei"/>
                <w:b/>
                <w:bCs/>
                <w:color w:val="FFFFFF"/>
                <w:sz w:val="21"/>
                <w:szCs w:val="21"/>
              </w:rPr>
              <w:t xml:space="preserve">Export Value (2024)</w:t>
            </w:r>
          </w:p>
        </w:tc>
        <w:tc>
          <w:tcPr>
            <w:tcW w:type="pct" w:w="18%"/>
            <w:shd w:fill="0F2027" w:val="clear"/>
            <w:tcMar>
              <w:top w:type="dxa" w:w="60"/>
              <w:left w:type="dxa" w:w="120"/>
              <w:bottom w:type="dxa" w:w="60"/>
              <w:right w:type="dxa" w:w="120"/>
            </w:tcMar>
          </w:tcPr>
          <w:p>
            <w:r>
              <w:rPr>
                <w:rFonts w:ascii="Times New Roman" w:eastAsia="SimHei"/>
                <w:b/>
                <w:bCs/>
                <w:color w:val="FFFFFF"/>
                <w:sz w:val="21"/>
                <w:szCs w:val="21"/>
              </w:rPr>
              <w:t xml:space="preserve">Share of Total</w:t>
            </w:r>
          </w:p>
        </w:tc>
        <w:tc>
          <w:tcPr>
            <w:tcW w:type="pct" w:w="38%"/>
            <w:shd w:fill="0F2027" w:val="clear"/>
            <w:tcMar>
              <w:top w:type="dxa" w:w="60"/>
              <w:left w:type="dxa" w:w="120"/>
              <w:bottom w:type="dxa" w:w="60"/>
              <w:right w:type="dxa" w:w="120"/>
            </w:tcMar>
          </w:tcPr>
          <w:p>
            <w:r>
              <w:rPr>
                <w:rFonts w:ascii="Times New Roman" w:eastAsia="SimHei"/>
                <w:b/>
                <w:bCs/>
                <w:color w:val="FFFFFF"/>
                <w:sz w:val="21"/>
                <w:szCs w:val="21"/>
              </w:rPr>
              <w:t xml:space="preserve">Key Trend</w:t>
            </w:r>
          </w:p>
        </w:tc>
      </w:tr>
      <w:tr>
        <w:trPr>
          <w:cantSplit/>
        </w:trPr>
        <w:tc>
          <w:tcPr>
            <w:tcW w:type="pct" w:w="22%"/>
            <w:shd w:fill="F0F4F8" w:val="clear"/>
            <w:tcMar>
              <w:top w:type="dxa" w:w="60"/>
              <w:left w:type="dxa" w:w="120"/>
              <w:bottom w:type="dxa" w:w="60"/>
              <w:right w:type="dxa" w:w="120"/>
            </w:tcMar>
          </w:tcPr>
          <w:p>
            <w:r>
              <w:rPr>
                <w:rFonts w:ascii="Times New Roman" w:eastAsia="Microsoft YaHei"/>
                <w:color w:val="1A2B40"/>
                <w:sz w:val="21"/>
                <w:szCs w:val="21"/>
              </w:rPr>
              <w:t xml:space="preserve">China</w:t>
            </w:r>
          </w:p>
        </w:tc>
        <w:tc>
          <w:tcPr>
            <w:tcW w:type="pct" w:w="22%"/>
            <w:shd w:fill="F0F4F8" w:val="clear"/>
            <w:tcMar>
              <w:top w:type="dxa" w:w="60"/>
              <w:left w:type="dxa" w:w="120"/>
              <w:bottom w:type="dxa" w:w="60"/>
              <w:right w:type="dxa" w:w="120"/>
            </w:tcMar>
          </w:tcPr>
          <w:p>
            <w:r>
              <w:rPr>
                <w:rFonts w:ascii="Times New Roman" w:eastAsia="Microsoft YaHei"/>
                <w:color w:val="1A2B40"/>
                <w:sz w:val="21"/>
                <w:szCs w:val="21"/>
              </w:rPr>
              <w:t xml:space="preserve">$1.4 billion</w:t>
            </w:r>
          </w:p>
        </w:tc>
        <w:tc>
          <w:tcPr>
            <w:tcW w:type="pct" w:w="18%"/>
            <w:shd w:fill="F0F4F8" w:val="clear"/>
            <w:tcMar>
              <w:top w:type="dxa" w:w="60"/>
              <w:left w:type="dxa" w:w="120"/>
              <w:bottom w:type="dxa" w:w="60"/>
              <w:right w:type="dxa" w:w="120"/>
            </w:tcMar>
          </w:tcPr>
          <w:p>
            <w:r>
              <w:rPr>
                <w:rFonts w:ascii="Times New Roman" w:eastAsia="Microsoft YaHei"/>
                <w:color w:val="1A2B40"/>
                <w:sz w:val="21"/>
                <w:szCs w:val="21"/>
              </w:rPr>
              <w:t xml:space="preserve">~76%</w:t>
            </w:r>
          </w:p>
        </w:tc>
        <w:tc>
          <w:tcPr>
            <w:tcW w:type="pct" w:w="38%"/>
            <w:shd w:fill="F0F4F8" w:val="clear"/>
            <w:tcMar>
              <w:top w:type="dxa" w:w="60"/>
              <w:left w:type="dxa" w:w="120"/>
              <w:bottom w:type="dxa" w:w="60"/>
              <w:right w:type="dxa" w:w="120"/>
            </w:tcMar>
          </w:tcPr>
          <w:p>
            <w:r>
              <w:rPr>
                <w:rFonts w:ascii="Times New Roman" w:eastAsia="Microsoft YaHei"/>
                <w:color w:val="1A2B40"/>
                <w:sz w:val="21"/>
                <w:szCs w:val="21"/>
              </w:rPr>
              <w:t xml:space="preserve">Stable but declining share as Indonesia rises</w:t>
            </w:r>
          </w:p>
        </w:tc>
      </w:tr>
      <w:tr>
        <w:trPr>
          <w:cantSplit/>
        </w:trPr>
        <w:tc>
          <w:tcPr>
            <w:tcW w:type="pct" w:w="22%"/>
            <w:tcMar>
              <w:top w:type="dxa" w:w="60"/>
              <w:left w:type="dxa" w:w="120"/>
              <w:bottom w:type="dxa" w:w="60"/>
              <w:right w:type="dxa" w:w="120"/>
            </w:tcMar>
          </w:tcPr>
          <w:p>
            <w:r>
              <w:rPr>
                <w:rFonts w:ascii="Times New Roman" w:eastAsia="Microsoft YaHei"/>
                <w:color w:val="1A2B40"/>
                <w:sz w:val="21"/>
                <w:szCs w:val="21"/>
              </w:rPr>
              <w:t xml:space="preserve">Indonesia</w:t>
            </w:r>
          </w:p>
        </w:tc>
        <w:tc>
          <w:tcPr>
            <w:tcW w:type="pct" w:w="22%"/>
            <w:tcMar>
              <w:top w:type="dxa" w:w="60"/>
              <w:left w:type="dxa" w:w="120"/>
              <w:bottom w:type="dxa" w:w="60"/>
              <w:right w:type="dxa" w:w="120"/>
            </w:tcMar>
          </w:tcPr>
          <w:p>
            <w:r>
              <w:rPr>
                <w:rFonts w:ascii="Times New Roman" w:eastAsia="Microsoft YaHei"/>
                <w:color w:val="1A2B40"/>
                <w:sz w:val="21"/>
                <w:szCs w:val="21"/>
              </w:rPr>
              <w:t xml:space="preserve">$438 million</w:t>
            </w:r>
          </w:p>
        </w:tc>
        <w:tc>
          <w:tcPr>
            <w:tcW w:type="pct" w:w="18%"/>
            <w:tcMar>
              <w:top w:type="dxa" w:w="60"/>
              <w:left w:type="dxa" w:w="120"/>
              <w:bottom w:type="dxa" w:w="60"/>
              <w:right w:type="dxa" w:w="120"/>
            </w:tcMar>
          </w:tcPr>
          <w:p>
            <w:r>
              <w:rPr>
                <w:rFonts w:ascii="Times New Roman" w:eastAsia="Microsoft YaHei"/>
                <w:color w:val="1A2B40"/>
                <w:sz w:val="21"/>
                <w:szCs w:val="21"/>
              </w:rPr>
              <w:t xml:space="preserve">~24%</w:t>
            </w:r>
          </w:p>
        </w:tc>
        <w:tc>
          <w:tcPr>
            <w:tcW w:type="pct" w:w="38%"/>
            <w:tcMar>
              <w:top w:type="dxa" w:w="60"/>
              <w:left w:type="dxa" w:w="120"/>
              <w:bottom w:type="dxa" w:w="60"/>
              <w:right w:type="dxa" w:w="120"/>
            </w:tcMar>
          </w:tcPr>
          <w:p>
            <w:r>
              <w:rPr>
                <w:rFonts w:ascii="Times New Roman" w:eastAsia="Microsoft YaHei"/>
                <w:color w:val="1A2B40"/>
                <w:sz w:val="21"/>
                <w:szCs w:val="21"/>
              </w:rPr>
              <w:t xml:space="preserve">Surging rapidly (+232% Q1 2026 YoY)</w:t>
            </w:r>
          </w:p>
        </w:tc>
      </w:tr>
      <w:tr>
        <w:trPr>
          <w:cantSplit/>
        </w:trPr>
        <w:tc>
          <w:tcPr>
            <w:tcW w:type="pct" w:w="22%"/>
            <w:shd w:fill="F0F4F8" w:val="clear"/>
            <w:tcMar>
              <w:top w:type="dxa" w:w="60"/>
              <w:left w:type="dxa" w:w="120"/>
              <w:bottom w:type="dxa" w:w="60"/>
              <w:right w:type="dxa" w:w="120"/>
            </w:tcMar>
          </w:tcPr>
          <w:p>
            <w:r>
              <w:rPr>
                <w:rFonts w:ascii="Times New Roman" w:eastAsia="Microsoft YaHei"/>
                <w:color w:val="1A2B40"/>
                <w:sz w:val="21"/>
                <w:szCs w:val="21"/>
              </w:rPr>
              <w:t xml:space="preserve">Japan</w:t>
            </w:r>
          </w:p>
        </w:tc>
        <w:tc>
          <w:tcPr>
            <w:tcW w:type="pct" w:w="22%"/>
            <w:shd w:fill="F0F4F8" w:val="clear"/>
            <w:tcMar>
              <w:top w:type="dxa" w:w="60"/>
              <w:left w:type="dxa" w:w="120"/>
              <w:bottom w:type="dxa" w:w="60"/>
              <w:right w:type="dxa" w:w="120"/>
            </w:tcMar>
          </w:tcPr>
          <w:p>
            <w:r>
              <w:rPr>
                <w:rFonts w:ascii="Times New Roman" w:eastAsia="Microsoft YaHei"/>
                <w:color w:val="1A2B40"/>
                <w:sz w:val="21"/>
                <w:szCs w:val="21"/>
              </w:rPr>
              <w:t xml:space="preserve">$15.4 million</w:t>
            </w:r>
          </w:p>
        </w:tc>
        <w:tc>
          <w:tcPr>
            <w:tcW w:type="pct" w:w="18%"/>
            <w:shd w:fill="F0F4F8" w:val="clear"/>
            <w:tcMar>
              <w:top w:type="dxa" w:w="60"/>
              <w:left w:type="dxa" w:w="120"/>
              <w:bottom w:type="dxa" w:w="60"/>
              <w:right w:type="dxa" w:w="120"/>
            </w:tcMar>
          </w:tcPr>
          <w:p>
            <w:r>
              <w:rPr>
                <w:rFonts w:ascii="Times New Roman" w:eastAsia="Microsoft YaHei"/>
                <w:color w:val="1A2B40"/>
                <w:sz w:val="21"/>
                <w:szCs w:val="21"/>
              </w:rPr>
              <w:t xml:space="preserve">&lt;1%</w:t>
            </w:r>
          </w:p>
        </w:tc>
        <w:tc>
          <w:tcPr>
            <w:tcW w:type="pct" w:w="38%"/>
            <w:shd w:fill="F0F4F8" w:val="clear"/>
            <w:tcMar>
              <w:top w:type="dxa" w:w="60"/>
              <w:left w:type="dxa" w:w="120"/>
              <w:bottom w:type="dxa" w:w="60"/>
              <w:right w:type="dxa" w:w="120"/>
            </w:tcMar>
          </w:tcPr>
          <w:p>
            <w:r>
              <w:rPr>
                <w:rFonts w:ascii="Times New Roman" w:eastAsia="Microsoft YaHei"/>
                <w:color w:val="1A2B40"/>
                <w:sz w:val="21"/>
                <w:szCs w:val="21"/>
              </w:rPr>
              <w:t xml:space="preserve">Niche, high-grade ore for specialty alloys</w:t>
            </w:r>
          </w:p>
        </w:tc>
      </w:tr>
      <w:tr>
        <w:trPr>
          <w:cantSplit/>
        </w:trPr>
        <w:tc>
          <w:tcPr>
            <w:tcW w:type="pct" w:w="22%"/>
            <w:tcMar>
              <w:top w:type="dxa" w:w="60"/>
              <w:left w:type="dxa" w:w="120"/>
              <w:bottom w:type="dxa" w:w="60"/>
              <w:right w:type="dxa" w:w="120"/>
            </w:tcMar>
          </w:tcPr>
          <w:p>
            <w:r>
              <w:rPr>
                <w:rFonts w:ascii="Times New Roman" w:eastAsia="Microsoft YaHei"/>
                <w:color w:val="1A2B40"/>
                <w:sz w:val="21"/>
                <w:szCs w:val="21"/>
              </w:rPr>
              <w:t xml:space="preserve">Others</w:t>
            </w:r>
          </w:p>
        </w:tc>
        <w:tc>
          <w:tcPr>
            <w:tcW w:type="pct" w:w="22%"/>
            <w:tcMar>
              <w:top w:type="dxa" w:w="60"/>
              <w:left w:type="dxa" w:w="120"/>
              <w:bottom w:type="dxa" w:w="60"/>
              <w:right w:type="dxa" w:w="120"/>
            </w:tcMar>
          </w:tcPr>
          <w:p>
            <w:r>
              <w:rPr>
                <w:rFonts w:ascii="Times New Roman" w:eastAsia="Microsoft YaHei"/>
                <w:color w:val="1A2B40"/>
                <w:sz w:val="21"/>
                <w:szCs w:val="21"/>
              </w:rPr>
              <w:t xml:space="preserve">&lt;$5 million</w:t>
            </w:r>
          </w:p>
        </w:tc>
        <w:tc>
          <w:tcPr>
            <w:tcW w:type="pct" w:w="18%"/>
            <w:tcMar>
              <w:top w:type="dxa" w:w="60"/>
              <w:left w:type="dxa" w:w="120"/>
              <w:bottom w:type="dxa" w:w="60"/>
              <w:right w:type="dxa" w:w="120"/>
            </w:tcMar>
          </w:tcPr>
          <w:p>
            <w:r>
              <w:rPr>
                <w:rFonts w:ascii="Times New Roman" w:eastAsia="Microsoft YaHei"/>
                <w:color w:val="1A2B40"/>
                <w:sz w:val="21"/>
                <w:szCs w:val="21"/>
              </w:rPr>
              <w:t xml:space="preserve">&lt;1%</w:t>
            </w:r>
          </w:p>
        </w:tc>
        <w:tc>
          <w:tcPr>
            <w:tcW w:type="pct" w:w="38%"/>
            <w:tcMar>
              <w:top w:type="dxa" w:w="60"/>
              <w:left w:type="dxa" w:w="120"/>
              <w:bottom w:type="dxa" w:w="60"/>
              <w:right w:type="dxa" w:w="120"/>
            </w:tcMar>
          </w:tcPr>
          <w:p>
            <w:r>
              <w:rPr>
                <w:rFonts w:ascii="Times New Roman" w:eastAsia="Microsoft YaHei"/>
                <w:color w:val="1A2B40"/>
                <w:sz w:val="21"/>
                <w:szCs w:val="21"/>
              </w:rPr>
              <w:t xml:space="preserve">Minimal volumes</w:t>
            </w:r>
          </w:p>
        </w:tc>
      </w:tr>
    </w:tbl>
    <w:p>
      <w:pPr>
        <w:spacing w:after="200" w:before="60"/>
      </w:pPr>
      <w:r>
        <w:rPr>
          <w:i/>
          <w:iCs/>
          <w:color w:val="4A6575"/>
          <w:sz w:val="18"/>
          <w:szCs w:val="18"/>
        </w:rPr>
        <w:t xml:space="preserve">Table 1: Philippine Nickel Ore Export Destinations (2024)</w:t>
      </w:r>
    </w:p>
    <w:p>
      <w:pPr>
        <w:spacing w:line="312"/>
        <w:jc w:val="both"/>
      </w:pPr>
      <w:r>
        <w:rPr>
          <w:rFonts w:ascii="Times New Roman" w:eastAsia="Microsoft YaHei"/>
          <w:color w:val="1A2B40"/>
          <w:sz w:val="24"/>
          <w:szCs w:val="24"/>
        </w:rPr>
        <w:t xml:space="preserve">It is important to note that while China’s share of Philippine ore by value was approximately 76% in 2024, by volume the share has historically been over 90% (as reported by Climate Rights International, which found 92% of 3,473 recorded shipments between 2020–2024 went to China). The discrepancy between value and volume shares reflects the fact that Indonesia has been purchasing lower-grade ore at lower prices per tonne compared to Chinese buyers, though this gap is narrowing as Indonesian smelters increasingly require higher-grade feedstock for HPAL operations.</w:t>
      </w:r>
    </w:p>
    <w:p>
      <w:pPr>
        <w:pStyle w:val="Heading1"/>
        <w:spacing w:after="120" w:before="360" w:line="312"/>
      </w:pPr>
      <w:bookmarkStart w:id="100004" w:name="_Toc100004"/>
      <w:r>
        <w:rPr>
          <w:rFonts w:ascii="Times New Roman" w:eastAsia="SimHei"/>
          <w:b/>
          <w:bCs/>
          <w:color w:val="0F2027"/>
        </w:rPr>
        <w:t xml:space="preserve">3. China: The Dominant Buyer Market</w:t>
      </w:r>
      <w:bookmarkEnd w:id="100004"/>
    </w:p>
    <w:p>
      <w:pPr>
        <w:pStyle w:val="Heading2"/>
        <w:spacing w:after="120" w:before="240" w:line="312"/>
      </w:pPr>
      <w:bookmarkStart w:id="100005" w:name="_Toc100005"/>
      <w:r>
        <w:rPr>
          <w:rFonts w:ascii="Times New Roman" w:eastAsia="SimHei"/>
          <w:b/>
          <w:bCs/>
          <w:color w:val="0F2027"/>
        </w:rPr>
        <w:t xml:space="preserve">3.1 Market Overview</w:t>
      </w:r>
      <w:bookmarkEnd w:id="100005"/>
    </w:p>
    <w:p>
      <w:pPr>
        <w:spacing w:line="312"/>
        <w:jc w:val="both"/>
      </w:pPr>
      <w:r>
        <w:rPr>
          <w:rFonts w:ascii="Times New Roman" w:eastAsia="Microsoft YaHei"/>
          <w:color w:val="1A2B40"/>
          <w:sz w:val="24"/>
          <w:szCs w:val="24"/>
        </w:rPr>
        <w:t xml:space="preserve">China is by far the world’s largest nickel ore importing country, with imports valued at approximately $3.5 billion in 2023, representing 68% of total global nickel import value. The country’s dominance in nickel ore procurement is driven by its position as the world’s largest stainless steel producer (accounting for roughly 60% of global output) and its rapidly growing electric vehicle battery sector. China’s nickel ore imports are primarily used for two purposes: the production of nickel pig iron (NPI) for stainless steel, and the production of battery-grade nickel intermediates (such as nickel matte and mixed hydroxide precipitate) for EV batteries.</w:t>
      </w:r>
    </w:p>
    <w:p>
      <w:pPr>
        <w:spacing w:line="312"/>
        <w:jc w:val="both"/>
      </w:pPr>
      <w:r>
        <w:rPr>
          <w:rFonts w:ascii="Times New Roman" w:eastAsia="Microsoft YaHei"/>
          <w:color w:val="1A2B40"/>
          <w:sz w:val="24"/>
          <w:szCs w:val="24"/>
        </w:rPr>
        <w:t xml:space="preserve">Following Indonesia’s implementation of a comprehensive nickel ore export ban in January 2020, the Philippines became China’s primary source of imported nickel ore. Prior to the ban, Indonesia had been China’s largest supplier. Chinese buyers adapted by shifting procurement to Philippine sources, and by investing heavily in Indonesian smelting operations that could process ore locally and export higher-value products. This structural shift created a dual demand channel that Philippine trading companies can serve: direct ore exports to China, and ore transshipment to Indonesia for Chinese-owned smelters there.</w:t>
      </w:r>
    </w:p>
    <w:p>
      <w:pPr>
        <w:pStyle w:val="Heading2"/>
        <w:spacing w:after="120" w:before="240" w:line="312"/>
      </w:pPr>
      <w:bookmarkStart w:id="100006" w:name="_Toc100006"/>
      <w:r>
        <w:rPr>
          <w:rFonts w:ascii="Times New Roman" w:eastAsia="SimHei"/>
          <w:b/>
          <w:bCs/>
          <w:color w:val="0F2027"/>
        </w:rPr>
        <w:t xml:space="preserve">3.2 Key Chinese Buyer Companies</w:t>
      </w:r>
      <w:bookmarkEnd w:id="100006"/>
    </w:p>
    <w:p>
      <w:pPr>
        <w:spacing w:line="312"/>
        <w:jc w:val="both"/>
      </w:pPr>
      <w:r>
        <w:rPr>
          <w:rFonts w:ascii="Times New Roman" w:eastAsia="Microsoft YaHei"/>
          <w:color w:val="1A2B40"/>
          <w:sz w:val="24"/>
          <w:szCs w:val="24"/>
        </w:rPr>
        <w:t xml:space="preserve">The Chinese nickel ore buying market is concentrated among a relatively small number of large industrial groups and trading companies. The following are the most significant players:</w:t>
      </w:r>
    </w:p>
    <w:p>
      <w:pPr>
        <w:spacing w:line="312"/>
        <w:jc w:val="both"/>
      </w:pPr>
      <w:r>
        <w:rPr>
          <w:rFonts w:ascii="Times New Roman" w:eastAsia="SimHei"/>
          <w:b/>
          <w:bCs/>
          <w:color w:val="0F2027"/>
          <w:sz w:val="24"/>
          <w:szCs w:val="24"/>
        </w:rPr>
        <w:t xml:space="preserve">Tsingshan Holding Group</w:t>
      </w:r>
      <w:r>
        <w:rPr>
          <w:rFonts w:ascii="Times New Roman" w:eastAsia="Microsoft YaHei"/>
          <w:color w:val="1A2B40"/>
          <w:sz w:val="24"/>
          <w:szCs w:val="24"/>
        </w:rPr>
        <w:t xml:space="preserve"> — The world’s largest stainless steel producer and the single most important buyer of Philippine nickel ore. Founded in 1992 and headquartered in Wenzhou, Zhejiang Province, Tsingshan pioneered the RKEF technology that made low-grade laterite ore commercially viable for NPI production. The group operates extensive smelting capacity both in China (Fujian and Guangdong provinces) and in Indonesia (at the Indonesia Morowali Industrial Park and Weda Bay Industrial Park). Tsingshan has signed major long-term ore supply contracts, including a notable two-year contract to purchase 2.7 million tonnes of high-grade nickel ore from Singapore-based Silkroad Nickel. For a Philippine trading company, Tsingshan and its affiliated entities represent the single most important target buyer.</w:t>
      </w:r>
    </w:p>
    <w:p>
      <w:pPr>
        <w:spacing w:line="312"/>
        <w:jc w:val="both"/>
      </w:pPr>
      <w:r>
        <w:rPr>
          <w:rFonts w:ascii="Times New Roman" w:eastAsia="SimHei"/>
          <w:b/>
          <w:bCs/>
          <w:color w:val="0F2027"/>
          <w:sz w:val="24"/>
          <w:szCs w:val="24"/>
        </w:rPr>
        <w:t xml:space="preserve">Fujian Zhouchuang Trade Company Limited</w:t>
      </w:r>
      <w:r>
        <w:rPr>
          <w:rFonts w:ascii="Times New Roman" w:eastAsia="Microsoft YaHei"/>
          <w:color w:val="1A2B40"/>
          <w:sz w:val="24"/>
          <w:szCs w:val="24"/>
        </w:rPr>
        <w:t xml:space="preserve"> — Identified by Volza as one of the top verified nickel ore buyers globally. This trading company operates as a procurement intermediary, likely purchasing on behalf of NPI smelters in Fujian Province, which is a major hub for stainless steel and NPI production. Trading intermediaries like Zhouchuang are common in the Chinese nickel supply chain and represent accessible entry points for new suppliers.</w:t>
      </w:r>
    </w:p>
    <w:p>
      <w:pPr>
        <w:spacing w:line="312"/>
        <w:jc w:val="both"/>
      </w:pPr>
      <w:r>
        <w:rPr>
          <w:rFonts w:ascii="Times New Roman" w:eastAsia="SimHei"/>
          <w:b/>
          <w:bCs/>
          <w:color w:val="0F2027"/>
          <w:sz w:val="24"/>
          <w:szCs w:val="24"/>
        </w:rPr>
        <w:t xml:space="preserve">China Nickel Resources and other NPI producers</w:t>
      </w:r>
      <w:r>
        <w:rPr>
          <w:rFonts w:ascii="Times New Roman" w:eastAsia="Microsoft YaHei"/>
          <w:color w:val="1A2B40"/>
          <w:sz w:val="24"/>
          <w:szCs w:val="24"/>
        </w:rPr>
        <w:t xml:space="preserve"> — Several Chinese companies import nickel ore and produce nickel pig iron for steel. These include operators in the Shandong, Jiangsu, and Fujian provinces. While less visible than Tsingshan, these mid-tier buyers collectively represent a substantial volume of nickel ore demand and may offer more flexible procurement terms than the major groups.</w:t>
      </w:r>
    </w:p>
    <w:p>
      <w:pPr>
        <w:spacing w:line="312"/>
        <w:jc w:val="both"/>
      </w:pPr>
      <w:r>
        <w:rPr>
          <w:rFonts w:ascii="Times New Roman" w:eastAsia="SimHei"/>
          <w:b/>
          <w:bCs/>
          <w:color w:val="0F2027"/>
          <w:sz w:val="24"/>
          <w:szCs w:val="24"/>
        </w:rPr>
        <w:t xml:space="preserve">Aquila Nickel PTE Ltd (Singapore-based, Chinese-linked)</w:t>
      </w:r>
      <w:r>
        <w:rPr>
          <w:rFonts w:ascii="Times New Roman" w:eastAsia="Microsoft YaHei"/>
          <w:color w:val="1A2B40"/>
          <w:sz w:val="24"/>
          <w:szCs w:val="24"/>
        </w:rPr>
        <w:t xml:space="preserve"> — Another key buyer identified in Volza’s nickel ore trade analytics. Aquila Nickel operates as a Singapore-registered trading entity that facilitates nickel ore procurement for Chinese end-users. Singapore-based trading entities are commonly used in the nickel ore trade due to favorable tax, legal, and financial infrastructure, and they represent an important category of counterparty for Philippine trading companies.</w:t>
      </w:r>
    </w:p>
    <w:p>
      <w:pPr>
        <w:pStyle w:val="Heading2"/>
        <w:spacing w:after="120" w:before="240" w:line="312"/>
      </w:pPr>
      <w:bookmarkStart w:id="100007" w:name="_Toc100007"/>
      <w:r>
        <w:rPr>
          <w:rFonts w:ascii="Times New Roman" w:eastAsia="SimHei"/>
          <w:b/>
          <w:bCs/>
          <w:color w:val="0F2027"/>
        </w:rPr>
        <w:t xml:space="preserve">3.3 Chinese NPI Smelters as Indirect Buyers</w:t>
      </w:r>
      <w:bookmarkEnd w:id="100007"/>
    </w:p>
    <w:p>
      <w:pPr>
        <w:spacing w:line="312"/>
        <w:jc w:val="both"/>
      </w:pPr>
      <w:r>
        <w:rPr>
          <w:rFonts w:ascii="Times New Roman" w:eastAsia="Microsoft YaHei"/>
          <w:color w:val="1A2B40"/>
          <w:sz w:val="24"/>
          <w:szCs w:val="24"/>
        </w:rPr>
        <w:t xml:space="preserve">Beyond the directly identifiable trading companies, the true end-buyers of Philippine nickel ore are the NPI smelters concentrated along China’s eastern and southern coast. Key smelting hubs include Linyi and Rizhao in Shandong Province, Fuan and Zhangzhou in Fujian Province, and various facilities in Guangdong and Jiangsu. These smelters typically procure ore through a combination of: (1) long-term offtake agreements with major Philippine miners, (2) spot purchases through Chinese and Singapore-based trading companies, and (3) in some cases, direct equity stakes in Philippine mining operations. Understanding this procurement architecture is essential for a trading company seeking to insert itself into the supply chain.</w:t>
      </w:r>
    </w:p>
    <w:p>
      <w:pPr>
        <w:pStyle w:val="Heading1"/>
        <w:spacing w:after="120" w:before="360" w:line="312"/>
      </w:pPr>
      <w:bookmarkStart w:id="100008" w:name="_Toc100008"/>
      <w:r>
        <w:rPr>
          <w:rFonts w:ascii="Times New Roman" w:eastAsia="SimHei"/>
          <w:b/>
          <w:bCs/>
          <w:color w:val="0F2027"/>
        </w:rPr>
        <w:t xml:space="preserve">4. Indonesia: The Emerging Giant Buyer</w:t>
      </w:r>
      <w:bookmarkEnd w:id="100008"/>
    </w:p>
    <w:p>
      <w:pPr>
        <w:pStyle w:val="Heading2"/>
        <w:spacing w:after="120" w:before="240" w:line="312"/>
      </w:pPr>
      <w:bookmarkStart w:id="100009" w:name="_Toc100009"/>
      <w:r>
        <w:rPr>
          <w:rFonts w:ascii="Times New Roman" w:eastAsia="SimHei"/>
          <w:b/>
          <w:bCs/>
          <w:color w:val="0F2027"/>
        </w:rPr>
        <w:t xml:space="preserve">4.1 Indonesia’s Nickel Ore Import Surge</w:t>
      </w:r>
      <w:bookmarkEnd w:id="100009"/>
    </w:p>
    <w:p>
      <w:pPr>
        <w:spacing w:line="312"/>
        <w:jc w:val="both"/>
      </w:pPr>
      <w:r>
        <w:rPr>
          <w:rFonts w:ascii="Times New Roman" w:eastAsia="Microsoft YaHei"/>
          <w:color w:val="1A2B40"/>
          <w:sz w:val="24"/>
          <w:szCs w:val="24"/>
        </w:rPr>
        <w:t xml:space="preserve">In one of the most significant developments in the global nickel market, Indonesia — despite being the world’s largest nickel ore producer — has become a major importer of Philippine nickel ore. This paradoxical situation arose from Indonesia’s own policies: the government imposed strict mining quotas and an export ban on raw nickel ore to encourage domestic processing, but the rapid build-out of smelting capacity (much of it Chinese-owned) outpaced the domestic ore supply. As a result, Indonesian smelters have turned to Philippine ore to fill the gap.</w:t>
      </w:r>
    </w:p>
    <w:p>
      <w:pPr>
        <w:spacing w:line="312"/>
        <w:jc w:val="both"/>
      </w:pPr>
      <w:r>
        <w:rPr>
          <w:rFonts w:ascii="Times New Roman" w:eastAsia="Microsoft YaHei"/>
          <w:color w:val="1A2B40"/>
          <w:sz w:val="24"/>
          <w:szCs w:val="24"/>
        </w:rPr>
        <w:t xml:space="preserve">According to data from the Indonesian Nickel Miners Association (FINI), Indonesia imported 10.4 million tonnes of nickel ore from the Philippines in 2024. This figure surged to approximately 15.84 million tonnes in 2025 (with 97% sourced from the Philippines), and projections suggest imports could reach 30 million tonnes by 2026. In Q1 2026, Indonesian nickel ore imports from the Philippines jumped 232% year-over-year, underscoring the accelerating demand. This trend represents a transformative shift in the nickel ore trade and a major opportunity for Philippine-based trading companies.</w:t>
      </w:r>
    </w:p>
    <w:p>
      <w:pPr>
        <w:pStyle w:val="Heading2"/>
        <w:spacing w:after="120" w:before="240" w:line="312"/>
      </w:pPr>
      <w:bookmarkStart w:id="100010" w:name="_Toc100010"/>
      <w:r>
        <w:rPr>
          <w:rFonts w:ascii="Times New Roman" w:eastAsia="SimHei"/>
          <w:b/>
          <w:bCs/>
          <w:color w:val="0F2027"/>
        </w:rPr>
        <w:t xml:space="preserve">4.2 Key Indonesian Buyer Entities</w:t>
      </w:r>
      <w:bookmarkEnd w:id="100010"/>
    </w:p>
    <w:p>
      <w:pPr>
        <w:spacing w:line="312"/>
        <w:jc w:val="both"/>
      </w:pPr>
      <w:r>
        <w:rPr>
          <w:rFonts w:ascii="Times New Roman" w:eastAsia="Microsoft YaHei"/>
          <w:color w:val="1A2B40"/>
          <w:sz w:val="24"/>
          <w:szCs w:val="24"/>
        </w:rPr>
        <w:t xml:space="preserve">The Indonesian buyers of Philippine nickel ore are primarily the operators of the large integrated smelting parks in Central Sulawesi and North Maluku. These include:</w:t>
      </w:r>
    </w:p>
    <w:p>
      <w:pPr>
        <w:pStyle w:val="ListParagraph"/>
        <w:numPr>
          <w:ilvl w:val="0"/>
          <w:numId w:val="1"/>
        </w:numPr>
        <w:spacing w:line="312"/>
      </w:pPr>
      <w:r>
        <w:rPr>
          <w:rFonts w:ascii="Times New Roman" w:eastAsia="SimHei"/>
          <w:b/>
          <w:bCs/>
          <w:color w:val="0F2027"/>
          <w:sz w:val="24"/>
          <w:szCs w:val="24"/>
        </w:rPr>
        <w:t xml:space="preserve">PT HLI Green Power</w:t>
      </w:r>
      <w:r>
        <w:rPr>
          <w:rFonts w:ascii="Times New Roman" w:eastAsia="Microsoft YaHei"/>
          <w:color w:val="1A2B40"/>
          <w:sz w:val="24"/>
          <w:szCs w:val="24"/>
        </w:rPr>
        <w:t xml:space="preserve"> — A major nickel importing company, ranked #2 globally by Tendata with $260.68 million in nickel imports (3.53% of global share). This entity operates within the Huafei/Tsingshan ecosystem in Indonesia and represents the integrated Chinese-Indonesian smelting operations that are driving ore import demand.</w:t>
      </w:r>
    </w:p>
    <w:p>
      <w:pPr>
        <w:pStyle w:val="ListParagraph"/>
        <w:numPr>
          <w:ilvl w:val="0"/>
          <w:numId w:val="1"/>
        </w:numPr>
        <w:spacing w:line="312"/>
      </w:pPr>
      <w:r>
        <w:rPr>
          <w:rFonts w:ascii="Times New Roman" w:eastAsia="SimHei"/>
          <w:b/>
          <w:bCs/>
          <w:color w:val="0F2027"/>
          <w:sz w:val="24"/>
          <w:szCs w:val="24"/>
        </w:rPr>
        <w:t xml:space="preserve">PT Nadesico Nickel Industry</w:t>
      </w:r>
      <w:r>
        <w:rPr>
          <w:rFonts w:ascii="Times New Roman" w:eastAsia="Microsoft YaHei"/>
          <w:color w:val="1A2B40"/>
          <w:sz w:val="24"/>
          <w:szCs w:val="24"/>
        </w:rPr>
        <w:t xml:space="preserve"> — An Indonesian-registered entity identified in Tendata’s trade database as an active nickel ore buyer. Nadesico operates within one of the major Indonesian smelting parks and procures ore for NPI and ferronickel production.</w:t>
      </w:r>
    </w:p>
    <w:p>
      <w:pPr>
        <w:pStyle w:val="ListParagraph"/>
        <w:numPr>
          <w:ilvl w:val="0"/>
          <w:numId w:val="1"/>
        </w:numPr>
        <w:spacing w:line="312"/>
      </w:pPr>
      <w:r>
        <w:rPr>
          <w:rFonts w:ascii="Times New Roman" w:eastAsia="SimHei"/>
          <w:b/>
          <w:bCs/>
          <w:color w:val="0F2027"/>
          <w:sz w:val="24"/>
          <w:szCs w:val="24"/>
        </w:rPr>
        <w:t xml:space="preserve">PT Nanyang Chemical Technology Indonesia</w:t>
      </w:r>
      <w:r>
        <w:rPr>
          <w:rFonts w:ascii="Times New Roman" w:eastAsia="Microsoft YaHei"/>
          <w:color w:val="1A2B40"/>
          <w:sz w:val="24"/>
          <w:szCs w:val="24"/>
        </w:rPr>
        <w:t xml:space="preserve"> — Identified by Volza as a top nickel ore buyer. This company operates in the chemical processing segment of the nickel supply chain, likely producing nickel sulfate or other battery-grade intermediates that require consistent ore feedstock.</w:t>
      </w:r>
    </w:p>
    <w:p>
      <w:pPr>
        <w:pStyle w:val="ListParagraph"/>
        <w:numPr>
          <w:ilvl w:val="0"/>
          <w:numId w:val="1"/>
        </w:numPr>
        <w:spacing w:line="312"/>
      </w:pPr>
      <w:r>
        <w:rPr>
          <w:rFonts w:ascii="Times New Roman" w:eastAsia="SimHei"/>
          <w:b/>
          <w:bCs/>
          <w:color w:val="0F2027"/>
          <w:sz w:val="24"/>
          <w:szCs w:val="24"/>
        </w:rPr>
        <w:t xml:space="preserve">IMIP (Indonesia Morowali Industrial Park) and IWIP (Indonesia Weda Bay Industrial Park)</w:t>
      </w:r>
      <w:r>
        <w:rPr>
          <w:rFonts w:ascii="Times New Roman" w:eastAsia="Microsoft YaHei"/>
          <w:color w:val="1A2B40"/>
          <w:sz w:val="24"/>
          <w:szCs w:val="24"/>
        </w:rPr>
        <w:t xml:space="preserve"> — These are massive integrated smelting complexes, primarily developed by Chinese companies including Tsingshan, Huayou Cobalt, and others. While they are industrial parks rather than single trading entities, they house dozens of individual smelters that collectively represent enormous nickel ore demand. Several of these smelters have already been importing Philippine ore, and the recently signed Philippines-Indonesia Memorandum of Understanding on nickel cooperation is expected to further facilitate these flows.</w:t>
      </w:r>
    </w:p>
    <w:p>
      <w:pPr>
        <w:pStyle w:val="Heading2"/>
        <w:spacing w:after="120" w:before="240" w:line="312"/>
      </w:pPr>
      <w:bookmarkStart w:id="100011" w:name="_Toc100011"/>
      <w:r>
        <w:rPr>
          <w:rFonts w:ascii="Times New Roman" w:eastAsia="SimHei"/>
          <w:b/>
          <w:bCs/>
          <w:color w:val="0F2027"/>
        </w:rPr>
        <w:t xml:space="preserve">4.3 The Philippines-Indonesia Nickel Corridor</w:t>
      </w:r>
      <w:bookmarkEnd w:id="100011"/>
    </w:p>
    <w:p>
      <w:pPr>
        <w:spacing w:line="312"/>
        <w:jc w:val="both"/>
      </w:pPr>
      <w:r>
        <w:rPr>
          <w:rFonts w:ascii="Times New Roman" w:eastAsia="Microsoft YaHei"/>
          <w:color w:val="1A2B40"/>
          <w:sz w:val="24"/>
          <w:szCs w:val="24"/>
        </w:rPr>
        <w:t xml:space="preserve">In May 2026, the Philippines and Indonesia signed a Memorandum of Understanding to establish a “nickel corridor” that could reshape the global battery supply chain. Under this agreement, Indonesia formally requested increased nickel ore imports from the Philippines to help fulfill demand from domestic smelters affected by mining quota constraints. This government-to-government framework is expected to streamline customs procedures, reduce trade friction, and potentially establish preferential pricing mechanisms for Philippine ore exports to Indonesia. For a Philippines-based trading company, this corridor represents a structural competitive advantage: proximity to the ore source, growing demand from Indonesian smelters, and institutional support for increased trade flows.</w:t>
      </w:r>
    </w:p>
    <w:p>
      <w:pPr>
        <w:pStyle w:val="Heading1"/>
        <w:spacing w:after="120" w:before="360" w:line="312"/>
      </w:pPr>
      <w:bookmarkStart w:id="100012" w:name="_Toc100012"/>
      <w:r>
        <w:rPr>
          <w:rFonts w:ascii="Times New Roman" w:eastAsia="SimHei"/>
          <w:b/>
          <w:bCs/>
          <w:color w:val="0F2027"/>
        </w:rPr>
        <w:t xml:space="preserve">5. Japan and South Korea: Secondary Markets</w:t>
      </w:r>
      <w:bookmarkEnd w:id="100012"/>
    </w:p>
    <w:p>
      <w:pPr>
        <w:pStyle w:val="Heading2"/>
        <w:spacing w:after="120" w:before="240" w:line="312"/>
      </w:pPr>
      <w:bookmarkStart w:id="100013" w:name="_Toc100013"/>
      <w:r>
        <w:rPr>
          <w:rFonts w:ascii="Times New Roman" w:eastAsia="SimHei"/>
          <w:b/>
          <w:bCs/>
          <w:color w:val="0F2027"/>
        </w:rPr>
        <w:t xml:space="preserve">5.1 Japan</w:t>
      </w:r>
      <w:bookmarkEnd w:id="100013"/>
    </w:p>
    <w:p>
      <w:pPr>
        <w:spacing w:line="312"/>
        <w:jc w:val="both"/>
      </w:pPr>
      <w:r>
        <w:rPr>
          <w:rFonts w:ascii="Times New Roman" w:eastAsia="Microsoft YaHei"/>
          <w:color w:val="1A2B40"/>
          <w:sz w:val="24"/>
          <w:szCs w:val="24"/>
        </w:rPr>
        <w:t xml:space="preserve">Japan is the fifth-largest nickel importing nation globally, with nickel imports valued at $107.4 million in 2023 (2.1% of global share). However, Japan’s nickel imports are primarily in refined and semi-finished forms rather than raw ore. Japanese buyers of nickel ore are limited to a small number of specialty smelters and alloy producers. The Philippines exported only $15.4 million in nickel ore to Japan in 2024, reflecting Japan’s preference for higher-grade and processed nickel products. Key Japanese entities in the nickel supply chain include:</w:t>
      </w:r>
    </w:p>
    <w:p>
      <w:pPr>
        <w:pStyle w:val="ListParagraph"/>
        <w:numPr>
          <w:ilvl w:val="0"/>
          <w:numId w:val="1"/>
        </w:numPr>
        <w:spacing w:line="312"/>
      </w:pPr>
      <w:r>
        <w:rPr>
          <w:rFonts w:ascii="Times New Roman" w:eastAsia="SimHei"/>
          <w:b/>
          <w:bCs/>
          <w:color w:val="0F2027"/>
          <w:sz w:val="24"/>
          <w:szCs w:val="24"/>
        </w:rPr>
        <w:t xml:space="preserve">Sumitomo Metal Mining Co., Ltd. (SMM)</w:t>
      </w:r>
      <w:r>
        <w:rPr>
          <w:rFonts w:ascii="Times New Roman" w:eastAsia="Microsoft YaHei"/>
          <w:color w:val="1A2B40"/>
          <w:sz w:val="24"/>
          <w:szCs w:val="24"/>
        </w:rPr>
        <w:t xml:space="preserve"> — A major Japanese mining and smelting company that processes nickel ore at its Niihama and Harima refineries. SMM produces electrolytic nickel, nickel sulfate, and other refined products. While SMM primarily sources from its own mines (including Coral Bay Nickel in the Philippines, a joint venture with Nickel Asia), it may procure supplemental ore on the open market.</w:t>
      </w:r>
    </w:p>
    <w:p>
      <w:pPr>
        <w:pStyle w:val="ListParagraph"/>
        <w:numPr>
          <w:ilvl w:val="0"/>
          <w:numId w:val="1"/>
        </w:numPr>
        <w:spacing w:line="312"/>
      </w:pPr>
      <w:r>
        <w:rPr>
          <w:rFonts w:ascii="Times New Roman" w:eastAsia="SimHei"/>
          <w:b/>
          <w:bCs/>
          <w:color w:val="0F2027"/>
          <w:sz w:val="24"/>
          <w:szCs w:val="24"/>
        </w:rPr>
        <w:t xml:space="preserve">Nippon Steel Corporation</w:t>
      </w:r>
      <w:r>
        <w:rPr>
          <w:rFonts w:ascii="Times New Roman" w:eastAsia="Microsoft YaHei"/>
          <w:color w:val="1A2B40"/>
          <w:sz w:val="24"/>
          <w:szCs w:val="24"/>
        </w:rPr>
        <w:t xml:space="preserve"> — Japan’s largest steelmaker, which uses nickel in specialty steel and alloy production. Nippon Steel has a joint venture with POSCO (PNR — POSCO Nippon Steel RHF) that uses rotary hearth furnace technology to process nickel-containing dust and ore. While not a major direct ore buyer, Nippon Steel’s alloy operations represent a niche demand channel.</w:t>
      </w:r>
    </w:p>
    <w:p>
      <w:pPr>
        <w:pStyle w:val="ListParagraph"/>
        <w:numPr>
          <w:ilvl w:val="0"/>
          <w:numId w:val="1"/>
        </w:numPr>
        <w:spacing w:line="312"/>
      </w:pPr>
      <w:r>
        <w:rPr>
          <w:rFonts w:ascii="Times New Roman" w:eastAsia="SimHei"/>
          <w:b/>
          <w:bCs/>
          <w:color w:val="0F2027"/>
          <w:sz w:val="24"/>
          <w:szCs w:val="24"/>
        </w:rPr>
        <w:t xml:space="preserve">Pacific Metals Co., Ltd. (TAYA)</w:t>
      </w:r>
      <w:r>
        <w:rPr>
          <w:rFonts w:ascii="Times New Roman" w:eastAsia="Microsoft YaHei"/>
          <w:color w:val="1A2B40"/>
          <w:sz w:val="24"/>
          <w:szCs w:val="24"/>
        </w:rPr>
        <w:t xml:space="preserve"> — A ferronickel producer that operates smelters in Miyazaki Prefecture. Pacific Metals processes imported laterite ore to produce ferronickel for stainless steel, and has historically sourced ore from both Indonesia and the Philippines. The company represents a small but consistent direct ore buyer.</w:t>
      </w:r>
    </w:p>
    <w:p>
      <w:pPr>
        <w:pStyle w:val="Heading2"/>
        <w:spacing w:after="120" w:before="240" w:line="312"/>
      </w:pPr>
      <w:bookmarkStart w:id="100014" w:name="_Toc100014"/>
      <w:r>
        <w:rPr>
          <w:rFonts w:ascii="Times New Roman" w:eastAsia="SimHei"/>
          <w:b/>
          <w:bCs/>
          <w:color w:val="0F2027"/>
        </w:rPr>
        <w:t xml:space="preserve">5.2 South Korea</w:t>
      </w:r>
      <w:bookmarkEnd w:id="100014"/>
    </w:p>
    <w:p>
      <w:pPr>
        <w:spacing w:line="312"/>
        <w:jc w:val="both"/>
      </w:pPr>
      <w:r>
        <w:rPr>
          <w:rFonts w:ascii="Times New Roman" w:eastAsia="Microsoft YaHei"/>
          <w:color w:val="1A2B40"/>
          <w:sz w:val="24"/>
          <w:szCs w:val="24"/>
        </w:rPr>
        <w:t xml:space="preserve">South Korea is the third-largest nickel importing nation, with imports valued at $324.9 million in 2023 (6.2% of global share). However, like Japan, South Korea’s imports are overwhelmingly in refined nickel and battery-grade intermediates rather than raw ore. South Korea’s nickel demand is driven primarily by its world-leading battery manufacturing sector. Key entities include:</w:t>
      </w:r>
    </w:p>
    <w:p>
      <w:pPr>
        <w:pStyle w:val="ListParagraph"/>
        <w:numPr>
          <w:ilvl w:val="0"/>
          <w:numId w:val="1"/>
        </w:numPr>
        <w:spacing w:line="312"/>
      </w:pPr>
      <w:r>
        <w:rPr>
          <w:rFonts w:ascii="Times New Roman" w:eastAsia="SimHei"/>
          <w:b/>
          <w:bCs/>
          <w:color w:val="0F2027"/>
          <w:sz w:val="24"/>
          <w:szCs w:val="24"/>
        </w:rPr>
        <w:t xml:space="preserve">POSCO / SNNC (Societe de Nickel de Nouvelle-Caledonie et de Coree)</w:t>
      </w:r>
      <w:r>
        <w:rPr>
          <w:rFonts w:ascii="Times New Roman" w:eastAsia="Microsoft YaHei"/>
          <w:color w:val="1A2B40"/>
          <w:sz w:val="24"/>
          <w:szCs w:val="24"/>
        </w:rPr>
        <w:t xml:space="preserve"> — POSCO Holdings operates SNNC, a joint venture with New Caledonia’s SMSP that operates Korea’s first specialized nickel smelter in Gwangyang. SNNC processes nickel ore from New Caledonia, but could potentially diversify feedstock sources. POSCO is also developing nickel matte production capacity for EV batteries.</w:t>
      </w:r>
    </w:p>
    <w:p>
      <w:pPr>
        <w:pStyle w:val="ListParagraph"/>
        <w:numPr>
          <w:ilvl w:val="0"/>
          <w:numId w:val="1"/>
        </w:numPr>
        <w:spacing w:line="312"/>
      </w:pPr>
      <w:r>
        <w:rPr>
          <w:rFonts w:ascii="Times New Roman" w:eastAsia="SimHei"/>
          <w:b/>
          <w:bCs/>
          <w:color w:val="0F2027"/>
          <w:sz w:val="24"/>
          <w:szCs w:val="24"/>
        </w:rPr>
        <w:t xml:space="preserve">Samsung SDI and LG Energy Solution</w:t>
      </w:r>
      <w:r>
        <w:rPr>
          <w:rFonts w:ascii="Times New Roman" w:eastAsia="Microsoft YaHei"/>
          <w:color w:val="1A2B40"/>
          <w:sz w:val="24"/>
          <w:szCs w:val="24"/>
        </w:rPr>
        <w:t xml:space="preserve"> — These battery manufacturers are among the world’s largest producers of lithium-ion batteries. While they do not directly purchase raw nickel ore, their demand for nickel sulfate and other battery-grade intermediates indirectly drives ore procurement by their upstream suppliers. Tendata data shows LG Energy Solution Wroclaw and Samsung SDI Hungary as significant nickel importers, though they import processed materials, not raw ore.</w:t>
      </w:r>
    </w:p>
    <w:p>
      <w:pPr>
        <w:pStyle w:val="Heading1"/>
        <w:spacing w:after="120" w:before="360" w:line="312"/>
      </w:pPr>
      <w:bookmarkStart w:id="100015" w:name="_Toc100015"/>
      <w:r>
        <w:rPr>
          <w:rFonts w:ascii="Times New Roman" w:eastAsia="SimHei"/>
          <w:b/>
          <w:bCs/>
          <w:color w:val="0F2027"/>
        </w:rPr>
        <w:t xml:space="preserve">6. Global Commodity Trading Houses</w:t>
      </w:r>
      <w:bookmarkEnd w:id="100015"/>
    </w:p>
    <w:p>
      <w:pPr>
        <w:spacing w:line="312"/>
        <w:jc w:val="both"/>
      </w:pPr>
      <w:r>
        <w:rPr>
          <w:rFonts w:ascii="Times New Roman" w:eastAsia="Microsoft YaHei"/>
          <w:color w:val="1A2B40"/>
          <w:sz w:val="24"/>
          <w:szCs w:val="24"/>
        </w:rPr>
        <w:t xml:space="preserve">In addition to end-user smelters and industrial buyers, global commodity trading houses play a significant intermediary role in the nickel ore trade. These firms aggregate supply, provide financing and logistics, and connect Philippine miners with Chinese and Indonesian end-users. For a Philippines-based trading company, these entities can serve as both potential buyers (counterparties for offtake agreements) and potential partners (for joint ventures or co-trading arrangements). Key players include:</w:t>
      </w:r>
    </w:p>
    <w:p>
      <w:pPr>
        <w:pStyle w:val="ListParagraph"/>
        <w:numPr>
          <w:ilvl w:val="0"/>
          <w:numId w:val="1"/>
        </w:numPr>
        <w:spacing w:line="312"/>
      </w:pPr>
      <w:r>
        <w:rPr>
          <w:rFonts w:ascii="Times New Roman" w:eastAsia="SimHei"/>
          <w:b/>
          <w:bCs/>
          <w:color w:val="0F2027"/>
          <w:sz w:val="24"/>
          <w:szCs w:val="24"/>
        </w:rPr>
        <w:t xml:space="preserve">Trafigura PTE Ltd</w:t>
      </w:r>
      <w:r>
        <w:rPr>
          <w:rFonts w:ascii="Times New Roman" w:eastAsia="Microsoft YaHei"/>
          <w:color w:val="1A2B40"/>
          <w:sz w:val="24"/>
          <w:szCs w:val="24"/>
        </w:rPr>
        <w:t xml:space="preserve"> — One of the world’s largest commodity traders and a leading metals and minerals trader. Trafigura’s Singapore-based operations are deeply involved in the Asian nickel trade. The company’s Indian subsidiary, Trafigura India Pvt Ltd, was ranked #4 globally among nickel importing companies by Tendata with $211.76 million in imports (2.87% share). Trafigura provides trade financing, logistics, and risk management services, and is known to be an active participant in the Philippine-Indonesia-China nickel supply chain.</w:t>
      </w:r>
    </w:p>
    <w:p>
      <w:pPr>
        <w:pStyle w:val="ListParagraph"/>
        <w:numPr>
          <w:ilvl w:val="0"/>
          <w:numId w:val="1"/>
        </w:numPr>
        <w:spacing w:line="312"/>
      </w:pPr>
      <w:r>
        <w:rPr>
          <w:rFonts w:ascii="Times New Roman" w:eastAsia="SimHei"/>
          <w:b/>
          <w:bCs/>
          <w:color w:val="0F2027"/>
          <w:sz w:val="24"/>
          <w:szCs w:val="24"/>
        </w:rPr>
        <w:t xml:space="preserve">Glencore International AG</w:t>
      </w:r>
      <w:r>
        <w:rPr>
          <w:rFonts w:ascii="Times New Roman" w:eastAsia="Microsoft YaHei"/>
          <w:color w:val="1A2B40"/>
          <w:sz w:val="24"/>
          <w:szCs w:val="24"/>
        </w:rPr>
        <w:t xml:space="preserve"> — The Swiss-based mining and trading giant. While Glencore recently divested its Philippine copper smelting operation (Pasar) to the Villar family, it remains a major player in the global nickel trade. Glencore’s metals marketing division handles significant nickel volumes and the company has existing relationships with both Chinese and Indonesian counterparties. Glencore is particularly relevant for its expertise in blending, storage, and logistics optimization for bulk ore shipments.</w:t>
      </w:r>
    </w:p>
    <w:p>
      <w:pPr>
        <w:pStyle w:val="ListParagraph"/>
        <w:numPr>
          <w:ilvl w:val="0"/>
          <w:numId w:val="1"/>
        </w:numPr>
        <w:spacing w:line="312"/>
      </w:pPr>
      <w:r>
        <w:rPr>
          <w:rFonts w:ascii="Times New Roman" w:eastAsia="SimHei"/>
          <w:b/>
          <w:bCs/>
          <w:color w:val="0F2027"/>
          <w:sz w:val="24"/>
          <w:szCs w:val="24"/>
        </w:rPr>
        <w:t xml:space="preserve">RTSB GmbH</w:t>
      </w:r>
      <w:r>
        <w:rPr>
          <w:rFonts w:ascii="Times New Roman" w:eastAsia="Microsoft YaHei"/>
          <w:color w:val="1A2B40"/>
          <w:sz w:val="24"/>
          <w:szCs w:val="24"/>
        </w:rPr>
        <w:t xml:space="preserve"> — A German-based trading company identified in Tendata data as a significant nickel importer, particularly in connection with LG Energy Solution’s supply chain. RTSB operates as a supply chain intermediary connecting raw material sources with battery manufacturers in Europe and Asia.</w:t>
      </w:r>
    </w:p>
    <w:p>
      <w:pPr>
        <w:pStyle w:val="ListParagraph"/>
        <w:numPr>
          <w:ilvl w:val="0"/>
          <w:numId w:val="1"/>
        </w:numPr>
        <w:spacing w:line="312"/>
      </w:pPr>
      <w:r>
        <w:rPr>
          <w:rFonts w:ascii="Times New Roman" w:eastAsia="SimHei"/>
          <w:b/>
          <w:bCs/>
          <w:color w:val="0F2027"/>
          <w:sz w:val="24"/>
          <w:szCs w:val="24"/>
        </w:rPr>
        <w:t xml:space="preserve">Mercuria Energy Trading</w:t>
      </w:r>
      <w:r>
        <w:rPr>
          <w:rFonts w:ascii="Times New Roman" w:eastAsia="Microsoft YaHei"/>
          <w:color w:val="1A2B40"/>
          <w:sz w:val="24"/>
          <w:szCs w:val="24"/>
        </w:rPr>
        <w:t xml:space="preserve"> — A Geneva-based trading house that has been expanding its metals trading operations. Mercuria has been reported to be in discussions with Chinese nickel tycoon Xiang Guangda (founder of Tsingshan) regarding aluminum and metals trading partnerships, indicating the firm’s growing presence in the base metals supply chain that includes nickel.</w:t>
      </w:r>
    </w:p>
    <w:p>
      <w:pPr>
        <w:pStyle w:val="Heading1"/>
        <w:spacing w:after="120" w:before="360" w:line="312"/>
      </w:pPr>
      <w:bookmarkStart w:id="100016" w:name="_Toc100016"/>
      <w:r>
        <w:rPr>
          <w:rFonts w:ascii="Times New Roman" w:eastAsia="SimHei"/>
          <w:b/>
          <w:bCs/>
          <w:color w:val="0F2027"/>
        </w:rPr>
        <w:t xml:space="preserve">7. Indian and Other Emerging Buyers</w:t>
      </w:r>
      <w:bookmarkEnd w:id="100016"/>
    </w:p>
    <w:p>
      <w:pPr>
        <w:spacing w:line="312"/>
        <w:jc w:val="both"/>
      </w:pPr>
      <w:r>
        <w:rPr>
          <w:rFonts w:ascii="Times New Roman" w:eastAsia="Microsoft YaHei"/>
          <w:color w:val="1A2B40"/>
          <w:sz w:val="24"/>
          <w:szCs w:val="24"/>
        </w:rPr>
        <w:t xml:space="preserve">India’s stainless steel sector has been growing rapidly, creating new demand for nickel ore and intermediates. Key Indian buyers include:</w:t>
      </w:r>
    </w:p>
    <w:p>
      <w:pPr>
        <w:pStyle w:val="ListParagraph"/>
        <w:numPr>
          <w:ilvl w:val="0"/>
          <w:numId w:val="1"/>
        </w:numPr>
        <w:spacing w:line="312"/>
      </w:pPr>
      <w:r>
        <w:rPr>
          <w:rFonts w:ascii="Times New Roman" w:eastAsia="SimHei"/>
          <w:b/>
          <w:bCs/>
          <w:color w:val="0F2027"/>
          <w:sz w:val="24"/>
          <w:szCs w:val="24"/>
        </w:rPr>
        <w:t xml:space="preserve">Jindal Stainless Limited</w:t>
      </w:r>
      <w:r>
        <w:rPr>
          <w:rFonts w:ascii="Times New Roman" w:eastAsia="Microsoft YaHei"/>
          <w:color w:val="1A2B40"/>
          <w:sz w:val="24"/>
          <w:szCs w:val="24"/>
        </w:rPr>
        <w:t xml:space="preserve"> — The largest stainless steel producer in India and the #1 nickel importing company globally by Tendata’s ranking, with $261.8 million in imports (3.55% share). Jindal Stainless operates large melt shops in Hisar (Haryana) and Jajpur (Odisha) and is actively expanding capacity. The company procures nickel in various forms including NPI, ferronickel, and some direct ore. For a Philippine trading company, Jindal represents a high-potential but competitive buyer, particularly if NPI or partially processed ore can be offered.</w:t>
      </w:r>
    </w:p>
    <w:p>
      <w:pPr>
        <w:pStyle w:val="ListParagraph"/>
        <w:numPr>
          <w:ilvl w:val="0"/>
          <w:numId w:val="1"/>
        </w:numPr>
        <w:spacing w:line="312"/>
      </w:pPr>
      <w:r>
        <w:rPr>
          <w:rFonts w:ascii="Times New Roman" w:eastAsia="SimHei"/>
          <w:b/>
          <w:bCs/>
          <w:color w:val="0F2027"/>
          <w:sz w:val="24"/>
          <w:szCs w:val="24"/>
        </w:rPr>
        <w:t xml:space="preserve">Kothari Metals Ltd</w:t>
      </w:r>
      <w:r>
        <w:rPr>
          <w:rFonts w:ascii="Times New Roman" w:eastAsia="Microsoft YaHei"/>
          <w:color w:val="1A2B40"/>
          <w:sz w:val="24"/>
          <w:szCs w:val="24"/>
        </w:rPr>
        <w:t xml:space="preserve"> — A metals trading company based in India, ranked #7 globally in nickel imports by Tendata with $129.07 million (1.75% share). Kothari Metals operates as an intermediary connecting global nickel sources with Indian end-users, and may be more accessible as a first-time counterparty for a new Philippine trading firm.</w:t>
      </w:r>
    </w:p>
    <w:p>
      <w:pPr>
        <w:spacing w:line="312"/>
        <w:jc w:val="both"/>
      </w:pPr>
      <w:r>
        <w:rPr>
          <w:rFonts w:ascii="Times New Roman" w:eastAsia="Microsoft YaHei"/>
          <w:color w:val="1A2B40"/>
          <w:sz w:val="24"/>
          <w:szCs w:val="24"/>
        </w:rPr>
        <w:t xml:space="preserve">Other emerging buyers include companies in the Dominican Republic (which saw 196.9% growth in nickel imports from 2022–2023), Finland (home to European battery material processing by companies like Umicore and BASF, though these primarily use refined nickel), and the Czech Republic (where automotive and aerospace manufacturers consume nickel alloys). While these markets are smaller and typically prefer refined or semi-finished nickel products, they represent potential diversification opportunities.</w:t>
      </w:r>
    </w:p>
    <w:p>
      <w:pPr>
        <w:pStyle w:val="Heading1"/>
        <w:spacing w:after="120" w:before="360" w:line="312"/>
      </w:pPr>
      <w:bookmarkStart w:id="100017" w:name="_Toc100017"/>
      <w:r>
        <w:rPr>
          <w:rFonts w:ascii="Times New Roman" w:eastAsia="SimHei"/>
          <w:b/>
          <w:bCs/>
          <w:color w:val="0F2027"/>
        </w:rPr>
        <w:t xml:space="preserve">8. Strategic Buyer Segmentation for a Philippine Trading Company</w:t>
      </w:r>
      <w:bookmarkEnd w:id="100017"/>
    </w:p>
    <w:p>
      <w:pPr>
        <w:spacing w:line="312"/>
        <w:jc w:val="both"/>
      </w:pPr>
      <w:r>
        <w:rPr>
          <w:rFonts w:ascii="Times New Roman" w:eastAsia="Microsoft YaHei"/>
          <w:color w:val="1A2B40"/>
          <w:sz w:val="24"/>
          <w:szCs w:val="24"/>
        </w:rPr>
        <w:t xml:space="preserve">Based on our research, we recommend categorizing potential buyers into three tiers based on their relevance, accessibility, and strategic value for a Philippines-based physical commodities trading company:</w:t>
      </w:r>
    </w:p>
    <w:tbl>
      <w:tblPr>
        <w:tblW w:type="pct" w:w="100%"/>
        <w:tblBorders>
          <w:top w:val="single" w:color="D4AF37" w:sz="2"/>
          <w:left w:val="none"/>
          <w:bottom w:val="single" w:color="D4AF37" w:sz="2"/>
          <w:right w:val="none"/>
          <w:insideH w:val="single" w:color="D0D8E0" w:sz="1"/>
          <w:insideV w:val="none"/>
        </w:tblBorders>
      </w:tblPr>
      <w:tblGrid>
        <w:gridCol w:w="100"/>
        <w:gridCol w:w="100"/>
        <w:gridCol w:w="100"/>
        <w:gridCol w:w="100"/>
        <w:gridCol w:w="100"/>
      </w:tblGrid>
      <w:tr>
        <w:trPr>
          <w:cantSplit/>
          <w:tblHeader/>
        </w:trPr>
        <w:tc>
          <w:tcPr>
            <w:tcW w:type="pct" w:w="8%"/>
            <w:shd w:fill="0F2027" w:val="clear"/>
            <w:tcMar>
              <w:top w:type="dxa" w:w="60"/>
              <w:left w:type="dxa" w:w="120"/>
              <w:bottom w:type="dxa" w:w="60"/>
              <w:right w:type="dxa" w:w="120"/>
            </w:tcMar>
          </w:tcPr>
          <w:p>
            <w:r>
              <w:rPr>
                <w:rFonts w:ascii="Times New Roman" w:eastAsia="SimHei"/>
                <w:b/>
                <w:bCs/>
                <w:color w:val="FFFFFF"/>
                <w:sz w:val="21"/>
                <w:szCs w:val="21"/>
              </w:rPr>
              <w:t xml:space="preserve">Tier</w:t>
            </w:r>
          </w:p>
        </w:tc>
        <w:tc>
          <w:tcPr>
            <w:tcW w:type="pct" w:w="20%"/>
            <w:shd w:fill="0F2027" w:val="clear"/>
            <w:tcMar>
              <w:top w:type="dxa" w:w="60"/>
              <w:left w:type="dxa" w:w="120"/>
              <w:bottom w:type="dxa" w:w="60"/>
              <w:right w:type="dxa" w:w="120"/>
            </w:tcMar>
          </w:tcPr>
          <w:p>
            <w:r>
              <w:rPr>
                <w:rFonts w:ascii="Times New Roman" w:eastAsia="SimHei"/>
                <w:b/>
                <w:bCs/>
                <w:color w:val="FFFFFF"/>
                <w:sz w:val="21"/>
                <w:szCs w:val="21"/>
              </w:rPr>
              <w:t xml:space="preserve">Buyer Category</w:t>
            </w:r>
          </w:p>
        </w:tc>
        <w:tc>
          <w:tcPr>
            <w:tcW w:type="pct" w:w="22%"/>
            <w:shd w:fill="0F2027" w:val="clear"/>
            <w:tcMar>
              <w:top w:type="dxa" w:w="60"/>
              <w:left w:type="dxa" w:w="120"/>
              <w:bottom w:type="dxa" w:w="60"/>
              <w:right w:type="dxa" w:w="120"/>
            </w:tcMar>
          </w:tcPr>
          <w:p>
            <w:r>
              <w:rPr>
                <w:rFonts w:ascii="Times New Roman" w:eastAsia="SimHei"/>
                <w:b/>
                <w:bCs/>
                <w:color w:val="FFFFFF"/>
                <w:sz w:val="21"/>
                <w:szCs w:val="21"/>
              </w:rPr>
              <w:t xml:space="preserve">Examples</w:t>
            </w:r>
          </w:p>
        </w:tc>
        <w:tc>
          <w:tcPr>
            <w:tcW w:type="pct" w:w="15%"/>
            <w:shd w:fill="0F2027" w:val="clear"/>
            <w:tcMar>
              <w:top w:type="dxa" w:w="60"/>
              <w:left w:type="dxa" w:w="120"/>
              <w:bottom w:type="dxa" w:w="60"/>
              <w:right w:type="dxa" w:w="120"/>
            </w:tcMar>
          </w:tcPr>
          <w:p>
            <w:r>
              <w:rPr>
                <w:rFonts w:ascii="Times New Roman" w:eastAsia="SimHei"/>
                <w:b/>
                <w:bCs/>
                <w:color w:val="FFFFFF"/>
                <w:sz w:val="21"/>
                <w:szCs w:val="21"/>
              </w:rPr>
              <w:t xml:space="preserve">Strategic Priority</w:t>
            </w:r>
          </w:p>
        </w:tc>
        <w:tc>
          <w:tcPr>
            <w:tcW w:type="pct" w:w="35%"/>
            <w:shd w:fill="0F2027" w:val="clear"/>
            <w:tcMar>
              <w:top w:type="dxa" w:w="60"/>
              <w:left w:type="dxa" w:w="120"/>
              <w:bottom w:type="dxa" w:w="60"/>
              <w:right w:type="dxa" w:w="120"/>
            </w:tcMar>
          </w:tcPr>
          <w:p>
            <w:r>
              <w:rPr>
                <w:rFonts w:ascii="Times New Roman" w:eastAsia="SimHei"/>
                <w:b/>
                <w:bCs/>
                <w:color w:val="FFFFFF"/>
                <w:sz w:val="21"/>
                <w:szCs w:val="21"/>
              </w:rPr>
              <w:t xml:space="preserve">Approach</w:t>
            </w:r>
          </w:p>
        </w:tc>
      </w:tr>
      <w:tr>
        <w:trPr>
          <w:cantSplit/>
        </w:trPr>
        <w:tc>
          <w:tcPr>
            <w:tcW w:type="pct" w:w="8%"/>
            <w:shd w:fill="F0F4F8" w:val="clear"/>
            <w:tcMar>
              <w:top w:type="dxa" w:w="60"/>
              <w:left w:type="dxa" w:w="120"/>
              <w:bottom w:type="dxa" w:w="60"/>
              <w:right w:type="dxa" w:w="120"/>
            </w:tcMar>
          </w:tcPr>
          <w:p>
            <w:r>
              <w:rPr>
                <w:rFonts w:ascii="Times New Roman" w:eastAsia="Microsoft YaHei"/>
                <w:color w:val="1A2B40"/>
                <w:sz w:val="21"/>
                <w:szCs w:val="21"/>
              </w:rPr>
              <w:t xml:space="preserve">Tier 1</w:t>
            </w:r>
          </w:p>
        </w:tc>
        <w:tc>
          <w:tcPr>
            <w:tcW w:type="pct" w:w="20%"/>
            <w:shd w:fill="F0F4F8" w:val="clear"/>
            <w:tcMar>
              <w:top w:type="dxa" w:w="60"/>
              <w:left w:type="dxa" w:w="120"/>
              <w:bottom w:type="dxa" w:w="60"/>
              <w:right w:type="dxa" w:w="120"/>
            </w:tcMar>
          </w:tcPr>
          <w:p>
            <w:r>
              <w:rPr>
                <w:rFonts w:ascii="Times New Roman" w:eastAsia="Microsoft YaHei"/>
                <w:color w:val="1A2B40"/>
                <w:sz w:val="21"/>
                <w:szCs w:val="21"/>
              </w:rPr>
              <w:t xml:space="preserve">Chinese NPI producers and trading intermediaries</w:t>
            </w:r>
          </w:p>
        </w:tc>
        <w:tc>
          <w:tcPr>
            <w:tcW w:type="pct" w:w="22%"/>
            <w:shd w:fill="F0F4F8" w:val="clear"/>
            <w:tcMar>
              <w:top w:type="dxa" w:w="60"/>
              <w:left w:type="dxa" w:w="120"/>
              <w:bottom w:type="dxa" w:w="60"/>
              <w:right w:type="dxa" w:w="120"/>
            </w:tcMar>
          </w:tcPr>
          <w:p>
            <w:r>
              <w:rPr>
                <w:rFonts w:ascii="Times New Roman" w:eastAsia="Microsoft YaHei"/>
                <w:color w:val="1A2B40"/>
                <w:sz w:val="21"/>
                <w:szCs w:val="21"/>
              </w:rPr>
              <w:t xml:space="preserve">Tsingshan, Fujian Zhouchuang, Aquila Nickel</w:t>
            </w:r>
          </w:p>
        </w:tc>
        <w:tc>
          <w:tcPr>
            <w:tcW w:type="pct" w:w="15%"/>
            <w:shd w:fill="F0F4F8" w:val="clear"/>
            <w:tcMar>
              <w:top w:type="dxa" w:w="60"/>
              <w:left w:type="dxa" w:w="120"/>
              <w:bottom w:type="dxa" w:w="60"/>
              <w:right w:type="dxa" w:w="120"/>
            </w:tcMar>
          </w:tcPr>
          <w:p>
            <w:r>
              <w:rPr>
                <w:rFonts w:ascii="Times New Roman" w:eastAsia="Microsoft YaHei"/>
                <w:color w:val="1A2B40"/>
                <w:sz w:val="21"/>
                <w:szCs w:val="21"/>
              </w:rPr>
              <w:t xml:space="preserve">Highest</w:t>
            </w:r>
          </w:p>
        </w:tc>
        <w:tc>
          <w:tcPr>
            <w:tcW w:type="pct" w:w="35%"/>
            <w:shd w:fill="F0F4F8" w:val="clear"/>
            <w:tcMar>
              <w:top w:type="dxa" w:w="60"/>
              <w:left w:type="dxa" w:w="120"/>
              <w:bottom w:type="dxa" w:w="60"/>
              <w:right w:type="dxa" w:w="120"/>
            </w:tcMar>
          </w:tcPr>
          <w:p>
            <w:r>
              <w:rPr>
                <w:rFonts w:ascii="Times New Roman" w:eastAsia="Microsoft YaHei"/>
                <w:color w:val="1A2B40"/>
                <w:sz w:val="21"/>
                <w:szCs w:val="21"/>
              </w:rPr>
              <w:t xml:space="preserve">Direct sales, long-term offtake agreements</w:t>
            </w:r>
          </w:p>
        </w:tc>
      </w:tr>
      <w:tr>
        <w:trPr>
          <w:cantSplit/>
        </w:trPr>
        <w:tc>
          <w:tcPr>
            <w:tcW w:type="pct" w:w="8%"/>
            <w:tcMar>
              <w:top w:type="dxa" w:w="60"/>
              <w:left w:type="dxa" w:w="120"/>
              <w:bottom w:type="dxa" w:w="60"/>
              <w:right w:type="dxa" w:w="120"/>
            </w:tcMar>
          </w:tcPr>
          <w:p>
            <w:r>
              <w:rPr>
                <w:rFonts w:ascii="Times New Roman" w:eastAsia="Microsoft YaHei"/>
                <w:color w:val="1A2B40"/>
                <w:sz w:val="21"/>
                <w:szCs w:val="21"/>
              </w:rPr>
              <w:t xml:space="preserve">Tier 1</w:t>
            </w:r>
          </w:p>
        </w:tc>
        <w:tc>
          <w:tcPr>
            <w:tcW w:type="pct" w:w="20%"/>
            <w:tcMar>
              <w:top w:type="dxa" w:w="60"/>
              <w:left w:type="dxa" w:w="120"/>
              <w:bottom w:type="dxa" w:w="60"/>
              <w:right w:type="dxa" w:w="120"/>
            </w:tcMar>
          </w:tcPr>
          <w:p>
            <w:r>
              <w:rPr>
                <w:rFonts w:ascii="Times New Roman" w:eastAsia="Microsoft YaHei"/>
                <w:color w:val="1A2B40"/>
                <w:sz w:val="21"/>
                <w:szCs w:val="21"/>
              </w:rPr>
              <w:t xml:space="preserve">Indonesian smelters (Chinese-owned parks)</w:t>
            </w:r>
          </w:p>
        </w:tc>
        <w:tc>
          <w:tcPr>
            <w:tcW w:type="pct" w:w="22%"/>
            <w:tcMar>
              <w:top w:type="dxa" w:w="60"/>
              <w:left w:type="dxa" w:w="120"/>
              <w:bottom w:type="dxa" w:w="60"/>
              <w:right w:type="dxa" w:w="120"/>
            </w:tcMar>
          </w:tcPr>
          <w:p>
            <w:r>
              <w:rPr>
                <w:rFonts w:ascii="Times New Roman" w:eastAsia="Microsoft YaHei"/>
                <w:color w:val="1A2B40"/>
                <w:sz w:val="21"/>
                <w:szCs w:val="21"/>
              </w:rPr>
              <w:t xml:space="preserve">PT HLI Green Power, IMIP/IWIP smelters, PT Nadesico</w:t>
            </w:r>
          </w:p>
        </w:tc>
        <w:tc>
          <w:tcPr>
            <w:tcW w:type="pct" w:w="15%"/>
            <w:tcMar>
              <w:top w:type="dxa" w:w="60"/>
              <w:left w:type="dxa" w:w="120"/>
              <w:bottom w:type="dxa" w:w="60"/>
              <w:right w:type="dxa" w:w="120"/>
            </w:tcMar>
          </w:tcPr>
          <w:p>
            <w:r>
              <w:rPr>
                <w:rFonts w:ascii="Times New Roman" w:eastAsia="Microsoft YaHei"/>
                <w:color w:val="1A2B40"/>
                <w:sz w:val="21"/>
                <w:szCs w:val="21"/>
              </w:rPr>
              <w:t xml:space="preserve">Highest</w:t>
            </w:r>
          </w:p>
        </w:tc>
        <w:tc>
          <w:tcPr>
            <w:tcW w:type="pct" w:w="35%"/>
            <w:tcMar>
              <w:top w:type="dxa" w:w="60"/>
              <w:left w:type="dxa" w:w="120"/>
              <w:bottom w:type="dxa" w:w="60"/>
              <w:right w:type="dxa" w:w="120"/>
            </w:tcMar>
          </w:tcPr>
          <w:p>
            <w:r>
              <w:rPr>
                <w:rFonts w:ascii="Times New Roman" w:eastAsia="Microsoft YaHei"/>
                <w:color w:val="1A2B40"/>
                <w:sz w:val="21"/>
                <w:szCs w:val="21"/>
              </w:rPr>
              <w:t xml:space="preserve">Leverage PH-IND nickel corridor; target specific smelters</w:t>
            </w:r>
          </w:p>
        </w:tc>
      </w:tr>
      <w:tr>
        <w:trPr>
          <w:cantSplit/>
        </w:trPr>
        <w:tc>
          <w:tcPr>
            <w:tcW w:type="pct" w:w="8%"/>
            <w:shd w:fill="F0F4F8" w:val="clear"/>
            <w:tcMar>
              <w:top w:type="dxa" w:w="60"/>
              <w:left w:type="dxa" w:w="120"/>
              <w:bottom w:type="dxa" w:w="60"/>
              <w:right w:type="dxa" w:w="120"/>
            </w:tcMar>
          </w:tcPr>
          <w:p>
            <w:r>
              <w:rPr>
                <w:rFonts w:ascii="Times New Roman" w:eastAsia="Microsoft YaHei"/>
                <w:color w:val="1A2B40"/>
                <w:sz w:val="21"/>
                <w:szCs w:val="21"/>
              </w:rPr>
              <w:t xml:space="preserve">Tier 2</w:t>
            </w:r>
          </w:p>
        </w:tc>
        <w:tc>
          <w:tcPr>
            <w:tcW w:type="pct" w:w="20%"/>
            <w:shd w:fill="F0F4F8" w:val="clear"/>
            <w:tcMar>
              <w:top w:type="dxa" w:w="60"/>
              <w:left w:type="dxa" w:w="120"/>
              <w:bottom w:type="dxa" w:w="60"/>
              <w:right w:type="dxa" w:w="120"/>
            </w:tcMar>
          </w:tcPr>
          <w:p>
            <w:r>
              <w:rPr>
                <w:rFonts w:ascii="Times New Roman" w:eastAsia="Microsoft YaHei"/>
                <w:color w:val="1A2B40"/>
                <w:sz w:val="21"/>
                <w:szCs w:val="21"/>
              </w:rPr>
              <w:t xml:space="preserve">Global commodity trading houses</w:t>
            </w:r>
          </w:p>
        </w:tc>
        <w:tc>
          <w:tcPr>
            <w:tcW w:type="pct" w:w="22%"/>
            <w:shd w:fill="F0F4F8" w:val="clear"/>
            <w:tcMar>
              <w:top w:type="dxa" w:w="60"/>
              <w:left w:type="dxa" w:w="120"/>
              <w:bottom w:type="dxa" w:w="60"/>
              <w:right w:type="dxa" w:w="120"/>
            </w:tcMar>
          </w:tcPr>
          <w:p>
            <w:r>
              <w:rPr>
                <w:rFonts w:ascii="Times New Roman" w:eastAsia="Microsoft YaHei"/>
                <w:color w:val="1A2B40"/>
                <w:sz w:val="21"/>
                <w:szCs w:val="21"/>
              </w:rPr>
              <w:t xml:space="preserve">Trafigura, Glencore, RTSB, Mercuria</w:t>
            </w:r>
          </w:p>
        </w:tc>
        <w:tc>
          <w:tcPr>
            <w:tcW w:type="pct" w:w="15%"/>
            <w:shd w:fill="F0F4F8" w:val="clear"/>
            <w:tcMar>
              <w:top w:type="dxa" w:w="60"/>
              <w:left w:type="dxa" w:w="120"/>
              <w:bottom w:type="dxa" w:w="60"/>
              <w:right w:type="dxa" w:w="120"/>
            </w:tcMar>
          </w:tcPr>
          <w:p>
            <w:r>
              <w:rPr>
                <w:rFonts w:ascii="Times New Roman" w:eastAsia="Microsoft YaHei"/>
                <w:color w:val="1A2B40"/>
                <w:sz w:val="21"/>
                <w:szCs w:val="21"/>
              </w:rPr>
              <w:t xml:space="preserve">High</w:t>
            </w:r>
          </w:p>
        </w:tc>
        <w:tc>
          <w:tcPr>
            <w:tcW w:type="pct" w:w="35%"/>
            <w:shd w:fill="F0F4F8" w:val="clear"/>
            <w:tcMar>
              <w:top w:type="dxa" w:w="60"/>
              <w:left w:type="dxa" w:w="120"/>
              <w:bottom w:type="dxa" w:w="60"/>
              <w:right w:type="dxa" w:w="120"/>
            </w:tcMar>
          </w:tcPr>
          <w:p>
            <w:r>
              <w:rPr>
                <w:rFonts w:ascii="Times New Roman" w:eastAsia="Microsoft YaHei"/>
                <w:color w:val="1A2B40"/>
                <w:sz w:val="21"/>
                <w:szCs w:val="21"/>
              </w:rPr>
              <w:t xml:space="preserve">Partnership/joint venture; co-trading and financing</w:t>
            </w:r>
          </w:p>
        </w:tc>
      </w:tr>
      <w:tr>
        <w:trPr>
          <w:cantSplit/>
        </w:trPr>
        <w:tc>
          <w:tcPr>
            <w:tcW w:type="pct" w:w="8%"/>
            <w:tcMar>
              <w:top w:type="dxa" w:w="60"/>
              <w:left w:type="dxa" w:w="120"/>
              <w:bottom w:type="dxa" w:w="60"/>
              <w:right w:type="dxa" w:w="120"/>
            </w:tcMar>
          </w:tcPr>
          <w:p>
            <w:r>
              <w:rPr>
                <w:rFonts w:ascii="Times New Roman" w:eastAsia="Microsoft YaHei"/>
                <w:color w:val="1A2B40"/>
                <w:sz w:val="21"/>
                <w:szCs w:val="21"/>
              </w:rPr>
              <w:t xml:space="preserve">Tier 2</w:t>
            </w:r>
          </w:p>
        </w:tc>
        <w:tc>
          <w:tcPr>
            <w:tcW w:type="pct" w:w="20%"/>
            <w:tcMar>
              <w:top w:type="dxa" w:w="60"/>
              <w:left w:type="dxa" w:w="120"/>
              <w:bottom w:type="dxa" w:w="60"/>
              <w:right w:type="dxa" w:w="120"/>
            </w:tcMar>
          </w:tcPr>
          <w:p>
            <w:r>
              <w:rPr>
                <w:rFonts w:ascii="Times New Roman" w:eastAsia="Microsoft YaHei"/>
                <w:color w:val="1A2B40"/>
                <w:sz w:val="21"/>
                <w:szCs w:val="21"/>
              </w:rPr>
              <w:t xml:space="preserve">Indian stainless steel producers</w:t>
            </w:r>
          </w:p>
        </w:tc>
        <w:tc>
          <w:tcPr>
            <w:tcW w:type="pct" w:w="22%"/>
            <w:tcMar>
              <w:top w:type="dxa" w:w="60"/>
              <w:left w:type="dxa" w:w="120"/>
              <w:bottom w:type="dxa" w:w="60"/>
              <w:right w:type="dxa" w:w="120"/>
            </w:tcMar>
          </w:tcPr>
          <w:p>
            <w:r>
              <w:rPr>
                <w:rFonts w:ascii="Times New Roman" w:eastAsia="Microsoft YaHei"/>
                <w:color w:val="1A2B40"/>
                <w:sz w:val="21"/>
                <w:szCs w:val="21"/>
              </w:rPr>
              <w:t xml:space="preserve">Jindal Stainless, Kothari Metals</w:t>
            </w:r>
          </w:p>
        </w:tc>
        <w:tc>
          <w:tcPr>
            <w:tcW w:type="pct" w:w="15%"/>
            <w:tcMar>
              <w:top w:type="dxa" w:w="60"/>
              <w:left w:type="dxa" w:w="120"/>
              <w:bottom w:type="dxa" w:w="60"/>
              <w:right w:type="dxa" w:w="120"/>
            </w:tcMar>
          </w:tcPr>
          <w:p>
            <w:r>
              <w:rPr>
                <w:rFonts w:ascii="Times New Roman" w:eastAsia="Microsoft YaHei"/>
                <w:color w:val="1A2B40"/>
                <w:sz w:val="21"/>
                <w:szCs w:val="21"/>
              </w:rPr>
              <w:t xml:space="preserve">Medium-High</w:t>
            </w:r>
          </w:p>
        </w:tc>
        <w:tc>
          <w:tcPr>
            <w:tcW w:type="pct" w:w="35%"/>
            <w:tcMar>
              <w:top w:type="dxa" w:w="60"/>
              <w:left w:type="dxa" w:w="120"/>
              <w:bottom w:type="dxa" w:w="60"/>
              <w:right w:type="dxa" w:w="120"/>
            </w:tcMar>
          </w:tcPr>
          <w:p>
            <w:r>
              <w:rPr>
                <w:rFonts w:ascii="Times New Roman" w:eastAsia="Microsoft YaHei"/>
                <w:color w:val="1A2B40"/>
                <w:sz w:val="21"/>
                <w:szCs w:val="21"/>
              </w:rPr>
              <w:t xml:space="preserve">NPI/ferro-nickel sales; require processing first</w:t>
            </w:r>
          </w:p>
        </w:tc>
      </w:tr>
      <w:tr>
        <w:trPr>
          <w:cantSplit/>
        </w:trPr>
        <w:tc>
          <w:tcPr>
            <w:tcW w:type="pct" w:w="8%"/>
            <w:shd w:fill="F0F4F8" w:val="clear"/>
            <w:tcMar>
              <w:top w:type="dxa" w:w="60"/>
              <w:left w:type="dxa" w:w="120"/>
              <w:bottom w:type="dxa" w:w="60"/>
              <w:right w:type="dxa" w:w="120"/>
            </w:tcMar>
          </w:tcPr>
          <w:p>
            <w:r>
              <w:rPr>
                <w:rFonts w:ascii="Times New Roman" w:eastAsia="Microsoft YaHei"/>
                <w:color w:val="1A2B40"/>
                <w:sz w:val="21"/>
                <w:szCs w:val="21"/>
              </w:rPr>
              <w:t xml:space="preserve">Tier 3</w:t>
            </w:r>
          </w:p>
        </w:tc>
        <w:tc>
          <w:tcPr>
            <w:tcW w:type="pct" w:w="20%"/>
            <w:shd w:fill="F0F4F8" w:val="clear"/>
            <w:tcMar>
              <w:top w:type="dxa" w:w="60"/>
              <w:left w:type="dxa" w:w="120"/>
              <w:bottom w:type="dxa" w:w="60"/>
              <w:right w:type="dxa" w:w="120"/>
            </w:tcMar>
          </w:tcPr>
          <w:p>
            <w:r>
              <w:rPr>
                <w:rFonts w:ascii="Times New Roman" w:eastAsia="Microsoft YaHei"/>
                <w:color w:val="1A2B40"/>
                <w:sz w:val="21"/>
                <w:szCs w:val="21"/>
              </w:rPr>
              <w:t xml:space="preserve">Japanese specialty smelters</w:t>
            </w:r>
          </w:p>
        </w:tc>
        <w:tc>
          <w:tcPr>
            <w:tcW w:type="pct" w:w="22%"/>
            <w:shd w:fill="F0F4F8" w:val="clear"/>
            <w:tcMar>
              <w:top w:type="dxa" w:w="60"/>
              <w:left w:type="dxa" w:w="120"/>
              <w:bottom w:type="dxa" w:w="60"/>
              <w:right w:type="dxa" w:w="120"/>
            </w:tcMar>
          </w:tcPr>
          <w:p>
            <w:r>
              <w:rPr>
                <w:rFonts w:ascii="Times New Roman" w:eastAsia="Microsoft YaHei"/>
                <w:color w:val="1A2B40"/>
                <w:sz w:val="21"/>
                <w:szCs w:val="21"/>
              </w:rPr>
              <w:t xml:space="preserve">Sumitomo Metal Mining, Pacific Metals</w:t>
            </w:r>
          </w:p>
        </w:tc>
        <w:tc>
          <w:tcPr>
            <w:tcW w:type="pct" w:w="15%"/>
            <w:shd w:fill="F0F4F8" w:val="clear"/>
            <w:tcMar>
              <w:top w:type="dxa" w:w="60"/>
              <w:left w:type="dxa" w:w="120"/>
              <w:bottom w:type="dxa" w:w="60"/>
              <w:right w:type="dxa" w:w="120"/>
            </w:tcMar>
          </w:tcPr>
          <w:p>
            <w:r>
              <w:rPr>
                <w:rFonts w:ascii="Times New Roman" w:eastAsia="Microsoft YaHei"/>
                <w:color w:val="1A2B40"/>
                <w:sz w:val="21"/>
                <w:szCs w:val="21"/>
              </w:rPr>
              <w:t xml:space="preserve">Medium</w:t>
            </w:r>
          </w:p>
        </w:tc>
        <w:tc>
          <w:tcPr>
            <w:tcW w:type="pct" w:w="35%"/>
            <w:shd w:fill="F0F4F8" w:val="clear"/>
            <w:tcMar>
              <w:top w:type="dxa" w:w="60"/>
              <w:left w:type="dxa" w:w="120"/>
              <w:bottom w:type="dxa" w:w="60"/>
              <w:right w:type="dxa" w:w="120"/>
            </w:tcMar>
          </w:tcPr>
          <w:p>
            <w:r>
              <w:rPr>
                <w:rFonts w:ascii="Times New Roman" w:eastAsia="Microsoft YaHei"/>
                <w:color w:val="1A2B40"/>
                <w:sz w:val="21"/>
                <w:szCs w:val="21"/>
              </w:rPr>
              <w:t xml:space="preserve">Niche, high-grade ore; small volumes</w:t>
            </w:r>
          </w:p>
        </w:tc>
      </w:tr>
      <w:tr>
        <w:trPr>
          <w:cantSplit/>
        </w:trPr>
        <w:tc>
          <w:tcPr>
            <w:tcW w:type="pct" w:w="8%"/>
            <w:tcMar>
              <w:top w:type="dxa" w:w="60"/>
              <w:left w:type="dxa" w:w="120"/>
              <w:bottom w:type="dxa" w:w="60"/>
              <w:right w:type="dxa" w:w="120"/>
            </w:tcMar>
          </w:tcPr>
          <w:p>
            <w:r>
              <w:rPr>
                <w:rFonts w:ascii="Times New Roman" w:eastAsia="Microsoft YaHei"/>
                <w:color w:val="1A2B40"/>
                <w:sz w:val="21"/>
                <w:szCs w:val="21"/>
              </w:rPr>
              <w:t xml:space="preserve">Tier 3</w:t>
            </w:r>
          </w:p>
        </w:tc>
        <w:tc>
          <w:tcPr>
            <w:tcW w:type="pct" w:w="20%"/>
            <w:tcMar>
              <w:top w:type="dxa" w:w="60"/>
              <w:left w:type="dxa" w:w="120"/>
              <w:bottom w:type="dxa" w:w="60"/>
              <w:right w:type="dxa" w:w="120"/>
            </w:tcMar>
          </w:tcPr>
          <w:p>
            <w:r>
              <w:rPr>
                <w:rFonts w:ascii="Times New Roman" w:eastAsia="Microsoft YaHei"/>
                <w:color w:val="1A2B40"/>
                <w:sz w:val="21"/>
                <w:szCs w:val="21"/>
              </w:rPr>
              <w:t xml:space="preserve">Korean battery supply chain</w:t>
            </w:r>
          </w:p>
        </w:tc>
        <w:tc>
          <w:tcPr>
            <w:tcW w:type="pct" w:w="22%"/>
            <w:tcMar>
              <w:top w:type="dxa" w:w="60"/>
              <w:left w:type="dxa" w:w="120"/>
              <w:bottom w:type="dxa" w:w="60"/>
              <w:right w:type="dxa" w:w="120"/>
            </w:tcMar>
          </w:tcPr>
          <w:p>
            <w:r>
              <w:rPr>
                <w:rFonts w:ascii="Times New Roman" w:eastAsia="Microsoft YaHei"/>
                <w:color w:val="1A2B40"/>
                <w:sz w:val="21"/>
                <w:szCs w:val="21"/>
              </w:rPr>
              <w:t xml:space="preserve">POSCO/SNNC, Samsung SDI upstream</w:t>
            </w:r>
          </w:p>
        </w:tc>
        <w:tc>
          <w:tcPr>
            <w:tcW w:type="pct" w:w="15%"/>
            <w:tcMar>
              <w:top w:type="dxa" w:w="60"/>
              <w:left w:type="dxa" w:w="120"/>
              <w:bottom w:type="dxa" w:w="60"/>
              <w:right w:type="dxa" w:w="120"/>
            </w:tcMar>
          </w:tcPr>
          <w:p>
            <w:r>
              <w:rPr>
                <w:rFonts w:ascii="Times New Roman" w:eastAsia="Microsoft YaHei"/>
                <w:color w:val="1A2B40"/>
                <w:sz w:val="21"/>
                <w:szCs w:val="21"/>
              </w:rPr>
              <w:t xml:space="preserve">Medium</w:t>
            </w:r>
          </w:p>
        </w:tc>
        <w:tc>
          <w:tcPr>
            <w:tcW w:type="pct" w:w="35%"/>
            <w:tcMar>
              <w:top w:type="dxa" w:w="60"/>
              <w:left w:type="dxa" w:w="120"/>
              <w:bottom w:type="dxa" w:w="60"/>
              <w:right w:type="dxa" w:w="120"/>
            </w:tcMar>
          </w:tcPr>
          <w:p>
            <w:r>
              <w:rPr>
                <w:rFonts w:ascii="Times New Roman" w:eastAsia="Microsoft YaHei"/>
                <w:color w:val="1A2B40"/>
                <w:sz w:val="21"/>
                <w:szCs w:val="21"/>
              </w:rPr>
              <w:t xml:space="preserve">Indirect; through intermediaries or battery-grade products</w:t>
            </w:r>
          </w:p>
        </w:tc>
      </w:tr>
      <w:tr>
        <w:trPr>
          <w:cantSplit/>
        </w:trPr>
        <w:tc>
          <w:tcPr>
            <w:tcW w:type="pct" w:w="8%"/>
            <w:shd w:fill="F0F4F8" w:val="clear"/>
            <w:tcMar>
              <w:top w:type="dxa" w:w="60"/>
              <w:left w:type="dxa" w:w="120"/>
              <w:bottom w:type="dxa" w:w="60"/>
              <w:right w:type="dxa" w:w="120"/>
            </w:tcMar>
          </w:tcPr>
          <w:p>
            <w:r>
              <w:rPr>
                <w:rFonts w:ascii="Times New Roman" w:eastAsia="Microsoft YaHei"/>
                <w:color w:val="1A2B40"/>
                <w:sz w:val="21"/>
                <w:szCs w:val="21"/>
              </w:rPr>
              <w:t xml:space="preserve">Tier 3</w:t>
            </w:r>
          </w:p>
        </w:tc>
        <w:tc>
          <w:tcPr>
            <w:tcW w:type="pct" w:w="20%"/>
            <w:shd w:fill="F0F4F8" w:val="clear"/>
            <w:tcMar>
              <w:top w:type="dxa" w:w="60"/>
              <w:left w:type="dxa" w:w="120"/>
              <w:bottom w:type="dxa" w:w="60"/>
              <w:right w:type="dxa" w:w="120"/>
            </w:tcMar>
          </w:tcPr>
          <w:p>
            <w:r>
              <w:rPr>
                <w:rFonts w:ascii="Times New Roman" w:eastAsia="Microsoft YaHei"/>
                <w:color w:val="1A2B40"/>
                <w:sz w:val="21"/>
                <w:szCs w:val="21"/>
              </w:rPr>
              <w:t xml:space="preserve">European battery material processors</w:t>
            </w:r>
          </w:p>
        </w:tc>
        <w:tc>
          <w:tcPr>
            <w:tcW w:type="pct" w:w="22%"/>
            <w:shd w:fill="F0F4F8" w:val="clear"/>
            <w:tcMar>
              <w:top w:type="dxa" w:w="60"/>
              <w:left w:type="dxa" w:w="120"/>
              <w:bottom w:type="dxa" w:w="60"/>
              <w:right w:type="dxa" w:w="120"/>
            </w:tcMar>
          </w:tcPr>
          <w:p>
            <w:r>
              <w:rPr>
                <w:rFonts w:ascii="Times New Roman" w:eastAsia="Microsoft YaHei"/>
                <w:color w:val="1A2B40"/>
                <w:sz w:val="21"/>
                <w:szCs w:val="21"/>
              </w:rPr>
              <w:t xml:space="preserve">Umicore, BASF, Northvolt suppliers</w:t>
            </w:r>
          </w:p>
        </w:tc>
        <w:tc>
          <w:tcPr>
            <w:tcW w:type="pct" w:w="15%"/>
            <w:shd w:fill="F0F4F8" w:val="clear"/>
            <w:tcMar>
              <w:top w:type="dxa" w:w="60"/>
              <w:left w:type="dxa" w:w="120"/>
              <w:bottom w:type="dxa" w:w="60"/>
              <w:right w:type="dxa" w:w="120"/>
            </w:tcMar>
          </w:tcPr>
          <w:p>
            <w:r>
              <w:rPr>
                <w:rFonts w:ascii="Times New Roman" w:eastAsia="Microsoft YaHei"/>
                <w:color w:val="1A2B40"/>
                <w:sz w:val="21"/>
                <w:szCs w:val="21"/>
              </w:rPr>
              <w:t xml:space="preserve">Lower</w:t>
            </w:r>
          </w:p>
        </w:tc>
        <w:tc>
          <w:tcPr>
            <w:tcW w:type="pct" w:w="35%"/>
            <w:shd w:fill="F0F4F8" w:val="clear"/>
            <w:tcMar>
              <w:top w:type="dxa" w:w="60"/>
              <w:left w:type="dxa" w:w="120"/>
              <w:bottom w:type="dxa" w:w="60"/>
              <w:right w:type="dxa" w:w="120"/>
            </w:tcMar>
          </w:tcPr>
          <w:p>
            <w:r>
              <w:rPr>
                <w:rFonts w:ascii="Times New Roman" w:eastAsia="Microsoft YaHei"/>
                <w:color w:val="1A2B40"/>
                <w:sz w:val="21"/>
                <w:szCs w:val="21"/>
              </w:rPr>
              <w:t xml:space="preserve">Long-term opportunity; require refined/intermediate products</w:t>
            </w:r>
          </w:p>
        </w:tc>
      </w:tr>
    </w:tbl>
    <w:p>
      <w:pPr>
        <w:spacing w:after="200" w:before="60"/>
      </w:pPr>
      <w:r>
        <w:rPr>
          <w:i/>
          <w:iCs/>
          <w:color w:val="4A6575"/>
          <w:sz w:val="18"/>
          <w:szCs w:val="18"/>
        </w:rPr>
        <w:t xml:space="preserve">Table 2: Strategic Buyer Segmentation Matrix</w:t>
      </w:r>
    </w:p>
    <w:p>
      <w:pPr>
        <w:pStyle w:val="Heading1"/>
        <w:spacing w:after="120" w:before="360" w:line="312"/>
      </w:pPr>
      <w:bookmarkStart w:id="100018" w:name="_Toc100018"/>
      <w:r>
        <w:rPr>
          <w:rFonts w:ascii="Times New Roman" w:eastAsia="SimHei"/>
          <w:b/>
          <w:bCs/>
          <w:color w:val="0F2027"/>
        </w:rPr>
        <w:t xml:space="preserve">9. Key Trade Flow Data and Pricing Context</w:t>
      </w:r>
      <w:bookmarkEnd w:id="100018"/>
    </w:p>
    <w:p>
      <w:pPr>
        <w:spacing w:line="312"/>
        <w:jc w:val="both"/>
      </w:pPr>
      <w:r>
        <w:rPr>
          <w:rFonts w:ascii="Times New Roman" w:eastAsia="Microsoft YaHei"/>
          <w:color w:val="1A2B40"/>
          <w:sz w:val="24"/>
          <w:szCs w:val="24"/>
        </w:rPr>
        <w:t xml:space="preserve">Understanding pricing dynamics is essential for trading profitability. Philippine nickel ore is typically priced on a CIF (Cost, Insurance, and Freight) basis to Chinese and Indonesian ports. As of mid-2026, key pricing benchmarks include:</w:t>
      </w:r>
    </w:p>
    <w:tbl>
      <w:tblPr>
        <w:tblW w:type="pct" w:w="100%"/>
        <w:tblBorders>
          <w:top w:val="single" w:color="D4AF37" w:sz="2"/>
          <w:left w:val="none"/>
          <w:bottom w:val="single" w:color="D4AF37" w:sz="2"/>
          <w:right w:val="none"/>
          <w:insideH w:val="single" w:color="D0D8E0" w:sz="1"/>
          <w:insideV w:val="none"/>
        </w:tblBorders>
      </w:tblPr>
      <w:tblGrid>
        <w:gridCol w:w="100"/>
        <w:gridCol w:w="100"/>
        <w:gridCol w:w="100"/>
        <w:gridCol w:w="100"/>
      </w:tblGrid>
      <w:tr>
        <w:trPr>
          <w:cantSplit/>
          <w:tblHeader/>
        </w:trPr>
        <w:tc>
          <w:tcPr>
            <w:tcW w:type="pct" w:w="18%"/>
            <w:shd w:fill="0F2027" w:val="clear"/>
            <w:tcMar>
              <w:top w:type="dxa" w:w="60"/>
              <w:left w:type="dxa" w:w="120"/>
              <w:bottom w:type="dxa" w:w="60"/>
              <w:right w:type="dxa" w:w="120"/>
            </w:tcMar>
          </w:tcPr>
          <w:p>
            <w:r>
              <w:rPr>
                <w:rFonts w:ascii="Times New Roman" w:eastAsia="SimHei"/>
                <w:b/>
                <w:bCs/>
                <w:color w:val="FFFFFF"/>
                <w:sz w:val="21"/>
                <w:szCs w:val="21"/>
              </w:rPr>
              <w:t xml:space="preserve">Ore Grade</w:t>
            </w:r>
          </w:p>
        </w:tc>
        <w:tc>
          <w:tcPr>
            <w:tcW w:type="pct" w:w="25%"/>
            <w:shd w:fill="0F2027" w:val="clear"/>
            <w:tcMar>
              <w:top w:type="dxa" w:w="60"/>
              <w:left w:type="dxa" w:w="120"/>
              <w:bottom w:type="dxa" w:w="60"/>
              <w:right w:type="dxa" w:w="120"/>
            </w:tcMar>
          </w:tcPr>
          <w:p>
            <w:r>
              <w:rPr>
                <w:rFonts w:ascii="Times New Roman" w:eastAsia="SimHei"/>
                <w:b/>
                <w:bCs/>
                <w:color w:val="FFFFFF"/>
                <w:sz w:val="21"/>
                <w:szCs w:val="21"/>
              </w:rPr>
              <w:t xml:space="preserve">Destination</w:t>
            </w:r>
          </w:p>
        </w:tc>
        <w:tc>
          <w:tcPr>
            <w:tcW w:type="pct" w:w="25%"/>
            <w:shd w:fill="0F2027" w:val="clear"/>
            <w:tcMar>
              <w:top w:type="dxa" w:w="60"/>
              <w:left w:type="dxa" w:w="120"/>
              <w:bottom w:type="dxa" w:w="60"/>
              <w:right w:type="dxa" w:w="120"/>
            </w:tcMar>
          </w:tcPr>
          <w:p>
            <w:r>
              <w:rPr>
                <w:rFonts w:ascii="Times New Roman" w:eastAsia="SimHei"/>
                <w:b/>
                <w:bCs/>
                <w:color w:val="FFFFFF"/>
                <w:sz w:val="21"/>
                <w:szCs w:val="21"/>
              </w:rPr>
              <w:t xml:space="preserve">CIF Price (USD/wmt)</w:t>
            </w:r>
          </w:p>
        </w:tc>
        <w:tc>
          <w:tcPr>
            <w:tcW w:type="pct" w:w="32%"/>
            <w:shd w:fill="0F2027" w:val="clear"/>
            <w:tcMar>
              <w:top w:type="dxa" w:w="60"/>
              <w:left w:type="dxa" w:w="120"/>
              <w:bottom w:type="dxa" w:w="60"/>
              <w:right w:type="dxa" w:w="120"/>
            </w:tcMar>
          </w:tcPr>
          <w:p>
            <w:r>
              <w:rPr>
                <w:rFonts w:ascii="Times New Roman" w:eastAsia="SimHei"/>
                <w:b/>
                <w:bCs/>
                <w:color w:val="FFFFFF"/>
                <w:sz w:val="21"/>
                <w:szCs w:val="21"/>
              </w:rPr>
              <w:t xml:space="preserve">Key Observation</w:t>
            </w:r>
          </w:p>
        </w:tc>
      </w:tr>
      <w:tr>
        <w:trPr>
          <w:cantSplit/>
        </w:trPr>
        <w:tc>
          <w:tcPr>
            <w:tcW w:type="pct" w:w="18%"/>
            <w:shd w:fill="F0F4F8" w:val="clear"/>
            <w:tcMar>
              <w:top w:type="dxa" w:w="60"/>
              <w:left w:type="dxa" w:w="120"/>
              <w:bottom w:type="dxa" w:w="60"/>
              <w:right w:type="dxa" w:w="120"/>
            </w:tcMar>
          </w:tcPr>
          <w:p>
            <w:r>
              <w:rPr>
                <w:rFonts w:ascii="Times New Roman" w:eastAsia="Microsoft YaHei"/>
                <w:color w:val="1A2B40"/>
                <w:sz w:val="21"/>
                <w:szCs w:val="21"/>
              </w:rPr>
              <w:t xml:space="preserve">Ni 1.4%</w:t>
            </w:r>
          </w:p>
        </w:tc>
        <w:tc>
          <w:tcPr>
            <w:tcW w:type="pct" w:w="25%"/>
            <w:shd w:fill="F0F4F8" w:val="clear"/>
            <w:tcMar>
              <w:top w:type="dxa" w:w="60"/>
              <w:left w:type="dxa" w:w="120"/>
              <w:bottom w:type="dxa" w:w="60"/>
              <w:right w:type="dxa" w:w="120"/>
            </w:tcMar>
          </w:tcPr>
          <w:p>
            <w:r>
              <w:rPr>
                <w:rFonts w:ascii="Times New Roman" w:eastAsia="Microsoft YaHei"/>
                <w:color w:val="1A2B40"/>
                <w:sz w:val="21"/>
                <w:szCs w:val="21"/>
              </w:rPr>
              <w:t xml:space="preserve">China (major ports)</w:t>
            </w:r>
          </w:p>
        </w:tc>
        <w:tc>
          <w:tcPr>
            <w:tcW w:type="pct" w:w="25%"/>
            <w:shd w:fill="F0F4F8" w:val="clear"/>
            <w:tcMar>
              <w:top w:type="dxa" w:w="60"/>
              <w:left w:type="dxa" w:w="120"/>
              <w:bottom w:type="dxa" w:w="60"/>
              <w:right w:type="dxa" w:w="120"/>
            </w:tcMar>
          </w:tcPr>
          <w:p>
            <w:r>
              <w:rPr>
                <w:rFonts w:ascii="Times New Roman" w:eastAsia="Microsoft YaHei"/>
                <w:color w:val="1A2B40"/>
                <w:sz w:val="21"/>
                <w:szCs w:val="21"/>
              </w:rPr>
              <w:t xml:space="preserve">~$48–52/wmt</w:t>
            </w:r>
          </w:p>
        </w:tc>
        <w:tc>
          <w:tcPr>
            <w:tcW w:type="pct" w:w="32%"/>
            <w:shd w:fill="F0F4F8" w:val="clear"/>
            <w:tcMar>
              <w:top w:type="dxa" w:w="60"/>
              <w:left w:type="dxa" w:w="120"/>
              <w:bottom w:type="dxa" w:w="60"/>
              <w:right w:type="dxa" w:w="120"/>
            </w:tcMar>
          </w:tcPr>
          <w:p>
            <w:r>
              <w:rPr>
                <w:rFonts w:ascii="Times New Roman" w:eastAsia="Microsoft YaHei"/>
                <w:color w:val="1A2B40"/>
                <w:sz w:val="21"/>
                <w:szCs w:val="21"/>
              </w:rPr>
              <w:t xml:space="preserve">Standard grade for NPI production; most traded</w:t>
            </w:r>
          </w:p>
        </w:tc>
      </w:tr>
      <w:tr>
        <w:trPr>
          <w:cantSplit/>
        </w:trPr>
        <w:tc>
          <w:tcPr>
            <w:tcW w:type="pct" w:w="18%"/>
            <w:tcMar>
              <w:top w:type="dxa" w:w="60"/>
              <w:left w:type="dxa" w:w="120"/>
              <w:bottom w:type="dxa" w:w="60"/>
              <w:right w:type="dxa" w:w="120"/>
            </w:tcMar>
          </w:tcPr>
          <w:p>
            <w:r>
              <w:rPr>
                <w:rFonts w:ascii="Times New Roman" w:eastAsia="Microsoft YaHei"/>
                <w:color w:val="1A2B40"/>
                <w:sz w:val="21"/>
                <w:szCs w:val="21"/>
              </w:rPr>
              <w:t xml:space="preserve">Ni 1.4%</w:t>
            </w:r>
          </w:p>
        </w:tc>
        <w:tc>
          <w:tcPr>
            <w:tcW w:type="pct" w:w="25%"/>
            <w:tcMar>
              <w:top w:type="dxa" w:w="60"/>
              <w:left w:type="dxa" w:w="120"/>
              <w:bottom w:type="dxa" w:w="60"/>
              <w:right w:type="dxa" w:w="120"/>
            </w:tcMar>
          </w:tcPr>
          <w:p>
            <w:r>
              <w:rPr>
                <w:rFonts w:ascii="Times New Roman" w:eastAsia="Microsoft YaHei"/>
                <w:color w:val="1A2B40"/>
                <w:sz w:val="21"/>
                <w:szCs w:val="21"/>
              </w:rPr>
              <w:t xml:space="preserve">Indonesia (major ports)</w:t>
            </w:r>
          </w:p>
        </w:tc>
        <w:tc>
          <w:tcPr>
            <w:tcW w:type="pct" w:w="25%"/>
            <w:tcMar>
              <w:top w:type="dxa" w:w="60"/>
              <w:left w:type="dxa" w:w="120"/>
              <w:bottom w:type="dxa" w:w="60"/>
              <w:right w:type="dxa" w:w="120"/>
            </w:tcMar>
          </w:tcPr>
          <w:p>
            <w:r>
              <w:rPr>
                <w:rFonts w:ascii="Times New Roman" w:eastAsia="Microsoft YaHei"/>
                <w:color w:val="1A2B40"/>
                <w:sz w:val="21"/>
                <w:szCs w:val="21"/>
              </w:rPr>
              <w:t xml:space="preserve">~$61/wmt</w:t>
            </w:r>
          </w:p>
        </w:tc>
        <w:tc>
          <w:tcPr>
            <w:tcW w:type="pct" w:w="32%"/>
            <w:tcMar>
              <w:top w:type="dxa" w:w="60"/>
              <w:left w:type="dxa" w:w="120"/>
              <w:bottom w:type="dxa" w:w="60"/>
              <w:right w:type="dxa" w:w="120"/>
            </w:tcMar>
          </w:tcPr>
          <w:p>
            <w:r>
              <w:rPr>
                <w:rFonts w:ascii="Times New Roman" w:eastAsia="Microsoft YaHei"/>
                <w:color w:val="1A2B40"/>
                <w:sz w:val="21"/>
                <w:szCs w:val="21"/>
              </w:rPr>
              <w:t xml:space="preserve">Premium reflects tight supply in Indonesia</w:t>
            </w:r>
          </w:p>
        </w:tc>
      </w:tr>
      <w:tr>
        <w:trPr>
          <w:cantSplit/>
        </w:trPr>
        <w:tc>
          <w:tcPr>
            <w:tcW w:type="pct" w:w="18%"/>
            <w:shd w:fill="F0F4F8" w:val="clear"/>
            <w:tcMar>
              <w:top w:type="dxa" w:w="60"/>
              <w:left w:type="dxa" w:w="120"/>
              <w:bottom w:type="dxa" w:w="60"/>
              <w:right w:type="dxa" w:w="120"/>
            </w:tcMar>
          </w:tcPr>
          <w:p>
            <w:r>
              <w:rPr>
                <w:rFonts w:ascii="Times New Roman" w:eastAsia="Microsoft YaHei"/>
                <w:color w:val="1A2B40"/>
                <w:sz w:val="21"/>
                <w:szCs w:val="21"/>
              </w:rPr>
              <w:t xml:space="preserve">Ni 1.5–1.8%</w:t>
            </w:r>
          </w:p>
        </w:tc>
        <w:tc>
          <w:tcPr>
            <w:tcW w:type="pct" w:w="25%"/>
            <w:shd w:fill="F0F4F8" w:val="clear"/>
            <w:tcMar>
              <w:top w:type="dxa" w:w="60"/>
              <w:left w:type="dxa" w:w="120"/>
              <w:bottom w:type="dxa" w:w="60"/>
              <w:right w:type="dxa" w:w="120"/>
            </w:tcMar>
          </w:tcPr>
          <w:p>
            <w:r>
              <w:rPr>
                <w:rFonts w:ascii="Times New Roman" w:eastAsia="Microsoft YaHei"/>
                <w:color w:val="1A2B40"/>
                <w:sz w:val="21"/>
                <w:szCs w:val="21"/>
              </w:rPr>
              <w:t xml:space="preserve">China</w:t>
            </w:r>
          </w:p>
        </w:tc>
        <w:tc>
          <w:tcPr>
            <w:tcW w:type="pct" w:w="25%"/>
            <w:shd w:fill="F0F4F8" w:val="clear"/>
            <w:tcMar>
              <w:top w:type="dxa" w:w="60"/>
              <w:left w:type="dxa" w:w="120"/>
              <w:bottom w:type="dxa" w:w="60"/>
              <w:right w:type="dxa" w:w="120"/>
            </w:tcMar>
          </w:tcPr>
          <w:p>
            <w:r>
              <w:rPr>
                <w:rFonts w:ascii="Times New Roman" w:eastAsia="Microsoft YaHei"/>
                <w:color w:val="1A2B40"/>
                <w:sz w:val="21"/>
                <w:szCs w:val="21"/>
              </w:rPr>
              <w:t xml:space="preserve">~$55–70/wmt</w:t>
            </w:r>
          </w:p>
        </w:tc>
        <w:tc>
          <w:tcPr>
            <w:tcW w:type="pct" w:w="32%"/>
            <w:shd w:fill="F0F4F8" w:val="clear"/>
            <w:tcMar>
              <w:top w:type="dxa" w:w="60"/>
              <w:left w:type="dxa" w:w="120"/>
              <w:bottom w:type="dxa" w:w="60"/>
              <w:right w:type="dxa" w:w="120"/>
            </w:tcMar>
          </w:tcPr>
          <w:p>
            <w:r>
              <w:rPr>
                <w:rFonts w:ascii="Times New Roman" w:eastAsia="Microsoft YaHei"/>
                <w:color w:val="1A2B40"/>
                <w:sz w:val="21"/>
                <w:szCs w:val="21"/>
              </w:rPr>
              <w:t xml:space="preserve">Higher grade commands premium</w:t>
            </w:r>
          </w:p>
        </w:tc>
      </w:tr>
      <w:tr>
        <w:trPr>
          <w:cantSplit/>
        </w:trPr>
        <w:tc>
          <w:tcPr>
            <w:tcW w:type="pct" w:w="18%"/>
            <w:tcMar>
              <w:top w:type="dxa" w:w="60"/>
              <w:left w:type="dxa" w:w="120"/>
              <w:bottom w:type="dxa" w:w="60"/>
              <w:right w:type="dxa" w:w="120"/>
            </w:tcMar>
          </w:tcPr>
          <w:p>
            <w:r>
              <w:rPr>
                <w:rFonts w:ascii="Times New Roman" w:eastAsia="Microsoft YaHei"/>
                <w:color w:val="1A2B40"/>
                <w:sz w:val="21"/>
                <w:szCs w:val="21"/>
              </w:rPr>
              <w:t xml:space="preserve">Ni 1.8%+</w:t>
            </w:r>
          </w:p>
        </w:tc>
        <w:tc>
          <w:tcPr>
            <w:tcW w:type="pct" w:w="25%"/>
            <w:tcMar>
              <w:top w:type="dxa" w:w="60"/>
              <w:left w:type="dxa" w:w="120"/>
              <w:bottom w:type="dxa" w:w="60"/>
              <w:right w:type="dxa" w:w="120"/>
            </w:tcMar>
          </w:tcPr>
          <w:p>
            <w:r>
              <w:rPr>
                <w:rFonts w:ascii="Times New Roman" w:eastAsia="Microsoft YaHei"/>
                <w:color w:val="1A2B40"/>
                <w:sz w:val="21"/>
                <w:szCs w:val="21"/>
              </w:rPr>
              <w:t xml:space="preserve">China/Indonesia</w:t>
            </w:r>
          </w:p>
        </w:tc>
        <w:tc>
          <w:tcPr>
            <w:tcW w:type="pct" w:w="25%"/>
            <w:tcMar>
              <w:top w:type="dxa" w:w="60"/>
              <w:left w:type="dxa" w:w="120"/>
              <w:bottom w:type="dxa" w:w="60"/>
              <w:right w:type="dxa" w:w="120"/>
            </w:tcMar>
          </w:tcPr>
          <w:p>
            <w:r>
              <w:rPr>
                <w:rFonts w:ascii="Times New Roman" w:eastAsia="Microsoft YaHei"/>
                <w:color w:val="1A2B40"/>
                <w:sz w:val="21"/>
                <w:szCs w:val="21"/>
              </w:rPr>
              <w:t xml:space="preserve">$70+/wmt</w:t>
            </w:r>
          </w:p>
        </w:tc>
        <w:tc>
          <w:tcPr>
            <w:tcW w:type="pct" w:w="32%"/>
            <w:tcMar>
              <w:top w:type="dxa" w:w="60"/>
              <w:left w:type="dxa" w:w="120"/>
              <w:bottom w:type="dxa" w:w="60"/>
              <w:right w:type="dxa" w:w="120"/>
            </w:tcMar>
          </w:tcPr>
          <w:p>
            <w:r>
              <w:rPr>
                <w:rFonts w:ascii="Times New Roman" w:eastAsia="Microsoft YaHei"/>
                <w:color w:val="1A2B40"/>
                <w:sz w:val="21"/>
                <w:szCs w:val="21"/>
              </w:rPr>
              <w:t xml:space="preserve">Scarce; used for ferronickel and matte</w:t>
            </w:r>
          </w:p>
        </w:tc>
      </w:tr>
    </w:tbl>
    <w:p>
      <w:pPr>
        <w:spacing w:after="200" w:before="60"/>
      </w:pPr>
      <w:r>
        <w:rPr>
          <w:i/>
          <w:iCs/>
          <w:color w:val="4A6575"/>
          <w:sz w:val="18"/>
          <w:szCs w:val="18"/>
        </w:rPr>
        <w:t xml:space="preserve">Table 3: Indicative Nickel Ore CIF Pricing (Mid-2026)</w:t>
      </w:r>
    </w:p>
    <w:p>
      <w:pPr>
        <w:spacing w:line="312"/>
        <w:jc w:val="both"/>
      </w:pPr>
      <w:r>
        <w:rPr>
          <w:rFonts w:ascii="Times New Roman" w:eastAsia="Microsoft YaHei"/>
          <w:color w:val="1A2B40"/>
          <w:sz w:val="24"/>
          <w:szCs w:val="24"/>
        </w:rPr>
        <w:t xml:space="preserve">The price premium for ore delivered to Indonesia versus China is a significant market development. The $10–15/wmt spread reflects Indonesian smelters’ urgent need for feedstock and their willingness to pay above Chinese domestic market rates. This spread creates an arbitrage opportunity for trading companies that can secure Philippine ore supply and redirect it to Indonesian ports. However, traders must factor in freight rate differentials, port constraints, and the evolving regulatory environment under the new nickel corridor framework.</w:t>
      </w:r>
    </w:p>
    <w:p>
      <w:pPr>
        <w:spacing w:line="312"/>
        <w:jc w:val="both"/>
      </w:pPr>
      <w:r>
        <w:rPr>
          <w:rFonts w:ascii="Times New Roman" w:eastAsia="Microsoft YaHei"/>
          <w:color w:val="1A2B40"/>
          <w:sz w:val="24"/>
          <w:szCs w:val="24"/>
        </w:rPr>
        <w:t xml:space="preserve">South Korea showed the highest price per tonne of nickel ore imports in 2024 at approximately $78/tonne, while Japan averaged $66/tonne, according to IndexBox data. These prices reflect the higher-grade and more processed forms of nickel these countries import, rather than raw laterite ore, but they provide context for the value chain progression from ore to refined product.</w:t>
      </w:r>
    </w:p>
    <w:p>
      <w:pPr>
        <w:pStyle w:val="Heading1"/>
        <w:spacing w:after="120" w:before="360" w:line="312"/>
      </w:pPr>
      <w:bookmarkStart w:id="100019" w:name="_Toc100019"/>
      <w:r>
        <w:rPr>
          <w:rFonts w:ascii="Times New Roman" w:eastAsia="SimHei"/>
          <w:b/>
          <w:bCs/>
          <w:color w:val="0F2027"/>
        </w:rPr>
        <w:t xml:space="preserve">10. Conclusions and Recommendations</w:t>
      </w:r>
      <w:bookmarkEnd w:id="100019"/>
    </w:p>
    <w:p>
      <w:pPr>
        <w:pStyle w:val="Heading2"/>
        <w:spacing w:after="120" w:before="240" w:line="312"/>
      </w:pPr>
      <w:bookmarkStart w:id="100020" w:name="_Toc100020"/>
      <w:r>
        <w:rPr>
          <w:rFonts w:ascii="Times New Roman" w:eastAsia="SimHei"/>
          <w:b/>
          <w:bCs/>
          <w:color w:val="0F2027"/>
        </w:rPr>
        <w:t xml:space="preserve">10.1 Key Conclusions</w:t>
      </w:r>
      <w:bookmarkEnd w:id="100020"/>
    </w:p>
    <w:p>
      <w:pPr>
        <w:spacing w:line="312"/>
        <w:jc w:val="both"/>
      </w:pPr>
      <w:r>
        <w:rPr>
          <w:rFonts w:ascii="Times New Roman" w:eastAsia="Microsoft YaHei"/>
          <w:color w:val="1A2B40"/>
          <w:sz w:val="24"/>
          <w:szCs w:val="24"/>
        </w:rPr>
        <w:t xml:space="preserve">The global nickel ore buyer landscape for a Philippines-based trading company is concentrated but dynamic. China remains the dominant buyer, absorbing the majority of Philippine nickel ore exports, primarily for NPI and stainless steel production. However, the most significant growth opportunity lies in Indonesia, where Chinese-owned smelters are importing increasing volumes of Philippine ore to compensate for domestic supply shortfalls. The newly established Philippines-Indonesia nickel corridor provides institutional support for this trade flow. Global commodity trading houses such as Trafigura and Glencore serve as important intermediaries and potential partners, while Indian buyers represent a growing secondary market.</w:t>
      </w:r>
    </w:p>
    <w:p>
      <w:pPr>
        <w:pStyle w:val="Heading2"/>
        <w:spacing w:after="120" w:before="240" w:line="312"/>
      </w:pPr>
      <w:bookmarkStart w:id="100021" w:name="_Toc100021"/>
      <w:r>
        <w:rPr>
          <w:rFonts w:ascii="Times New Roman" w:eastAsia="SimHei"/>
          <w:b/>
          <w:bCs/>
          <w:color w:val="0F2027"/>
        </w:rPr>
        <w:t xml:space="preserve">10.2 Strategic Recommendations</w:t>
      </w:r>
      <w:bookmarkEnd w:id="100021"/>
    </w:p>
    <w:p>
      <w:pPr>
        <w:pStyle w:val="ListParagraph"/>
        <w:numPr>
          <w:ilvl w:val="0"/>
          <w:numId w:val="1"/>
        </w:numPr>
        <w:spacing w:line="312"/>
      </w:pPr>
      <w:r>
        <w:rPr>
          <w:rFonts w:ascii="Times New Roman" w:eastAsia="SimHei"/>
          <w:b/>
          <w:bCs/>
          <w:color w:val="0F2027"/>
          <w:sz w:val="24"/>
          <w:szCs w:val="24"/>
        </w:rPr>
        <w:t xml:space="preserve">Prioritize the Indonesian market: </w:t>
      </w:r>
      <w:r>
        <w:rPr>
          <w:rFonts w:ascii="Times New Roman" w:eastAsia="Microsoft YaHei"/>
          <w:color w:val="1A2B40"/>
          <w:sz w:val="24"/>
          <w:szCs w:val="24"/>
        </w:rPr>
        <w:t xml:space="preserve">The surging demand from Indonesian smelters, combined with the government-supported nickel corridor and price premiums over Chinese destinations, makes Indonesia the most attractive near-term growth market. Establish relationships with IMIP and IWIP smelter operators and explore direct offtake agreements.</w:t>
      </w:r>
    </w:p>
    <w:p>
      <w:pPr>
        <w:pStyle w:val="ListParagraph"/>
        <w:numPr>
          <w:ilvl w:val="0"/>
          <w:numId w:val="1"/>
        </w:numPr>
        <w:spacing w:line="312"/>
      </w:pPr>
      <w:r>
        <w:rPr>
          <w:rFonts w:ascii="Times New Roman" w:eastAsia="SimHei"/>
          <w:b/>
          <w:bCs/>
          <w:color w:val="0F2027"/>
          <w:sz w:val="24"/>
          <w:szCs w:val="24"/>
        </w:rPr>
        <w:t xml:space="preserve">Maintain and deepen Chinese relationships: </w:t>
      </w:r>
      <w:r>
        <w:rPr>
          <w:rFonts w:ascii="Times New Roman" w:eastAsia="Microsoft YaHei"/>
          <w:color w:val="1A2B40"/>
          <w:sz w:val="24"/>
          <w:szCs w:val="24"/>
        </w:rPr>
        <w:t xml:space="preserve">China will remain the largest buyer by volume for the foreseeable future. Focus on Tier 1 trading intermediaries like Fujian Zhouchuang and Aquila Nickel as accessible counterparties, while pursuing direct relationships with Tsingshan’s procurement division for larger volumes.</w:t>
      </w:r>
    </w:p>
    <w:p>
      <w:pPr>
        <w:pStyle w:val="ListParagraph"/>
        <w:numPr>
          <w:ilvl w:val="0"/>
          <w:numId w:val="1"/>
        </w:numPr>
        <w:spacing w:line="312"/>
      </w:pPr>
      <w:r>
        <w:rPr>
          <w:rFonts w:ascii="Times New Roman" w:eastAsia="SimHei"/>
          <w:b/>
          <w:bCs/>
          <w:color w:val="0F2027"/>
          <w:sz w:val="24"/>
          <w:szCs w:val="24"/>
        </w:rPr>
        <w:t xml:space="preserve">Engage global trading houses as partners: </w:t>
      </w:r>
      <w:r>
        <w:rPr>
          <w:rFonts w:ascii="Times New Roman" w:eastAsia="Microsoft YaHei"/>
          <w:color w:val="1A2B40"/>
          <w:sz w:val="24"/>
          <w:szCs w:val="24"/>
        </w:rPr>
        <w:t xml:space="preserve">Trafigura and Glencore offer financing, logistics, and risk management capabilities that can accelerate a trading company’s growth. Consider co-trading arrangements or offtake partnerships that leverage their infrastructure while maintaining your Philippine supply advantage.</w:t>
      </w:r>
    </w:p>
    <w:p>
      <w:pPr>
        <w:pStyle w:val="ListParagraph"/>
        <w:numPr>
          <w:ilvl w:val="0"/>
          <w:numId w:val="1"/>
        </w:numPr>
        <w:spacing w:line="312"/>
      </w:pPr>
      <w:r>
        <w:rPr>
          <w:rFonts w:ascii="Times New Roman" w:eastAsia="SimHei"/>
          <w:b/>
          <w:bCs/>
          <w:color w:val="0F2027"/>
          <w:sz w:val="24"/>
          <w:szCs w:val="24"/>
        </w:rPr>
        <w:t xml:space="preserve">Develop Indian market access: </w:t>
      </w:r>
      <w:r>
        <w:rPr>
          <w:rFonts w:ascii="Times New Roman" w:eastAsia="Microsoft YaHei"/>
          <w:color w:val="1A2B40"/>
          <w:sz w:val="24"/>
          <w:szCs w:val="24"/>
        </w:rPr>
        <w:t xml:space="preserve">Jindal Stainless and Kothari Metals represent growing demand. Consider whether partially processing ore (e.g., into NPI) could command higher margins for Indian buyers, versus selling raw ore.</w:t>
      </w:r>
    </w:p>
    <w:p>
      <w:pPr>
        <w:pStyle w:val="ListParagraph"/>
        <w:numPr>
          <w:ilvl w:val="0"/>
          <w:numId w:val="1"/>
        </w:numPr>
        <w:spacing w:line="312"/>
      </w:pPr>
      <w:r>
        <w:rPr>
          <w:rFonts w:ascii="Times New Roman" w:eastAsia="SimHei"/>
          <w:b/>
          <w:bCs/>
          <w:color w:val="0F2027"/>
          <w:sz w:val="24"/>
          <w:szCs w:val="24"/>
        </w:rPr>
        <w:t xml:space="preserve">Monitor the nickel corridor framework: </w:t>
      </w:r>
      <w:r>
        <w:rPr>
          <w:rFonts w:ascii="Times New Roman" w:eastAsia="Microsoft YaHei"/>
          <w:color w:val="1A2B40"/>
          <w:sz w:val="24"/>
          <w:szCs w:val="24"/>
        </w:rPr>
        <w:t xml:space="preserve">The May 2026 MOU between the Philippines and Indonesia is likely to produce specific implementation guidelines, tariff structures, and possibly preferential trade terms. Early positioning to benefit from these frameworks will be critical.</w:t>
      </w:r>
    </w:p>
    <w:p>
      <w:pPr>
        <w:pStyle w:val="ListParagraph"/>
        <w:numPr>
          <w:ilvl w:val="0"/>
          <w:numId w:val="1"/>
        </w:numPr>
        <w:spacing w:line="312"/>
      </w:pPr>
      <w:r>
        <w:rPr>
          <w:rFonts w:ascii="Times New Roman" w:eastAsia="SimHei"/>
          <w:b/>
          <w:bCs/>
          <w:color w:val="0F2027"/>
          <w:sz w:val="24"/>
          <w:szCs w:val="24"/>
        </w:rPr>
        <w:t xml:space="preserve">Invest in pricing intelligence: </w:t>
      </w:r>
      <w:r>
        <w:rPr>
          <w:rFonts w:ascii="Times New Roman" w:eastAsia="Microsoft YaHei"/>
          <w:color w:val="1A2B40"/>
          <w:sz w:val="24"/>
          <w:szCs w:val="24"/>
        </w:rPr>
        <w:t xml:space="preserve">The China-Indonesia price spread is a key arbitrage opportunity. Real-time pricing data, freight rate monitoring, and regulatory intelligence are essential tools for a competitive trading operation.</w:t>
      </w:r>
    </w:p>
    <w:p>
      <w:pPr>
        <w:pStyle w:val="Heading1"/>
        <w:spacing w:after="120" w:before="360" w:line="312"/>
      </w:pPr>
      <w:bookmarkStart w:id="100022" w:name="_Toc100022"/>
      <w:r>
        <w:rPr>
          <w:rFonts w:ascii="Times New Roman" w:eastAsia="SimHei"/>
          <w:b/>
          <w:bCs/>
          <w:color w:val="0F2027"/>
        </w:rPr>
        <w:t xml:space="preserve">11. Data Sources and Methodology</w:t>
      </w:r>
      <w:bookmarkEnd w:id="100022"/>
    </w:p>
    <w:p>
      <w:pPr>
        <w:spacing w:line="312"/>
        <w:jc w:val="both"/>
      </w:pPr>
      <w:r>
        <w:rPr>
          <w:rFonts w:ascii="Times New Roman" w:eastAsia="Microsoft YaHei"/>
          <w:color w:val="1A2B40"/>
          <w:sz w:val="24"/>
          <w:szCs w:val="24"/>
        </w:rPr>
        <w:t xml:space="preserve">This report is based on data from the following sources: OEC (Observatory of Economic Complexity) bilateral trade data for 2024; Tendata global trade analytics for 2023 company-level import data; Volza shipment-level trade data; TrendEconomy commodity trade statistics; IndexBox market overview reports; S&amp;P Global trade reviews; industry reporting from Argus Media, Mining.com, and SteelNews; government data from the Philippine Mines and Geosciences Bureau and Indonesian ESDM ministry; and company disclosures from Tsingshan Holding Group, Nickel Asia Corporation, and other listed entities. All monetary values are in US dollars unless otherwise noted. Trade volumes are in wet metric tonnes (wmt) for ore shipments.</w:t>
      </w:r>
    </w:p>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0989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0989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90989F"/>
        <w:sz w:val="18"/>
        <w:szCs w:val="18"/>
      </w:rPr>
      <w:t xml:space="preserve">Top Nickel Ore Buyers | Market Intelligence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90989F"/>
        <w:sz w:val="18"/>
        <w:szCs w:val="18"/>
      </w:rPr>
      <w:t xml:space="preserve">Top Nickel Ore Buyers | Market Intelligence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0F2027"/>
      <w:sz w:val="32"/>
      <w:szCs w:val="32"/>
    </w:rPr>
  </w:style>
  <w:style w:type="paragraph" w:styleId="Heading2">
    <w:name w:val="Heading 2"/>
    <w:basedOn w:val="Normal"/>
    <w:next w:val="Normal"/>
    <w:qFormat/>
    <w:pPr>
      <w:spacing w:after="120" w:before="240" w:line="312"/>
      <w:outlineLvl w:val="1"/>
    </w:pPr>
    <w:rPr>
      <w:rFonts w:ascii="Times New Roman" w:eastAsia="SimHei"/>
      <w:b/>
      <w:bCs/>
      <w:color w:val="0F2027"/>
      <w:sz w:val="28"/>
      <w:szCs w:val="28"/>
    </w:rPr>
  </w:style>
  <w:style w:type="paragraph" w:styleId="Heading3">
    <w:name w:val="Heading 3"/>
    <w:basedOn w:val="Normal"/>
    <w:next w:val="Normal"/>
    <w:qFormat/>
    <w:pPr>
      <w:spacing w:after="100" w:before="200" w:line="312"/>
      <w:outlineLvl w:val="2"/>
    </w:pPr>
    <w:rPr>
      <w:rFonts w:ascii="Times New Roman" w:eastAsia="SimHei"/>
      <w:b/>
      <w:bCs/>
      <w:color w:val="0F2027"/>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2026-05-16T06:40:30.980Z</dcterms:created>
  <dcterms:modified xsi:type="dcterms:W3CDTF">2026-05-16T06:40:30.981Z</dcterms:modified>
</cp:coreProperties>
</file>

<file path=docProps/custom.xml><?xml version="1.0" encoding="utf-8"?>
<Properties xmlns="http://schemas.openxmlformats.org/officeDocument/2006/custom-properties" xmlns:vt="http://schemas.openxmlformats.org/officeDocument/2006/docPropsVTypes"/>
</file>