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86771E" w14:textId="77777777" w:rsidR="00C94160" w:rsidRDefault="00000000">
      <w:pPr>
        <w:spacing w:after="15"/>
        <w:jc w:val="center"/>
      </w:pPr>
      <w:r>
        <w:rPr>
          <w:rFonts w:ascii="Arial" w:eastAsia="Arial" w:hAnsi="Arial" w:cs="Arial"/>
          <w:b/>
          <w:bCs/>
          <w:color w:val="1F4E79"/>
          <w:sz w:val="38"/>
          <w:szCs w:val="38"/>
        </w:rPr>
        <w:t>Reza Kahibavil</w:t>
      </w:r>
    </w:p>
    <w:p w14:paraId="4494A592" w14:textId="4669C2AB" w:rsidR="00C94160" w:rsidRDefault="00000000">
      <w:pPr>
        <w:spacing w:after="90"/>
        <w:jc w:val="center"/>
      </w:pPr>
      <w:hyperlink r:id="rId5" w:history="1">
        <w:r>
          <w:rPr>
            <w:rFonts w:ascii="Arial" w:eastAsia="Arial" w:hAnsi="Arial" w:cs="Arial"/>
            <w:color w:val="1155CC"/>
            <w:sz w:val="18"/>
            <w:szCs w:val="18"/>
            <w:u w:val="single"/>
          </w:rPr>
          <w:t>rkahi001@odu.edu</w:t>
        </w:r>
      </w:hyperlink>
      <w:r>
        <w:rPr>
          <w:rFonts w:ascii="Arial" w:eastAsia="Arial" w:hAnsi="Arial" w:cs="Arial"/>
          <w:color w:val="1A1A1A"/>
          <w:sz w:val="18"/>
          <w:szCs w:val="18"/>
        </w:rPr>
        <w:t xml:space="preserve"> | 757-895-5266 | Spring, TX </w:t>
      </w:r>
    </w:p>
    <w:p w14:paraId="15A0AC8E" w14:textId="77777777" w:rsidR="00C94160" w:rsidRDefault="00000000">
      <w:pPr>
        <w:pBdr>
          <w:bottom w:val="single" w:sz="6" w:space="2" w:color="1F4E79"/>
        </w:pBdr>
        <w:spacing w:before="120" w:after="30" w:line="228" w:lineRule="auto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SUMMARY</w:t>
      </w:r>
    </w:p>
    <w:p w14:paraId="5008873F" w14:textId="77777777" w:rsidR="00C94160" w:rsidRDefault="00000000">
      <w:pPr>
        <w:spacing w:after="30" w:line="228" w:lineRule="auto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Quantitative finance professional and Ph.D. candidate in Finance with 6+ years of experience in portfolio management, equity valuation, and empirical asset-pricing research on large-scale panel data (CRSP, TAQ). Founded and managed a financial advisory firm directing 100+ individual and 20 institutional portfolios and a team of fundamental analysts. Current research examines return predictability and extreme-return anomalies, using Python, R, MATLAB, and SAS to build and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backtest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 xml:space="preserve"> empirical models.</w:t>
      </w:r>
    </w:p>
    <w:p w14:paraId="7239568C" w14:textId="77777777" w:rsidR="00C94160" w:rsidRDefault="00000000">
      <w:pPr>
        <w:pBdr>
          <w:bottom w:val="single" w:sz="6" w:space="2" w:color="1F4E79"/>
        </w:pBdr>
        <w:spacing w:before="120" w:after="30" w:line="228" w:lineRule="auto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EDUCATION</w:t>
      </w:r>
    </w:p>
    <w:p w14:paraId="1CBA30D2" w14:textId="77777777" w:rsidR="00C94160" w:rsidRDefault="00000000">
      <w:pPr>
        <w:tabs>
          <w:tab w:val="right" w:pos="11016"/>
        </w:tabs>
        <w:spacing w:after="8" w:line="228" w:lineRule="auto"/>
      </w:pPr>
      <w:r>
        <w:rPr>
          <w:rFonts w:ascii="Arial" w:eastAsia="Arial" w:hAnsi="Arial" w:cs="Arial"/>
          <w:color w:val="555555"/>
          <w:sz w:val="18"/>
          <w:szCs w:val="18"/>
        </w:rPr>
        <w:t xml:space="preserve">Ph.D. Candidate, Finance, </w:t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>Old Dominion University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| Norfolk, VA</w:t>
      </w:r>
      <w:r>
        <w:rPr>
          <w:rFonts w:ascii="Arial" w:eastAsia="Arial" w:hAnsi="Arial" w:cs="Arial"/>
          <w:color w:val="555555"/>
          <w:sz w:val="18"/>
          <w:szCs w:val="18"/>
        </w:rPr>
        <w:tab/>
        <w:t>2024 – Present</w:t>
      </w:r>
    </w:p>
    <w:p w14:paraId="2DEFBAC9" w14:textId="77777777" w:rsidR="00C94160" w:rsidRDefault="00000000">
      <w:pPr>
        <w:tabs>
          <w:tab w:val="right" w:pos="11016"/>
        </w:tabs>
        <w:spacing w:after="8" w:line="228" w:lineRule="auto"/>
      </w:pPr>
      <w:r>
        <w:rPr>
          <w:rFonts w:ascii="Arial" w:eastAsia="Arial" w:hAnsi="Arial" w:cs="Arial"/>
          <w:color w:val="555555"/>
          <w:sz w:val="18"/>
          <w:szCs w:val="18"/>
        </w:rPr>
        <w:t xml:space="preserve">M.S., Financial Engineering and Risk Management, </w:t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>University of Isfahan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| International</w:t>
      </w:r>
      <w:r>
        <w:rPr>
          <w:rFonts w:ascii="Arial" w:eastAsia="Arial" w:hAnsi="Arial" w:cs="Arial"/>
          <w:color w:val="555555"/>
          <w:sz w:val="18"/>
          <w:szCs w:val="18"/>
        </w:rPr>
        <w:tab/>
        <w:t>2017 – 2021</w:t>
      </w:r>
    </w:p>
    <w:p w14:paraId="60DD8A55" w14:textId="77777777" w:rsidR="00C94160" w:rsidRDefault="00000000">
      <w:pPr>
        <w:tabs>
          <w:tab w:val="right" w:pos="11016"/>
        </w:tabs>
        <w:spacing w:after="8" w:line="228" w:lineRule="auto"/>
      </w:pPr>
      <w:r>
        <w:rPr>
          <w:rFonts w:ascii="Arial" w:eastAsia="Arial" w:hAnsi="Arial" w:cs="Arial"/>
          <w:color w:val="555555"/>
          <w:sz w:val="18"/>
          <w:szCs w:val="18"/>
        </w:rPr>
        <w:t xml:space="preserve">B.S., Industrial Management, </w:t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>Shahid Beheshti University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| International</w:t>
      </w:r>
      <w:r>
        <w:rPr>
          <w:rFonts w:ascii="Arial" w:eastAsia="Arial" w:hAnsi="Arial" w:cs="Arial"/>
          <w:color w:val="555555"/>
          <w:sz w:val="18"/>
          <w:szCs w:val="18"/>
        </w:rPr>
        <w:tab/>
        <w:t>2012 – 2016</w:t>
      </w:r>
    </w:p>
    <w:p w14:paraId="2E10CC80" w14:textId="77777777" w:rsidR="00C94160" w:rsidRDefault="00000000">
      <w:pPr>
        <w:pBdr>
          <w:bottom w:val="single" w:sz="6" w:space="2" w:color="1F4E79"/>
        </w:pBdr>
        <w:spacing w:before="120" w:after="30" w:line="228" w:lineRule="auto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SKILLS &amp; CERTIFICATIONS</w:t>
      </w:r>
    </w:p>
    <w:p w14:paraId="55821A5F" w14:textId="77777777" w:rsidR="00C94160" w:rsidRDefault="00000000">
      <w:pPr>
        <w:spacing w:after="16" w:line="228" w:lineRule="auto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Programming &amp; Tools: </w:t>
      </w:r>
      <w:r>
        <w:rPr>
          <w:rFonts w:ascii="Arial" w:eastAsia="Arial" w:hAnsi="Arial" w:cs="Arial"/>
          <w:color w:val="1A1A1A"/>
          <w:sz w:val="18"/>
          <w:szCs w:val="18"/>
        </w:rPr>
        <w:t>Python, R, MATLAB, SAS, Stata, EViews, SPSS, Microsoft Excel</w:t>
      </w:r>
    </w:p>
    <w:p w14:paraId="7B3AA079" w14:textId="77777777" w:rsidR="00C94160" w:rsidRDefault="00000000">
      <w:pPr>
        <w:spacing w:after="16" w:line="228" w:lineRule="auto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Quantitative Methods: </w:t>
      </w:r>
      <w:r>
        <w:rPr>
          <w:rFonts w:ascii="Arial" w:eastAsia="Arial" w:hAnsi="Arial" w:cs="Arial"/>
          <w:color w:val="1A1A1A"/>
          <w:sz w:val="18"/>
          <w:szCs w:val="18"/>
        </w:rPr>
        <w:t>Asset Pricing, Portfolio Analysis, Risk Management, Time-Series Analysis, Return Forecasting, Financial Econometrics</w:t>
      </w:r>
    </w:p>
    <w:p w14:paraId="132B4CBA" w14:textId="77777777" w:rsidR="00C94160" w:rsidRDefault="00000000">
      <w:pPr>
        <w:spacing w:after="16" w:line="228" w:lineRule="auto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Data &amp; Analytics: </w:t>
      </w:r>
      <w:r>
        <w:rPr>
          <w:rFonts w:ascii="Arial" w:eastAsia="Arial" w:hAnsi="Arial" w:cs="Arial"/>
          <w:color w:val="1A1A1A"/>
          <w:sz w:val="18"/>
          <w:szCs w:val="18"/>
        </w:rPr>
        <w:t>Large-scale panel data (CRSP, TAQ, COMPUSTAT, Bloomberg); Equity Valuation, Financial Statement Analysis, Earnings Forecasting</w:t>
      </w:r>
    </w:p>
    <w:p w14:paraId="7F2B3E54" w14:textId="77777777" w:rsidR="00C94160" w:rsidRDefault="00000000">
      <w:pPr>
        <w:spacing w:after="16" w:line="228" w:lineRule="auto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Certifications: </w:t>
      </w:r>
      <w:r>
        <w:rPr>
          <w:rFonts w:ascii="Arial" w:eastAsia="Arial" w:hAnsi="Arial" w:cs="Arial"/>
          <w:color w:val="1A1A1A"/>
          <w:sz w:val="18"/>
          <w:szCs w:val="18"/>
        </w:rPr>
        <w:t>CFA Level III Candidate, Passed Level II (2026); Bloomberg Market Concepts (2024)</w:t>
      </w:r>
    </w:p>
    <w:p w14:paraId="390316A6" w14:textId="77777777" w:rsidR="00C94160" w:rsidRDefault="00000000">
      <w:pPr>
        <w:pBdr>
          <w:bottom w:val="single" w:sz="6" w:space="2" w:color="1F4E79"/>
        </w:pBdr>
        <w:spacing w:before="120" w:after="30" w:line="228" w:lineRule="auto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EXPERIENCE</w:t>
      </w:r>
    </w:p>
    <w:p w14:paraId="4688BAFE" w14:textId="77777777" w:rsidR="00C94160" w:rsidRDefault="00000000">
      <w:pPr>
        <w:tabs>
          <w:tab w:val="right" w:pos="11016"/>
        </w:tabs>
        <w:spacing w:before="50" w:after="4" w:line="228" w:lineRule="auto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>Old Dominion University | Norfolk, VA</w:t>
      </w:r>
      <w:r>
        <w:rPr>
          <w:rFonts w:ascii="Arial" w:eastAsia="Arial" w:hAnsi="Arial" w:cs="Arial"/>
          <w:color w:val="555555"/>
          <w:sz w:val="18"/>
          <w:szCs w:val="18"/>
        </w:rPr>
        <w:tab/>
        <w:t>2024 – Present</w:t>
      </w:r>
    </w:p>
    <w:p w14:paraId="067A7034" w14:textId="77777777" w:rsidR="00C94160" w:rsidRDefault="00000000">
      <w:pPr>
        <w:spacing w:after="15" w:line="228" w:lineRule="auto"/>
      </w:pPr>
      <w:r>
        <w:rPr>
          <w:rFonts w:ascii="Arial" w:eastAsia="Arial" w:hAnsi="Arial" w:cs="Arial"/>
          <w:i/>
          <w:iCs/>
          <w:color w:val="1A1A1A"/>
          <w:sz w:val="18"/>
          <w:szCs w:val="18"/>
          <w:u w:val="single"/>
        </w:rPr>
        <w:t>Graduate Research Assistant</w:t>
      </w:r>
    </w:p>
    <w:p w14:paraId="222F2AC6" w14:textId="77777777" w:rsidR="00C94160" w:rsidRDefault="00000000">
      <w:pPr>
        <w:tabs>
          <w:tab w:val="right" w:pos="11016"/>
        </w:tabs>
        <w:spacing w:before="30" w:after="4" w:line="228" w:lineRule="auto"/>
      </w:pPr>
      <w:r>
        <w:rPr>
          <w:rFonts w:ascii="Arial" w:eastAsia="Arial" w:hAnsi="Arial" w:cs="Arial"/>
          <w:color w:val="1A1A1A"/>
          <w:sz w:val="18"/>
          <w:szCs w:val="18"/>
        </w:rPr>
        <w:t>Retail Investor Participation &amp; Lottery-Like Stock Mispricing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  <w:t>2026</w:t>
      </w:r>
    </w:p>
    <w:p w14:paraId="0688A408" w14:textId="77777777" w:rsidR="00C94160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rPr>
          <w:rFonts w:ascii="Arial" w:eastAsia="Arial" w:hAnsi="Arial" w:cs="Arial"/>
          <w:color w:val="1A1A1A"/>
          <w:sz w:val="18"/>
          <w:szCs w:val="18"/>
        </w:rPr>
        <w:t>Constructed measures of systematic retail participation from weekly Robinhood holdings data, isolating persistent ownership and flow dynamics from attention-driven trading.</w:t>
      </w:r>
    </w:p>
    <w:p w14:paraId="43097FED" w14:textId="77777777" w:rsidR="00C94160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rPr>
          <w:rFonts w:ascii="Arial" w:eastAsia="Arial" w:hAnsi="Arial" w:cs="Arial"/>
          <w:color w:val="1A1A1A"/>
          <w:sz w:val="18"/>
          <w:szCs w:val="18"/>
        </w:rPr>
        <w:t>Found that systematic retail participation predicts positive future returns independent of the MAX anomaly; accepted for presentation, Southern Finance Association 2026, under review at the Journal of Banking &amp; Finance.</w:t>
      </w:r>
    </w:p>
    <w:p w14:paraId="5E7D89B4" w14:textId="77777777" w:rsidR="00C94160" w:rsidRDefault="00000000">
      <w:pPr>
        <w:tabs>
          <w:tab w:val="right" w:pos="11016"/>
        </w:tabs>
        <w:spacing w:before="30" w:after="4" w:line="228" w:lineRule="auto"/>
      </w:pPr>
      <w:r>
        <w:rPr>
          <w:rFonts w:ascii="Arial" w:eastAsia="Arial" w:hAnsi="Arial" w:cs="Arial"/>
          <w:color w:val="1A1A1A"/>
          <w:sz w:val="18"/>
          <w:szCs w:val="18"/>
        </w:rPr>
        <w:t>Expected vs. Unexpected Extreme Returns and the MAX Anomaly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  <w:t>2026</w:t>
      </w:r>
    </w:p>
    <w:p w14:paraId="111899BB" w14:textId="77777777" w:rsidR="00C94160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rPr>
          <w:rFonts w:ascii="Arial" w:eastAsia="Arial" w:hAnsi="Arial" w:cs="Arial"/>
          <w:color w:val="1A1A1A"/>
          <w:sz w:val="18"/>
          <w:szCs w:val="18"/>
        </w:rPr>
        <w:t>Decompose extreme stock returns into expected and unexpected components to test their differing implications for subsequent returns, using cross-sectional asset-pricing methods on large-scale return panels (CRSP/TAQ).</w:t>
      </w:r>
    </w:p>
    <w:p w14:paraId="77CE5E84" w14:textId="77777777" w:rsidR="00C94160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rPr>
          <w:rFonts w:ascii="Arial" w:eastAsia="Arial" w:hAnsi="Arial" w:cs="Arial"/>
          <w:color w:val="1A1A1A"/>
          <w:sz w:val="18"/>
          <w:szCs w:val="18"/>
        </w:rPr>
        <w:t>Accepted for presentation, Southern Finance Association 2026; under review at the Review of Finance.</w:t>
      </w:r>
    </w:p>
    <w:p w14:paraId="430CE803" w14:textId="77777777" w:rsidR="00C94160" w:rsidRDefault="00000000">
      <w:pPr>
        <w:spacing w:before="30" w:after="6" w:line="228" w:lineRule="auto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>Additional Research</w:t>
      </w:r>
    </w:p>
    <w:p w14:paraId="612D90E2" w14:textId="77777777" w:rsidR="00C94160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Idiosyncratic Volatility: </w:t>
      </w:r>
      <w:r>
        <w:rPr>
          <w:rFonts w:ascii="Arial" w:eastAsia="Arial" w:hAnsi="Arial" w:cs="Arial"/>
          <w:color w:val="1A1A1A"/>
          <w:sz w:val="18"/>
          <w:szCs w:val="18"/>
        </w:rPr>
        <w:t>re-examining whether alternative volatility measures explain the IVOL puzzle.</w:t>
      </w:r>
    </w:p>
    <w:p w14:paraId="2C1C071E" w14:textId="77777777" w:rsidR="00C94160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Extreme Return Predictability: </w:t>
      </w:r>
      <w:r>
        <w:rPr>
          <w:rFonts w:ascii="Arial" w:eastAsia="Arial" w:hAnsi="Arial" w:cs="Arial"/>
          <w:color w:val="1A1A1A"/>
          <w:sz w:val="18"/>
          <w:szCs w:val="18"/>
        </w:rPr>
        <w:t>conditional predictive power of extreme returns.</w:t>
      </w:r>
    </w:p>
    <w:p w14:paraId="4A49DBA5" w14:textId="77777777" w:rsidR="00C94160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Cross-Listing &amp; Market Integration: </w:t>
      </w:r>
      <w:r>
        <w:rPr>
          <w:rFonts w:ascii="Arial" w:eastAsia="Arial" w:hAnsi="Arial" w:cs="Arial"/>
          <w:color w:val="1A1A1A"/>
          <w:sz w:val="18"/>
          <w:szCs w:val="18"/>
        </w:rPr>
        <w:t>stock returns and integration effects for cross-listed securities.</w:t>
      </w:r>
    </w:p>
    <w:p w14:paraId="0E7C294D" w14:textId="77777777" w:rsidR="00C94160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Sports Betting &amp; Speculative Trading: </w:t>
      </w:r>
      <w:r>
        <w:rPr>
          <w:rFonts w:ascii="Arial" w:eastAsia="Arial" w:hAnsi="Arial" w:cs="Arial"/>
          <w:color w:val="1A1A1A"/>
          <w:sz w:val="18"/>
          <w:szCs w:val="18"/>
        </w:rPr>
        <w:t>triple difference-in-differences design linking legalized sports betting to speculative stock behavior.</w:t>
      </w:r>
    </w:p>
    <w:p w14:paraId="4C493914" w14:textId="77777777" w:rsidR="00C94160" w:rsidRDefault="00000000">
      <w:pPr>
        <w:tabs>
          <w:tab w:val="right" w:pos="11016"/>
        </w:tabs>
        <w:spacing w:before="55" w:after="4" w:line="228" w:lineRule="auto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>ARKA Mohaseb Sahand | International</w:t>
      </w:r>
      <w:r>
        <w:rPr>
          <w:rFonts w:ascii="Arial" w:eastAsia="Arial" w:hAnsi="Arial" w:cs="Arial"/>
          <w:color w:val="555555"/>
          <w:sz w:val="18"/>
          <w:szCs w:val="18"/>
        </w:rPr>
        <w:tab/>
        <w:t>2018 – 2021</w:t>
      </w:r>
    </w:p>
    <w:p w14:paraId="301F8065" w14:textId="77777777" w:rsidR="00C94160" w:rsidRDefault="00000000">
      <w:pPr>
        <w:spacing w:after="15" w:line="228" w:lineRule="auto"/>
      </w:pPr>
      <w:r>
        <w:rPr>
          <w:rFonts w:ascii="Arial" w:eastAsia="Arial" w:hAnsi="Arial" w:cs="Arial"/>
          <w:i/>
          <w:iCs/>
          <w:color w:val="1A1A1A"/>
          <w:sz w:val="18"/>
          <w:szCs w:val="18"/>
          <w:u w:val="single"/>
        </w:rPr>
        <w:t>Founder &amp; Portfolio Manager</w:t>
      </w:r>
    </w:p>
    <w:p w14:paraId="438D6B26" w14:textId="77777777" w:rsidR="00C94160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rPr>
          <w:rFonts w:ascii="Arial" w:eastAsia="Arial" w:hAnsi="Arial" w:cs="Arial"/>
          <w:color w:val="1A1A1A"/>
          <w:sz w:val="18"/>
          <w:szCs w:val="18"/>
        </w:rPr>
        <w:t>Founded and managed a financial advisory firm specializing in portfolio management, equity valuation, and financial data analysis for individual and institutional investors.</w:t>
      </w:r>
    </w:p>
    <w:p w14:paraId="23545D15" w14:textId="77777777" w:rsidR="00C94160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rPr>
          <w:rFonts w:ascii="Arial" w:eastAsia="Arial" w:hAnsi="Arial" w:cs="Arial"/>
          <w:color w:val="1A1A1A"/>
          <w:sz w:val="18"/>
          <w:szCs w:val="18"/>
        </w:rPr>
        <w:t>Managed 100+ individual and 20 institutional investment portfolios, leading a team of fundamental analysts on equity valuation, earnings forecasting, and stock-performance analysis.</w:t>
      </w:r>
    </w:p>
    <w:p w14:paraId="7683C505" w14:textId="77777777" w:rsidR="00C94160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rPr>
          <w:rFonts w:ascii="Arial" w:eastAsia="Arial" w:hAnsi="Arial" w:cs="Arial"/>
          <w:color w:val="1A1A1A"/>
          <w:sz w:val="18"/>
          <w:szCs w:val="18"/>
        </w:rPr>
        <w:t>Built a structured financial data center integrating market data, earnings forecasts, and valuation models to support investment research and portfolio decisions.</w:t>
      </w:r>
    </w:p>
    <w:p w14:paraId="382A3B37" w14:textId="77777777" w:rsidR="00C94160" w:rsidRDefault="00000000">
      <w:pPr>
        <w:tabs>
          <w:tab w:val="right" w:pos="11016"/>
        </w:tabs>
        <w:spacing w:before="55" w:after="4" w:line="228" w:lineRule="auto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>Arman Ati Financial Group | International</w:t>
      </w:r>
      <w:r>
        <w:rPr>
          <w:rFonts w:ascii="Arial" w:eastAsia="Arial" w:hAnsi="Arial" w:cs="Arial"/>
          <w:color w:val="555555"/>
          <w:sz w:val="18"/>
          <w:szCs w:val="18"/>
        </w:rPr>
        <w:tab/>
        <w:t>2019</w:t>
      </w:r>
    </w:p>
    <w:p w14:paraId="472E841F" w14:textId="77777777" w:rsidR="00C94160" w:rsidRDefault="00000000">
      <w:pPr>
        <w:spacing w:after="15" w:line="228" w:lineRule="auto"/>
      </w:pPr>
      <w:r>
        <w:rPr>
          <w:rFonts w:ascii="Arial" w:eastAsia="Arial" w:hAnsi="Arial" w:cs="Arial"/>
          <w:i/>
          <w:iCs/>
          <w:color w:val="1A1A1A"/>
          <w:sz w:val="18"/>
          <w:szCs w:val="18"/>
          <w:u w:val="single"/>
        </w:rPr>
        <w:t>Research Collaborator</w:t>
      </w:r>
    </w:p>
    <w:p w14:paraId="5E8F7C9D" w14:textId="77777777" w:rsidR="00C94160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rPr>
          <w:rFonts w:ascii="Arial" w:eastAsia="Arial" w:hAnsi="Arial" w:cs="Arial"/>
          <w:color w:val="1A1A1A"/>
          <w:sz w:val="18"/>
          <w:szCs w:val="18"/>
        </w:rPr>
        <w:t>Evaluated informational and operational efficiency of the Iranian stock market using historical pricing, trading volume, and earnings data; contributed to empirical tests of weak-form and semi-strong-form market efficiency.</w:t>
      </w:r>
    </w:p>
    <w:p w14:paraId="41AC8DB1" w14:textId="77777777" w:rsidR="00C94160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rPr>
          <w:rFonts w:ascii="Arial" w:eastAsia="Arial" w:hAnsi="Arial" w:cs="Arial"/>
          <w:color w:val="1A1A1A"/>
          <w:sz w:val="18"/>
          <w:szCs w:val="18"/>
        </w:rPr>
        <w:t>Performed data collection, cleaning, and statistical analysis using financial databases and modeling tools.</w:t>
      </w:r>
    </w:p>
    <w:p w14:paraId="13C4A668" w14:textId="77777777" w:rsidR="00C94160" w:rsidRDefault="00000000">
      <w:pPr>
        <w:tabs>
          <w:tab w:val="right" w:pos="11016"/>
        </w:tabs>
        <w:spacing w:before="55" w:after="4" w:line="228" w:lineRule="auto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Jaber </w:t>
      </w:r>
      <w:proofErr w:type="spellStart"/>
      <w:r>
        <w:rPr>
          <w:rFonts w:ascii="Arial" w:eastAsia="Arial" w:hAnsi="Arial" w:cs="Arial"/>
          <w:b/>
          <w:bCs/>
          <w:color w:val="1A1A1A"/>
          <w:sz w:val="18"/>
          <w:szCs w:val="18"/>
        </w:rPr>
        <w:t>Ebne</w:t>
      </w:r>
      <w:proofErr w:type="spellEnd"/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 Hayyan Pharmaceutical Company | International</w:t>
      </w:r>
      <w:r>
        <w:rPr>
          <w:rFonts w:ascii="Arial" w:eastAsia="Arial" w:hAnsi="Arial" w:cs="Arial"/>
          <w:color w:val="555555"/>
          <w:sz w:val="18"/>
          <w:szCs w:val="18"/>
        </w:rPr>
        <w:tab/>
        <w:t>Summers 2016 – 2017</w:t>
      </w:r>
    </w:p>
    <w:p w14:paraId="7A3094DB" w14:textId="77777777" w:rsidR="00C94160" w:rsidRDefault="00000000">
      <w:pPr>
        <w:spacing w:after="15" w:line="228" w:lineRule="auto"/>
      </w:pPr>
      <w:r>
        <w:rPr>
          <w:rFonts w:ascii="Arial" w:eastAsia="Arial" w:hAnsi="Arial" w:cs="Arial"/>
          <w:i/>
          <w:iCs/>
          <w:color w:val="1A1A1A"/>
          <w:sz w:val="18"/>
          <w:szCs w:val="18"/>
          <w:u w:val="single"/>
        </w:rPr>
        <w:t>Finance &amp; Inventory Intern</w:t>
      </w:r>
    </w:p>
    <w:p w14:paraId="34CB94CA" w14:textId="77777777" w:rsidR="00C94160" w:rsidRDefault="00000000">
      <w:pPr>
        <w:spacing w:after="20" w:line="228" w:lineRule="auto"/>
      </w:pPr>
      <w:r>
        <w:rPr>
          <w:rFonts w:ascii="Arial" w:eastAsia="Arial" w:hAnsi="Arial" w:cs="Arial"/>
          <w:color w:val="1A1A1A"/>
          <w:sz w:val="18"/>
          <w:szCs w:val="18"/>
        </w:rPr>
        <w:t>Supported financial reporting, cost analysis, budget monitoring, and variance analysis; assisted with financial transaction processing and inventory-control procedures.</w:t>
      </w:r>
    </w:p>
    <w:p w14:paraId="0117CD32" w14:textId="77777777" w:rsidR="00C94160" w:rsidRDefault="00000000">
      <w:pPr>
        <w:pBdr>
          <w:bottom w:val="single" w:sz="6" w:space="2" w:color="1F4E79"/>
        </w:pBdr>
        <w:spacing w:before="120" w:after="30" w:line="228" w:lineRule="auto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AWARDS</w:t>
      </w:r>
    </w:p>
    <w:p w14:paraId="0927B968" w14:textId="77777777" w:rsidR="00C94160" w:rsidRDefault="00000000">
      <w:pPr>
        <w:pStyle w:val="ListParagraph"/>
        <w:numPr>
          <w:ilvl w:val="0"/>
          <w:numId w:val="2"/>
        </w:numPr>
        <w:spacing w:after="16" w:line="228" w:lineRule="auto"/>
      </w:pPr>
      <w:r>
        <w:rPr>
          <w:rFonts w:ascii="Arial" w:eastAsia="Arial" w:hAnsi="Arial" w:cs="Arial"/>
          <w:color w:val="1A1A1A"/>
          <w:sz w:val="18"/>
          <w:szCs w:val="18"/>
        </w:rPr>
        <w:t>Old Dominion University, 2026 – Graduate Summer Award Program (GSAP) Research Award ($4,000)</w:t>
      </w:r>
    </w:p>
    <w:p w14:paraId="54006DC6" w14:textId="77777777" w:rsidR="00C94160" w:rsidRDefault="00000000">
      <w:pPr>
        <w:pStyle w:val="ListParagraph"/>
        <w:numPr>
          <w:ilvl w:val="0"/>
          <w:numId w:val="2"/>
        </w:numPr>
        <w:spacing w:after="16" w:line="228" w:lineRule="auto"/>
      </w:pPr>
      <w:r>
        <w:rPr>
          <w:rFonts w:ascii="Arial" w:eastAsia="Arial" w:hAnsi="Arial" w:cs="Arial"/>
          <w:color w:val="1A1A1A"/>
          <w:sz w:val="18"/>
          <w:szCs w:val="18"/>
        </w:rPr>
        <w:t>University of Isfahan, 2021 – Ranked 2nd Among Financial Engineering Graduates</w:t>
      </w:r>
    </w:p>
    <w:p w14:paraId="2F80239A" w14:textId="77777777" w:rsidR="00C94160" w:rsidRDefault="00000000">
      <w:pPr>
        <w:pStyle w:val="ListParagraph"/>
        <w:numPr>
          <w:ilvl w:val="0"/>
          <w:numId w:val="2"/>
        </w:numPr>
        <w:spacing w:after="16" w:line="228" w:lineRule="auto"/>
      </w:pPr>
      <w:r>
        <w:rPr>
          <w:rFonts w:ascii="Arial" w:eastAsia="Arial" w:hAnsi="Arial" w:cs="Arial"/>
          <w:color w:val="1A1A1A"/>
          <w:sz w:val="18"/>
          <w:szCs w:val="18"/>
        </w:rPr>
        <w:t>University of Isfahan Team, 2018–2019 – Stock Market Stars League (Ranked 4th of 34 Universities Nationwide)</w:t>
      </w:r>
    </w:p>
    <w:p w14:paraId="61E2A4EF" w14:textId="77777777" w:rsidR="00C94160" w:rsidRDefault="00000000">
      <w:pPr>
        <w:pBdr>
          <w:bottom w:val="single" w:sz="6" w:space="2" w:color="1F4E79"/>
        </w:pBdr>
        <w:spacing w:before="120" w:after="30" w:line="228" w:lineRule="auto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SELECTED PUBLICATIONS</w:t>
      </w:r>
    </w:p>
    <w:p w14:paraId="4EDE446F" w14:textId="77777777" w:rsidR="00C94160" w:rsidRDefault="00000000">
      <w:pPr>
        <w:pStyle w:val="ListParagraph"/>
        <w:numPr>
          <w:ilvl w:val="0"/>
          <w:numId w:val="2"/>
        </w:numPr>
        <w:spacing w:after="16" w:line="228" w:lineRule="auto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Yung, K.,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Kahibavil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>, R., Li, S., &amp; Amidi, A. (2026). “International Evidence on the Relationship Between Financial Literacy and Corporate Cash Holdings.” Journal of Corporate Accounting &amp; Finance.</w:t>
      </w:r>
    </w:p>
    <w:p w14:paraId="3FF42779" w14:textId="77777777" w:rsidR="00C94160" w:rsidRDefault="00000000">
      <w:pPr>
        <w:pStyle w:val="ListParagraph"/>
        <w:numPr>
          <w:ilvl w:val="0"/>
          <w:numId w:val="2"/>
        </w:numPr>
        <w:spacing w:after="16" w:line="228" w:lineRule="auto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Haghighi Zadeh, R., &amp;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Kahibavil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>, R. (2026). “Do Retail Investors Drive Lottery-Like Stock Mispricing?” Working paper; under review, Journal of Banking &amp; Finance.</w:t>
      </w:r>
    </w:p>
    <w:p w14:paraId="149B1BEF" w14:textId="77777777" w:rsidR="00C94160" w:rsidRDefault="00000000">
      <w:pPr>
        <w:pStyle w:val="ListParagraph"/>
        <w:numPr>
          <w:ilvl w:val="0"/>
          <w:numId w:val="2"/>
        </w:numPr>
        <w:spacing w:after="16" w:line="228" w:lineRule="auto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Haghighi Zadeh, R.,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Kahibavil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>, R., &amp; Safari, N. (2026). “Expected vs. Unexpected Extremes: The Origins of the MAX Anomaly.” Working paper; under review, Review of Finance.</w:t>
      </w:r>
    </w:p>
    <w:sectPr w:rsidR="00C94160">
      <w:pgSz w:w="12240" w:h="15840"/>
      <w:pgMar w:top="280" w:right="580" w:bottom="280" w:left="5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124FAC"/>
    <w:multiLevelType w:val="hybridMultilevel"/>
    <w:tmpl w:val="5A26B774"/>
    <w:lvl w:ilvl="0" w:tplc="92FEBBC0">
      <w:start w:val="1"/>
      <w:numFmt w:val="bullet"/>
      <w:lvlText w:val="•"/>
      <w:lvlJc w:val="left"/>
      <w:pPr>
        <w:ind w:left="316" w:hanging="201"/>
      </w:pPr>
    </w:lvl>
    <w:lvl w:ilvl="1" w:tplc="48984F78">
      <w:numFmt w:val="decimal"/>
      <w:lvlText w:val=""/>
      <w:lvlJc w:val="left"/>
    </w:lvl>
    <w:lvl w:ilvl="2" w:tplc="1A28D016">
      <w:numFmt w:val="decimal"/>
      <w:lvlText w:val=""/>
      <w:lvlJc w:val="left"/>
    </w:lvl>
    <w:lvl w:ilvl="3" w:tplc="94120760">
      <w:numFmt w:val="decimal"/>
      <w:lvlText w:val=""/>
      <w:lvlJc w:val="left"/>
    </w:lvl>
    <w:lvl w:ilvl="4" w:tplc="6BE80C06">
      <w:numFmt w:val="decimal"/>
      <w:lvlText w:val=""/>
      <w:lvlJc w:val="left"/>
    </w:lvl>
    <w:lvl w:ilvl="5" w:tplc="B0A431FE">
      <w:numFmt w:val="decimal"/>
      <w:lvlText w:val=""/>
      <w:lvlJc w:val="left"/>
    </w:lvl>
    <w:lvl w:ilvl="6" w:tplc="52C0FE2E">
      <w:numFmt w:val="decimal"/>
      <w:lvlText w:val=""/>
      <w:lvlJc w:val="left"/>
    </w:lvl>
    <w:lvl w:ilvl="7" w:tplc="B3066D18">
      <w:numFmt w:val="decimal"/>
      <w:lvlText w:val=""/>
      <w:lvlJc w:val="left"/>
    </w:lvl>
    <w:lvl w:ilvl="8" w:tplc="B8AC150C">
      <w:numFmt w:val="decimal"/>
      <w:lvlText w:val=""/>
      <w:lvlJc w:val="left"/>
    </w:lvl>
  </w:abstractNum>
  <w:abstractNum w:abstractNumId="1" w15:restartNumberingAfterBreak="0">
    <w:nsid w:val="397F7C9B"/>
    <w:multiLevelType w:val="hybridMultilevel"/>
    <w:tmpl w:val="4F6C3E2E"/>
    <w:lvl w:ilvl="0" w:tplc="D758C73E">
      <w:start w:val="1"/>
      <w:numFmt w:val="bullet"/>
      <w:lvlText w:val="●"/>
      <w:lvlJc w:val="left"/>
      <w:pPr>
        <w:ind w:left="720" w:hanging="360"/>
      </w:pPr>
    </w:lvl>
    <w:lvl w:ilvl="1" w:tplc="3BC6AD1C">
      <w:start w:val="1"/>
      <w:numFmt w:val="bullet"/>
      <w:lvlText w:val="○"/>
      <w:lvlJc w:val="left"/>
      <w:pPr>
        <w:ind w:left="1440" w:hanging="360"/>
      </w:pPr>
    </w:lvl>
    <w:lvl w:ilvl="2" w:tplc="AB0A1066">
      <w:start w:val="1"/>
      <w:numFmt w:val="bullet"/>
      <w:lvlText w:val="■"/>
      <w:lvlJc w:val="left"/>
      <w:pPr>
        <w:ind w:left="2160" w:hanging="360"/>
      </w:pPr>
    </w:lvl>
    <w:lvl w:ilvl="3" w:tplc="9B90806C">
      <w:start w:val="1"/>
      <w:numFmt w:val="bullet"/>
      <w:lvlText w:val="●"/>
      <w:lvlJc w:val="left"/>
      <w:pPr>
        <w:ind w:left="2880" w:hanging="360"/>
      </w:pPr>
    </w:lvl>
    <w:lvl w:ilvl="4" w:tplc="36C23F68">
      <w:start w:val="1"/>
      <w:numFmt w:val="bullet"/>
      <w:lvlText w:val="○"/>
      <w:lvlJc w:val="left"/>
      <w:pPr>
        <w:ind w:left="3600" w:hanging="360"/>
      </w:pPr>
    </w:lvl>
    <w:lvl w:ilvl="5" w:tplc="FEC457E4">
      <w:start w:val="1"/>
      <w:numFmt w:val="bullet"/>
      <w:lvlText w:val="■"/>
      <w:lvlJc w:val="left"/>
      <w:pPr>
        <w:ind w:left="4320" w:hanging="360"/>
      </w:pPr>
    </w:lvl>
    <w:lvl w:ilvl="6" w:tplc="49441610">
      <w:start w:val="1"/>
      <w:numFmt w:val="bullet"/>
      <w:lvlText w:val="●"/>
      <w:lvlJc w:val="left"/>
      <w:pPr>
        <w:ind w:left="5040" w:hanging="360"/>
      </w:pPr>
    </w:lvl>
    <w:lvl w:ilvl="7" w:tplc="AFBE9598">
      <w:start w:val="1"/>
      <w:numFmt w:val="bullet"/>
      <w:lvlText w:val="●"/>
      <w:lvlJc w:val="left"/>
      <w:pPr>
        <w:ind w:left="5760" w:hanging="360"/>
      </w:pPr>
    </w:lvl>
    <w:lvl w:ilvl="8" w:tplc="825EF5BA">
      <w:start w:val="1"/>
      <w:numFmt w:val="bullet"/>
      <w:lvlText w:val="●"/>
      <w:lvlJc w:val="left"/>
      <w:pPr>
        <w:ind w:left="6480" w:hanging="360"/>
      </w:pPr>
    </w:lvl>
  </w:abstractNum>
  <w:num w:numId="1" w16cid:durableId="208491086">
    <w:abstractNumId w:val="1"/>
    <w:lvlOverride w:ilvl="0">
      <w:startOverride w:val="1"/>
    </w:lvlOverride>
  </w:num>
  <w:num w:numId="2" w16cid:durableId="19309633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160"/>
    <w:rsid w:val="001B27A3"/>
    <w:rsid w:val="00C94160"/>
    <w:rsid w:val="00FB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BABBD9"/>
  <w15:docId w15:val="{BAF4E168-B71A-6140-A508-359FEA58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kahi001@od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reza bavili</cp:lastModifiedBy>
  <cp:revision>2</cp:revision>
  <dcterms:created xsi:type="dcterms:W3CDTF">2026-09-20T05:32:00Z</dcterms:created>
  <dcterms:modified xsi:type="dcterms:W3CDTF">2026-09-20T05:49:00Z</dcterms:modified>
</cp:coreProperties>
</file>