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BB23FF1" w14:textId="77777777" w:rsidR="00EF57B8" w:rsidRDefault="00000000">
      <w:pPr>
        <w:spacing w:after="20"/>
        <w:jc w:val="center"/>
      </w:pPr>
      <w:r>
        <w:rPr>
          <w:rFonts w:ascii="Calibri" w:eastAsia="Calibri" w:hAnsi="Calibri" w:cs="Calibri"/>
          <w:b/>
          <w:bCs/>
          <w:color w:val="1F3864"/>
          <w:sz w:val="32"/>
          <w:szCs w:val="32"/>
        </w:rPr>
        <w:t>REZA KAHIBAVIL</w:t>
      </w:r>
    </w:p>
    <w:p w14:paraId="504BADCF" w14:textId="77777777" w:rsidR="00EF57B8" w:rsidRDefault="00000000">
      <w:pPr>
        <w:spacing w:after="40"/>
        <w:jc w:val="center"/>
      </w:pPr>
      <w:r>
        <w:rPr>
          <w:rFonts w:ascii="Calibri" w:eastAsia="Calibri" w:hAnsi="Calibri" w:cs="Calibri"/>
          <w:b/>
          <w:bCs/>
          <w:color w:val="222222"/>
        </w:rPr>
        <w:t xml:space="preserve">Quantitative </w:t>
      </w:r>
      <w:proofErr w:type="gramStart"/>
      <w:r>
        <w:rPr>
          <w:rFonts w:ascii="Calibri" w:eastAsia="Calibri" w:hAnsi="Calibri" w:cs="Calibri"/>
          <w:b/>
          <w:bCs/>
          <w:color w:val="222222"/>
        </w:rPr>
        <w:t>Finance  |</w:t>
      </w:r>
      <w:proofErr w:type="gramEnd"/>
      <w:r>
        <w:rPr>
          <w:rFonts w:ascii="Calibri" w:eastAsia="Calibri" w:hAnsi="Calibri" w:cs="Calibri"/>
          <w:b/>
          <w:bCs/>
          <w:color w:val="222222"/>
        </w:rPr>
        <w:t xml:space="preserve">  Asset </w:t>
      </w:r>
      <w:proofErr w:type="gramStart"/>
      <w:r>
        <w:rPr>
          <w:rFonts w:ascii="Calibri" w:eastAsia="Calibri" w:hAnsi="Calibri" w:cs="Calibri"/>
          <w:b/>
          <w:bCs/>
          <w:color w:val="222222"/>
        </w:rPr>
        <w:t>Pricing  |</w:t>
      </w:r>
      <w:proofErr w:type="gramEnd"/>
      <w:r>
        <w:rPr>
          <w:rFonts w:ascii="Calibri" w:eastAsia="Calibri" w:hAnsi="Calibri" w:cs="Calibri"/>
          <w:b/>
          <w:bCs/>
          <w:color w:val="222222"/>
        </w:rPr>
        <w:t xml:space="preserve">  Portfolio </w:t>
      </w:r>
      <w:proofErr w:type="gramStart"/>
      <w:r>
        <w:rPr>
          <w:rFonts w:ascii="Calibri" w:eastAsia="Calibri" w:hAnsi="Calibri" w:cs="Calibri"/>
          <w:b/>
          <w:bCs/>
          <w:color w:val="222222"/>
        </w:rPr>
        <w:t>Analytics  |</w:t>
      </w:r>
      <w:proofErr w:type="gramEnd"/>
      <w:r>
        <w:rPr>
          <w:rFonts w:ascii="Calibri" w:eastAsia="Calibri" w:hAnsi="Calibri" w:cs="Calibri"/>
          <w:b/>
          <w:bCs/>
          <w:color w:val="222222"/>
        </w:rPr>
        <w:t xml:space="preserve">  Risk Modeling</w:t>
      </w:r>
    </w:p>
    <w:p w14:paraId="0257B874" w14:textId="659D5451" w:rsidR="00EF57B8" w:rsidRDefault="005D4D52">
      <w:pPr>
        <w:spacing w:after="100"/>
        <w:jc w:val="center"/>
      </w:pPr>
      <w:r>
        <w:rPr>
          <w:rFonts w:ascii="Calibri" w:eastAsia="Calibri" w:hAnsi="Calibri" w:cs="Calibri"/>
          <w:color w:val="595959"/>
          <w:sz w:val="18"/>
          <w:szCs w:val="18"/>
        </w:rPr>
        <w:t xml:space="preserve">Spring, </w:t>
      </w:r>
      <w:proofErr w:type="gramStart"/>
      <w:r>
        <w:rPr>
          <w:rFonts w:ascii="Calibri" w:eastAsia="Calibri" w:hAnsi="Calibri" w:cs="Calibri"/>
          <w:color w:val="595959"/>
          <w:sz w:val="18"/>
          <w:szCs w:val="18"/>
        </w:rPr>
        <w:t>TX  |</w:t>
      </w:r>
      <w:proofErr w:type="gramEnd"/>
      <w:r>
        <w:rPr>
          <w:rFonts w:ascii="Calibri" w:eastAsia="Calibri" w:hAnsi="Calibri" w:cs="Calibri"/>
          <w:color w:val="595959"/>
          <w:sz w:val="18"/>
          <w:szCs w:val="18"/>
        </w:rPr>
        <w:t xml:space="preserve">  757-895-</w:t>
      </w:r>
      <w:proofErr w:type="gramStart"/>
      <w:r>
        <w:rPr>
          <w:rFonts w:ascii="Calibri" w:eastAsia="Calibri" w:hAnsi="Calibri" w:cs="Calibri"/>
          <w:color w:val="595959"/>
          <w:sz w:val="18"/>
          <w:szCs w:val="18"/>
        </w:rPr>
        <w:t>5266  |</w:t>
      </w:r>
      <w:proofErr w:type="gramEnd"/>
      <w:r>
        <w:rPr>
          <w:rFonts w:ascii="Calibri" w:eastAsia="Calibri" w:hAnsi="Calibri" w:cs="Calibri"/>
          <w:color w:val="595959"/>
          <w:sz w:val="18"/>
          <w:szCs w:val="18"/>
        </w:rPr>
        <w:t xml:space="preserve">  </w:t>
      </w:r>
      <w:proofErr w:type="gramStart"/>
      <w:r>
        <w:rPr>
          <w:rFonts w:ascii="Calibri" w:eastAsia="Calibri" w:hAnsi="Calibri" w:cs="Calibri"/>
          <w:color w:val="595959"/>
          <w:sz w:val="18"/>
          <w:szCs w:val="18"/>
        </w:rPr>
        <w:t>rkahi001@odu.edu  |</w:t>
      </w:r>
      <w:proofErr w:type="gramEnd"/>
      <w:r>
        <w:rPr>
          <w:rFonts w:ascii="Calibri" w:eastAsia="Calibri" w:hAnsi="Calibri" w:cs="Calibri"/>
          <w:color w:val="595959"/>
          <w:sz w:val="18"/>
          <w:szCs w:val="18"/>
        </w:rPr>
        <w:t xml:space="preserve">  linkedin.com/in/[add-handle]</w:t>
      </w:r>
    </w:p>
    <w:p w14:paraId="7A4BF8A1" w14:textId="77777777" w:rsidR="00EF57B8" w:rsidRDefault="00EF57B8">
      <w:pPr>
        <w:pBdr>
          <w:bottom w:val="single" w:sz="6" w:space="1" w:color="1F3864"/>
        </w:pBdr>
        <w:spacing w:after="120"/>
      </w:pPr>
    </w:p>
    <w:p w14:paraId="4F8E2510" w14:textId="77777777" w:rsidR="00EF57B8" w:rsidRDefault="00000000">
      <w:pPr>
        <w:pBdr>
          <w:bottom w:val="single" w:sz="4" w:space="2" w:color="1F3864"/>
        </w:pBdr>
        <w:spacing w:before="220" w:after="60"/>
      </w:pPr>
      <w:r>
        <w:rPr>
          <w:rFonts w:ascii="Calibri" w:eastAsia="Calibri" w:hAnsi="Calibri" w:cs="Calibri"/>
          <w:b/>
          <w:bCs/>
          <w:color w:val="1F3864"/>
          <w:sz w:val="21"/>
          <w:szCs w:val="21"/>
        </w:rPr>
        <w:t>PROFESSIONAL SUMMARY</w:t>
      </w:r>
    </w:p>
    <w:p w14:paraId="1B30A8DD" w14:textId="5C9DA5B6" w:rsidR="00EF57B8" w:rsidRDefault="00000000">
      <w:pPr>
        <w:spacing w:after="100"/>
      </w:pPr>
      <w:r>
        <w:rPr>
          <w:rFonts w:ascii="Calibri" w:eastAsia="Calibri" w:hAnsi="Calibri" w:cs="Calibri"/>
          <w:color w:val="222222"/>
        </w:rPr>
        <w:t xml:space="preserve">Quantitative finance professional and Ph.D. candidate in Finance with an M.S. in Financial Engineering and Risk Management and six years of experience spanning portfolio management, equity valuation, financial modeling, and empirical investment research. Founded and managed a financial advisory firm, directing more than 100 individual and </w:t>
      </w:r>
      <w:r w:rsidR="005B3E24">
        <w:rPr>
          <w:rFonts w:ascii="Calibri" w:eastAsia="Calibri" w:hAnsi="Calibri" w:cs="Calibri"/>
          <w:color w:val="222222"/>
        </w:rPr>
        <w:t>2</w:t>
      </w:r>
      <w:r>
        <w:rPr>
          <w:rFonts w:ascii="Calibri" w:eastAsia="Calibri" w:hAnsi="Calibri" w:cs="Calibri"/>
          <w:color w:val="222222"/>
        </w:rPr>
        <w:t xml:space="preserve">0 institutional portfolios and a team of fundamental analysts. Research and professional work center on empirical asset pricing, return predictability, large-scale panel data analysis, and time-series forecasting using Python, R, </w:t>
      </w:r>
      <w:r w:rsidR="005B3E24">
        <w:rPr>
          <w:rFonts w:ascii="Calibri" w:eastAsia="Calibri" w:hAnsi="Calibri" w:cs="Calibri"/>
          <w:color w:val="222222"/>
        </w:rPr>
        <w:t xml:space="preserve">MATLAB, </w:t>
      </w:r>
      <w:r>
        <w:rPr>
          <w:rFonts w:ascii="Calibri" w:eastAsia="Calibri" w:hAnsi="Calibri" w:cs="Calibri"/>
          <w:color w:val="222222"/>
        </w:rPr>
        <w:t>and SAS.</w:t>
      </w:r>
    </w:p>
    <w:p w14:paraId="34CAD5CA" w14:textId="77777777" w:rsidR="00EF57B8" w:rsidRDefault="00000000">
      <w:pPr>
        <w:pBdr>
          <w:bottom w:val="single" w:sz="4" w:space="2" w:color="1F3864"/>
        </w:pBdr>
        <w:spacing w:before="220" w:after="60"/>
      </w:pPr>
      <w:r>
        <w:rPr>
          <w:rFonts w:ascii="Calibri" w:eastAsia="Calibri" w:hAnsi="Calibri" w:cs="Calibri"/>
          <w:b/>
          <w:bCs/>
          <w:color w:val="1F3864"/>
          <w:sz w:val="21"/>
          <w:szCs w:val="21"/>
        </w:rPr>
        <w:t>QUANTITATIVE &amp; TECHNICAL SKILLS</w:t>
      </w:r>
    </w:p>
    <w:p w14:paraId="6478865D" w14:textId="2DA3CF3C" w:rsidR="00EF57B8" w:rsidRDefault="00000000">
      <w:pPr>
        <w:spacing w:after="60"/>
      </w:pPr>
      <w:r>
        <w:rPr>
          <w:rFonts w:ascii="Calibri" w:eastAsia="Calibri" w:hAnsi="Calibri" w:cs="Calibri"/>
          <w:b/>
          <w:bCs/>
          <w:color w:val="222222"/>
        </w:rPr>
        <w:t xml:space="preserve">Programming: </w:t>
      </w:r>
      <w:r>
        <w:rPr>
          <w:rFonts w:ascii="Calibri" w:eastAsia="Calibri" w:hAnsi="Calibri" w:cs="Calibri"/>
          <w:color w:val="222222"/>
        </w:rPr>
        <w:t xml:space="preserve">Python, R, </w:t>
      </w:r>
      <w:r w:rsidR="005F0EFE">
        <w:rPr>
          <w:rFonts w:ascii="Calibri" w:eastAsia="Calibri" w:hAnsi="Calibri" w:cs="Calibri"/>
          <w:color w:val="222222"/>
        </w:rPr>
        <w:t>MATLAB</w:t>
      </w:r>
      <w:r w:rsidR="005F0EFE">
        <w:rPr>
          <w:rFonts w:ascii="Calibri" w:eastAsia="Calibri" w:hAnsi="Calibri" w:cs="Calibri"/>
          <w:color w:val="222222"/>
        </w:rPr>
        <w:t xml:space="preserve">, </w:t>
      </w:r>
      <w:r>
        <w:rPr>
          <w:rFonts w:ascii="Calibri" w:eastAsia="Calibri" w:hAnsi="Calibri" w:cs="Calibri"/>
          <w:color w:val="222222"/>
        </w:rPr>
        <w:t>SAS</w:t>
      </w:r>
    </w:p>
    <w:p w14:paraId="7EC791C5" w14:textId="2FD3E9AA" w:rsidR="00EF57B8" w:rsidRDefault="00000000">
      <w:pPr>
        <w:spacing w:after="60"/>
      </w:pPr>
      <w:r>
        <w:rPr>
          <w:rFonts w:ascii="Calibri" w:eastAsia="Calibri" w:hAnsi="Calibri" w:cs="Calibri"/>
          <w:b/>
          <w:bCs/>
          <w:color w:val="222222"/>
        </w:rPr>
        <w:t xml:space="preserve">Statistical &amp; Econometric Tools: </w:t>
      </w:r>
      <w:r>
        <w:rPr>
          <w:rFonts w:ascii="Calibri" w:eastAsia="Calibri" w:hAnsi="Calibri" w:cs="Calibri"/>
          <w:color w:val="222222"/>
        </w:rPr>
        <w:t>Stata, EViews, SAS</w:t>
      </w:r>
      <w:r w:rsidR="005F0EFE">
        <w:rPr>
          <w:rFonts w:ascii="Calibri" w:eastAsia="Calibri" w:hAnsi="Calibri" w:cs="Calibri"/>
          <w:color w:val="222222"/>
        </w:rPr>
        <w:t>, SPSS</w:t>
      </w:r>
    </w:p>
    <w:p w14:paraId="493039A9" w14:textId="5EADA80F" w:rsidR="00EF57B8" w:rsidRDefault="00000000">
      <w:pPr>
        <w:spacing w:after="60"/>
      </w:pPr>
      <w:r>
        <w:rPr>
          <w:rFonts w:ascii="Calibri" w:eastAsia="Calibri" w:hAnsi="Calibri" w:cs="Calibri"/>
          <w:b/>
          <w:bCs/>
          <w:color w:val="222222"/>
        </w:rPr>
        <w:t xml:space="preserve">Quantitative Finance: </w:t>
      </w:r>
      <w:r>
        <w:rPr>
          <w:rFonts w:ascii="Calibri" w:eastAsia="Calibri" w:hAnsi="Calibri" w:cs="Calibri"/>
          <w:color w:val="222222"/>
        </w:rPr>
        <w:t>Asset Pricing, Portfolio Analysis, Risk Management, Time-Series Analysis, Return Forecasting, Financial Econometrics, Large-Scale Panel Data (CRSP, TAQ</w:t>
      </w:r>
      <w:r w:rsidR="005F0EFE">
        <w:rPr>
          <w:rFonts w:ascii="Calibri" w:eastAsia="Calibri" w:hAnsi="Calibri" w:cs="Calibri"/>
          <w:color w:val="222222"/>
        </w:rPr>
        <w:t xml:space="preserve">, COMPUSTAT, </w:t>
      </w:r>
      <w:r w:rsidR="005F0EFE">
        <w:rPr>
          <w:rFonts w:ascii="Calibri" w:eastAsia="Calibri" w:hAnsi="Calibri" w:cs="Calibri"/>
          <w:color w:val="222222"/>
        </w:rPr>
        <w:t>Bloomberg</w:t>
      </w:r>
      <w:r>
        <w:rPr>
          <w:rFonts w:ascii="Calibri" w:eastAsia="Calibri" w:hAnsi="Calibri" w:cs="Calibri"/>
          <w:color w:val="222222"/>
        </w:rPr>
        <w:t>)</w:t>
      </w:r>
    </w:p>
    <w:p w14:paraId="5A20F56A" w14:textId="77777777" w:rsidR="00EF57B8" w:rsidRDefault="00000000">
      <w:pPr>
        <w:spacing w:after="60"/>
      </w:pPr>
      <w:r>
        <w:rPr>
          <w:rFonts w:ascii="Calibri" w:eastAsia="Calibri" w:hAnsi="Calibri" w:cs="Calibri"/>
          <w:b/>
          <w:bCs/>
          <w:color w:val="222222"/>
        </w:rPr>
        <w:t xml:space="preserve">Investment Analytics: </w:t>
      </w:r>
      <w:r>
        <w:rPr>
          <w:rFonts w:ascii="Calibri" w:eastAsia="Calibri" w:hAnsi="Calibri" w:cs="Calibri"/>
          <w:color w:val="222222"/>
        </w:rPr>
        <w:t>Equity Valuation, Portfolio Management, Financial Statement Analysis, Earnings Forecasting</w:t>
      </w:r>
    </w:p>
    <w:p w14:paraId="3D73C85D" w14:textId="63DB4DF5" w:rsidR="00EF57B8" w:rsidRDefault="00000000">
      <w:pPr>
        <w:spacing w:after="60"/>
      </w:pPr>
      <w:r>
        <w:rPr>
          <w:rFonts w:ascii="Calibri" w:eastAsia="Calibri" w:hAnsi="Calibri" w:cs="Calibri"/>
          <w:b/>
          <w:bCs/>
          <w:color w:val="222222"/>
        </w:rPr>
        <w:t xml:space="preserve">Other: </w:t>
      </w:r>
      <w:r>
        <w:rPr>
          <w:rFonts w:ascii="Calibri" w:eastAsia="Calibri" w:hAnsi="Calibri" w:cs="Calibri"/>
          <w:color w:val="222222"/>
        </w:rPr>
        <w:t>Microsoft Excel, Bloomberg Market Concepts</w:t>
      </w:r>
      <w:r w:rsidR="005F0EFE">
        <w:rPr>
          <w:rFonts w:ascii="Calibri" w:eastAsia="Calibri" w:hAnsi="Calibri" w:cs="Calibri"/>
          <w:color w:val="222222"/>
        </w:rPr>
        <w:t xml:space="preserve">, CFA </w:t>
      </w:r>
      <w:r w:rsidR="005F0EFE">
        <w:rPr>
          <w:rFonts w:ascii="Calibri" w:eastAsia="Calibri" w:hAnsi="Calibri" w:cs="Calibri"/>
          <w:color w:val="222222"/>
        </w:rPr>
        <w:t>Level II</w:t>
      </w:r>
    </w:p>
    <w:p w14:paraId="1DDA5DFF" w14:textId="77777777" w:rsidR="00EF57B8" w:rsidRDefault="00000000">
      <w:pPr>
        <w:pBdr>
          <w:bottom w:val="single" w:sz="4" w:space="2" w:color="1F3864"/>
        </w:pBdr>
        <w:spacing w:before="220" w:after="60"/>
      </w:pPr>
      <w:r>
        <w:rPr>
          <w:rFonts w:ascii="Calibri" w:eastAsia="Calibri" w:hAnsi="Calibri" w:cs="Calibri"/>
          <w:b/>
          <w:bCs/>
          <w:color w:val="1F3864"/>
          <w:sz w:val="21"/>
          <w:szCs w:val="21"/>
        </w:rPr>
        <w:t>PROFESSIONAL EXPERIENCE</w:t>
      </w:r>
    </w:p>
    <w:p w14:paraId="5D54BAAE" w14:textId="5B927137" w:rsidR="00EF57B8" w:rsidRDefault="00000000" w:rsidP="005F0EFE">
      <w:pPr>
        <w:tabs>
          <w:tab w:val="right" w:pos="10080"/>
        </w:tabs>
        <w:spacing w:before="140" w:after="20"/>
      </w:pPr>
      <w:r>
        <w:rPr>
          <w:rFonts w:ascii="Calibri" w:eastAsia="Calibri" w:hAnsi="Calibri" w:cs="Calibri"/>
          <w:b/>
          <w:bCs/>
          <w:color w:val="222222"/>
          <w:sz w:val="21"/>
          <w:szCs w:val="21"/>
        </w:rPr>
        <w:t xml:space="preserve">Founder &amp; Portfolio </w:t>
      </w:r>
      <w:proofErr w:type="gramStart"/>
      <w:r>
        <w:rPr>
          <w:rFonts w:ascii="Calibri" w:eastAsia="Calibri" w:hAnsi="Calibri" w:cs="Calibri"/>
          <w:b/>
          <w:bCs/>
          <w:color w:val="222222"/>
          <w:sz w:val="21"/>
          <w:szCs w:val="21"/>
        </w:rPr>
        <w:t>Manager</w:t>
      </w:r>
      <w:r>
        <w:rPr>
          <w:rFonts w:ascii="Calibri" w:eastAsia="Calibri" w:hAnsi="Calibri" w:cs="Calibri"/>
          <w:i/>
          <w:iCs/>
          <w:color w:val="222222"/>
          <w:sz w:val="21"/>
          <w:szCs w:val="21"/>
        </w:rPr>
        <w:t xml:space="preserve">  |</w:t>
      </w:r>
      <w:proofErr w:type="gramEnd"/>
      <w:r>
        <w:rPr>
          <w:rFonts w:ascii="Calibri" w:eastAsia="Calibri" w:hAnsi="Calibri" w:cs="Calibri"/>
          <w:i/>
          <w:iCs/>
          <w:color w:val="222222"/>
          <w:sz w:val="21"/>
          <w:szCs w:val="21"/>
        </w:rPr>
        <w:t xml:space="preserve">  ARKA Mohaseb Sahand</w:t>
      </w:r>
      <w:r>
        <w:rPr>
          <w:rFonts w:ascii="Calibri" w:eastAsia="Calibri" w:hAnsi="Calibri" w:cs="Calibri"/>
          <w:color w:val="595959"/>
          <w:sz w:val="19"/>
          <w:szCs w:val="19"/>
        </w:rPr>
        <w:tab/>
        <w:t>Tabriz</w:t>
      </w:r>
      <w:r w:rsidR="005F0EFE">
        <w:rPr>
          <w:rFonts w:ascii="Calibri" w:eastAsia="Calibri" w:hAnsi="Calibri" w:cs="Calibri"/>
          <w:color w:val="595959"/>
          <w:sz w:val="19"/>
          <w:szCs w:val="19"/>
        </w:rPr>
        <w:t xml:space="preserve"> </w:t>
      </w:r>
      <w:r>
        <w:rPr>
          <w:rFonts w:ascii="Calibri" w:eastAsia="Calibri" w:hAnsi="Calibri" w:cs="Calibri"/>
          <w:color w:val="595959"/>
          <w:sz w:val="19"/>
          <w:szCs w:val="19"/>
        </w:rPr>
        <w:t>| 2018 – 2021</w:t>
      </w:r>
    </w:p>
    <w:p w14:paraId="168A8426" w14:textId="77777777" w:rsidR="00EF57B8" w:rsidRDefault="00000000">
      <w:pPr>
        <w:pStyle w:val="ListParagraph"/>
        <w:numPr>
          <w:ilvl w:val="0"/>
          <w:numId w:val="2"/>
        </w:numPr>
        <w:spacing w:after="40"/>
      </w:pPr>
      <w:r>
        <w:rPr>
          <w:rFonts w:ascii="Calibri" w:eastAsia="Calibri" w:hAnsi="Calibri" w:cs="Calibri"/>
          <w:color w:val="222222"/>
        </w:rPr>
        <w:t>Founded and managed a financial advisory firm specializing in portfolio management, equity valuation, and financial data analysis for individual and institutional investors.</w:t>
      </w:r>
    </w:p>
    <w:p w14:paraId="5AFC5E99" w14:textId="49122806" w:rsidR="00EF57B8" w:rsidRDefault="00000000">
      <w:pPr>
        <w:pStyle w:val="ListParagraph"/>
        <w:numPr>
          <w:ilvl w:val="0"/>
          <w:numId w:val="2"/>
        </w:numPr>
        <w:spacing w:after="40"/>
      </w:pPr>
      <w:r>
        <w:rPr>
          <w:rFonts w:ascii="Calibri" w:eastAsia="Calibri" w:hAnsi="Calibri" w:cs="Calibri"/>
          <w:color w:val="222222"/>
        </w:rPr>
        <w:t xml:space="preserve">Managed more than 100 individual and </w:t>
      </w:r>
      <w:r w:rsidR="005D4D52">
        <w:rPr>
          <w:rFonts w:ascii="Calibri" w:eastAsia="Calibri" w:hAnsi="Calibri" w:cs="Calibri"/>
          <w:color w:val="222222"/>
        </w:rPr>
        <w:t>2</w:t>
      </w:r>
      <w:r>
        <w:rPr>
          <w:rFonts w:ascii="Calibri" w:eastAsia="Calibri" w:hAnsi="Calibri" w:cs="Calibri"/>
          <w:color w:val="222222"/>
        </w:rPr>
        <w:t>0 institutional investment portfolios, developing investment strategies based on client objectives and risk preferences.</w:t>
      </w:r>
    </w:p>
    <w:p w14:paraId="1EC607A6" w14:textId="77777777" w:rsidR="00EF57B8" w:rsidRDefault="00000000">
      <w:pPr>
        <w:pStyle w:val="ListParagraph"/>
        <w:numPr>
          <w:ilvl w:val="0"/>
          <w:numId w:val="2"/>
        </w:numPr>
        <w:spacing w:after="40"/>
      </w:pPr>
      <w:r>
        <w:rPr>
          <w:rFonts w:ascii="Calibri" w:eastAsia="Calibri" w:hAnsi="Calibri" w:cs="Calibri"/>
          <w:color w:val="222222"/>
        </w:rPr>
        <w:t>Led a team of fundamental analysts evaluating publicly traded companies through financial statement analysis, equity valuation, earnings forecasting, and stock-performance analysis.</w:t>
      </w:r>
    </w:p>
    <w:p w14:paraId="2E202CA5" w14:textId="77777777" w:rsidR="00EF57B8" w:rsidRDefault="00000000">
      <w:pPr>
        <w:pStyle w:val="ListParagraph"/>
        <w:numPr>
          <w:ilvl w:val="0"/>
          <w:numId w:val="2"/>
        </w:numPr>
        <w:spacing w:after="40"/>
      </w:pPr>
      <w:r>
        <w:rPr>
          <w:rFonts w:ascii="Calibri" w:eastAsia="Calibri" w:hAnsi="Calibri" w:cs="Calibri"/>
          <w:color w:val="222222"/>
        </w:rPr>
        <w:t>Developed a structured financial data center integrating market data, company fundamentals, earnings forecasts, and valuation models to support investment research and portfolio decisions.</w:t>
      </w:r>
    </w:p>
    <w:p w14:paraId="235D7868" w14:textId="6C29385D" w:rsidR="00EF57B8" w:rsidRDefault="00000000" w:rsidP="005F0EFE">
      <w:pPr>
        <w:tabs>
          <w:tab w:val="right" w:pos="10080"/>
        </w:tabs>
        <w:spacing w:before="140" w:after="20"/>
      </w:pPr>
      <w:r>
        <w:rPr>
          <w:rFonts w:ascii="Calibri" w:eastAsia="Calibri" w:hAnsi="Calibri" w:cs="Calibri"/>
          <w:b/>
          <w:bCs/>
          <w:color w:val="222222"/>
          <w:sz w:val="21"/>
          <w:szCs w:val="21"/>
        </w:rPr>
        <w:t xml:space="preserve">Research </w:t>
      </w:r>
      <w:proofErr w:type="gramStart"/>
      <w:r>
        <w:rPr>
          <w:rFonts w:ascii="Calibri" w:eastAsia="Calibri" w:hAnsi="Calibri" w:cs="Calibri"/>
          <w:b/>
          <w:bCs/>
          <w:color w:val="222222"/>
          <w:sz w:val="21"/>
          <w:szCs w:val="21"/>
        </w:rPr>
        <w:t>Collaborator</w:t>
      </w:r>
      <w:r>
        <w:rPr>
          <w:rFonts w:ascii="Calibri" w:eastAsia="Calibri" w:hAnsi="Calibri" w:cs="Calibri"/>
          <w:i/>
          <w:iCs/>
          <w:color w:val="222222"/>
          <w:sz w:val="21"/>
          <w:szCs w:val="21"/>
        </w:rPr>
        <w:t xml:space="preserve">  |</w:t>
      </w:r>
      <w:proofErr w:type="gramEnd"/>
      <w:r>
        <w:rPr>
          <w:rFonts w:ascii="Calibri" w:eastAsia="Calibri" w:hAnsi="Calibri" w:cs="Calibri"/>
          <w:i/>
          <w:iCs/>
          <w:color w:val="222222"/>
          <w:sz w:val="21"/>
          <w:szCs w:val="21"/>
        </w:rPr>
        <w:t xml:space="preserve">  Arman Ati Financial Group</w:t>
      </w:r>
      <w:r>
        <w:rPr>
          <w:rFonts w:ascii="Calibri" w:eastAsia="Calibri" w:hAnsi="Calibri" w:cs="Calibri"/>
          <w:color w:val="595959"/>
          <w:sz w:val="19"/>
          <w:szCs w:val="19"/>
        </w:rPr>
        <w:tab/>
        <w:t>Tehran</w:t>
      </w:r>
      <w:r w:rsidR="005F0EFE">
        <w:rPr>
          <w:rFonts w:ascii="Calibri" w:eastAsia="Calibri" w:hAnsi="Calibri" w:cs="Calibri"/>
          <w:color w:val="595959"/>
          <w:sz w:val="19"/>
          <w:szCs w:val="19"/>
        </w:rPr>
        <w:t xml:space="preserve"> </w:t>
      </w:r>
      <w:r>
        <w:rPr>
          <w:rFonts w:ascii="Calibri" w:eastAsia="Calibri" w:hAnsi="Calibri" w:cs="Calibri"/>
          <w:color w:val="595959"/>
          <w:sz w:val="19"/>
          <w:szCs w:val="19"/>
        </w:rPr>
        <w:t>| 2019</w:t>
      </w:r>
    </w:p>
    <w:p w14:paraId="53E0E5AD" w14:textId="77777777" w:rsidR="00EF57B8" w:rsidRDefault="00000000">
      <w:pPr>
        <w:pStyle w:val="ListParagraph"/>
        <w:numPr>
          <w:ilvl w:val="0"/>
          <w:numId w:val="2"/>
        </w:numPr>
        <w:spacing w:after="40"/>
      </w:pPr>
      <w:r>
        <w:rPr>
          <w:rFonts w:ascii="Calibri" w:eastAsia="Calibri" w:hAnsi="Calibri" w:cs="Calibri"/>
          <w:color w:val="222222"/>
        </w:rPr>
        <w:t>Collaborated with a research team to evaluate the informational and operational efficiency of the Iranian stock market using historical pricing, trading volume, and earnings data.</w:t>
      </w:r>
    </w:p>
    <w:p w14:paraId="75D80B04" w14:textId="77777777" w:rsidR="00EF57B8" w:rsidRDefault="00000000">
      <w:pPr>
        <w:pStyle w:val="ListParagraph"/>
        <w:numPr>
          <w:ilvl w:val="0"/>
          <w:numId w:val="2"/>
        </w:numPr>
        <w:spacing w:after="40"/>
      </w:pPr>
      <w:r>
        <w:rPr>
          <w:rFonts w:ascii="Calibri" w:eastAsia="Calibri" w:hAnsi="Calibri" w:cs="Calibri"/>
          <w:color w:val="222222"/>
        </w:rPr>
        <w:t>Contributed to the design and implementation of empirical tests assessing weak-form and semi-strong-form market efficiency.</w:t>
      </w:r>
    </w:p>
    <w:p w14:paraId="7C2B8B3D" w14:textId="77777777" w:rsidR="00EF57B8" w:rsidRDefault="00000000">
      <w:pPr>
        <w:pStyle w:val="ListParagraph"/>
        <w:numPr>
          <w:ilvl w:val="0"/>
          <w:numId w:val="2"/>
        </w:numPr>
        <w:spacing w:after="40"/>
      </w:pPr>
      <w:r>
        <w:rPr>
          <w:rFonts w:ascii="Calibri" w:eastAsia="Calibri" w:hAnsi="Calibri" w:cs="Calibri"/>
          <w:color w:val="222222"/>
        </w:rPr>
        <w:t>Performed financial data collection, cleaning, and statistical analysis using financial databases and modeling tools.</w:t>
      </w:r>
    </w:p>
    <w:p w14:paraId="2D89ADDB" w14:textId="592CFA47" w:rsidR="00EF57B8" w:rsidRDefault="00000000" w:rsidP="005F0EFE">
      <w:pPr>
        <w:tabs>
          <w:tab w:val="right" w:pos="10080"/>
        </w:tabs>
        <w:spacing w:before="140" w:after="20"/>
      </w:pPr>
      <w:r>
        <w:rPr>
          <w:rFonts w:ascii="Calibri" w:eastAsia="Calibri" w:hAnsi="Calibri" w:cs="Calibri"/>
          <w:b/>
          <w:bCs/>
          <w:color w:val="222222"/>
          <w:sz w:val="21"/>
          <w:szCs w:val="21"/>
        </w:rPr>
        <w:t xml:space="preserve">Finance &amp; Inventory </w:t>
      </w:r>
      <w:proofErr w:type="gramStart"/>
      <w:r>
        <w:rPr>
          <w:rFonts w:ascii="Calibri" w:eastAsia="Calibri" w:hAnsi="Calibri" w:cs="Calibri"/>
          <w:b/>
          <w:bCs/>
          <w:color w:val="222222"/>
          <w:sz w:val="21"/>
          <w:szCs w:val="21"/>
        </w:rPr>
        <w:t>Intern</w:t>
      </w:r>
      <w:r>
        <w:rPr>
          <w:rFonts w:ascii="Calibri" w:eastAsia="Calibri" w:hAnsi="Calibri" w:cs="Calibri"/>
          <w:i/>
          <w:iCs/>
          <w:color w:val="222222"/>
          <w:sz w:val="21"/>
          <w:szCs w:val="21"/>
        </w:rPr>
        <w:t xml:space="preserve">  |</w:t>
      </w:r>
      <w:proofErr w:type="gramEnd"/>
      <w:r>
        <w:rPr>
          <w:rFonts w:ascii="Calibri" w:eastAsia="Calibri" w:hAnsi="Calibri" w:cs="Calibri"/>
          <w:i/>
          <w:iCs/>
          <w:color w:val="222222"/>
          <w:sz w:val="21"/>
          <w:szCs w:val="21"/>
        </w:rPr>
        <w:t xml:space="preserve">  Jaber </w:t>
      </w:r>
      <w:proofErr w:type="spellStart"/>
      <w:r>
        <w:rPr>
          <w:rFonts w:ascii="Calibri" w:eastAsia="Calibri" w:hAnsi="Calibri" w:cs="Calibri"/>
          <w:i/>
          <w:iCs/>
          <w:color w:val="222222"/>
          <w:sz w:val="21"/>
          <w:szCs w:val="21"/>
        </w:rPr>
        <w:t>Ebne</w:t>
      </w:r>
      <w:proofErr w:type="spellEnd"/>
      <w:r>
        <w:rPr>
          <w:rFonts w:ascii="Calibri" w:eastAsia="Calibri" w:hAnsi="Calibri" w:cs="Calibri"/>
          <w:i/>
          <w:iCs/>
          <w:color w:val="222222"/>
          <w:sz w:val="21"/>
          <w:szCs w:val="21"/>
        </w:rPr>
        <w:t xml:space="preserve"> Hayyan Pharmaceutical Company</w:t>
      </w:r>
      <w:proofErr w:type="gramStart"/>
      <w:r>
        <w:rPr>
          <w:rFonts w:ascii="Calibri" w:eastAsia="Calibri" w:hAnsi="Calibri" w:cs="Calibri"/>
          <w:color w:val="595959"/>
          <w:sz w:val="19"/>
          <w:szCs w:val="19"/>
        </w:rPr>
        <w:tab/>
      </w:r>
      <w:r w:rsidR="005F0EFE">
        <w:rPr>
          <w:rFonts w:ascii="Calibri" w:eastAsia="Calibri" w:hAnsi="Calibri" w:cs="Calibri"/>
          <w:color w:val="595959"/>
          <w:sz w:val="19"/>
          <w:szCs w:val="19"/>
        </w:rPr>
        <w:t xml:space="preserve">  </w:t>
      </w:r>
      <w:r>
        <w:rPr>
          <w:rFonts w:ascii="Calibri" w:eastAsia="Calibri" w:hAnsi="Calibri" w:cs="Calibri"/>
          <w:color w:val="595959"/>
          <w:sz w:val="19"/>
          <w:szCs w:val="19"/>
        </w:rPr>
        <w:t>Tehran</w:t>
      </w:r>
      <w:proofErr w:type="gramEnd"/>
      <w:r w:rsidR="005F0EFE">
        <w:rPr>
          <w:rFonts w:ascii="Calibri" w:eastAsia="Calibri" w:hAnsi="Calibri" w:cs="Calibri"/>
          <w:color w:val="595959"/>
          <w:sz w:val="19"/>
          <w:szCs w:val="19"/>
        </w:rPr>
        <w:t xml:space="preserve"> </w:t>
      </w:r>
      <w:r>
        <w:rPr>
          <w:rFonts w:ascii="Calibri" w:eastAsia="Calibri" w:hAnsi="Calibri" w:cs="Calibri"/>
          <w:color w:val="595959"/>
          <w:sz w:val="19"/>
          <w:szCs w:val="19"/>
        </w:rPr>
        <w:t>| Summers 2016 &amp; 2017</w:t>
      </w:r>
    </w:p>
    <w:p w14:paraId="15DF666E" w14:textId="77777777" w:rsidR="00EF57B8" w:rsidRDefault="00000000">
      <w:pPr>
        <w:pStyle w:val="ListParagraph"/>
        <w:numPr>
          <w:ilvl w:val="0"/>
          <w:numId w:val="2"/>
        </w:numPr>
        <w:spacing w:after="40"/>
      </w:pPr>
      <w:r>
        <w:rPr>
          <w:rFonts w:ascii="Calibri" w:eastAsia="Calibri" w:hAnsi="Calibri" w:cs="Calibri"/>
          <w:color w:val="222222"/>
        </w:rPr>
        <w:t>Supported financial reporting, cost analysis, budget monitoring, and variance analysis.</w:t>
      </w:r>
    </w:p>
    <w:p w14:paraId="36694275" w14:textId="77777777" w:rsidR="00EF57B8" w:rsidRDefault="00000000">
      <w:pPr>
        <w:pStyle w:val="ListParagraph"/>
        <w:numPr>
          <w:ilvl w:val="0"/>
          <w:numId w:val="2"/>
        </w:numPr>
        <w:spacing w:after="40"/>
      </w:pPr>
      <w:r>
        <w:rPr>
          <w:rFonts w:ascii="Calibri" w:eastAsia="Calibri" w:hAnsi="Calibri" w:cs="Calibri"/>
          <w:color w:val="222222"/>
        </w:rPr>
        <w:t>Assisted with financial transaction processing and inventory-control procedures.</w:t>
      </w:r>
    </w:p>
    <w:p w14:paraId="7F275AB1" w14:textId="77777777" w:rsidR="00EF57B8" w:rsidRDefault="00000000">
      <w:pPr>
        <w:pBdr>
          <w:bottom w:val="single" w:sz="4" w:space="2" w:color="1F3864"/>
        </w:pBdr>
        <w:spacing w:before="220" w:after="60"/>
      </w:pPr>
      <w:r>
        <w:rPr>
          <w:rFonts w:ascii="Calibri" w:eastAsia="Calibri" w:hAnsi="Calibri" w:cs="Calibri"/>
          <w:b/>
          <w:bCs/>
          <w:color w:val="1F3864"/>
          <w:sz w:val="21"/>
          <w:szCs w:val="21"/>
        </w:rPr>
        <w:t>SELECTED QUANTITATIVE RESEARCH</w:t>
      </w:r>
    </w:p>
    <w:p w14:paraId="23CF307D" w14:textId="77777777" w:rsidR="00EF57B8" w:rsidRDefault="00000000">
      <w:pPr>
        <w:spacing w:before="120" w:after="30"/>
      </w:pPr>
      <w:r>
        <w:rPr>
          <w:rFonts w:ascii="Calibri" w:eastAsia="Calibri" w:hAnsi="Calibri" w:cs="Calibri"/>
          <w:b/>
          <w:bCs/>
          <w:color w:val="222222"/>
        </w:rPr>
        <w:t>Retail Investor Participation &amp; Lottery-Like Stock Mispricing</w:t>
      </w:r>
    </w:p>
    <w:p w14:paraId="5E83EC5F" w14:textId="77777777" w:rsidR="00EF57B8" w:rsidRDefault="00000000">
      <w:pPr>
        <w:pStyle w:val="ListParagraph"/>
        <w:numPr>
          <w:ilvl w:val="0"/>
          <w:numId w:val="2"/>
        </w:numPr>
        <w:spacing w:after="40"/>
      </w:pPr>
      <w:r>
        <w:rPr>
          <w:rFonts w:ascii="Calibri" w:eastAsia="Calibri" w:hAnsi="Calibri" w:cs="Calibri"/>
          <w:color w:val="222222"/>
        </w:rPr>
        <w:t>Constructed measures of systematic retail participation from weekly Robinhood holdings data, distinguishing persistent ownership and flow dynamics from attention-driven trading.</w:t>
      </w:r>
    </w:p>
    <w:p w14:paraId="060FE4DD" w14:textId="77777777" w:rsidR="00EF57B8" w:rsidRDefault="00000000">
      <w:pPr>
        <w:pStyle w:val="ListParagraph"/>
        <w:numPr>
          <w:ilvl w:val="0"/>
          <w:numId w:val="2"/>
        </w:numPr>
        <w:spacing w:after="40"/>
      </w:pPr>
      <w:r>
        <w:rPr>
          <w:rFonts w:ascii="Calibri" w:eastAsia="Calibri" w:hAnsi="Calibri" w:cs="Calibri"/>
          <w:color w:val="222222"/>
        </w:rPr>
        <w:t>Evaluated the interaction between retail participation and the MAX anomaly using portfolio-sort and empirical asset-pricing methods on large-scale panel data.</w:t>
      </w:r>
    </w:p>
    <w:p w14:paraId="2ACB986D" w14:textId="77777777" w:rsidR="00EF57B8" w:rsidRDefault="00000000">
      <w:pPr>
        <w:pStyle w:val="ListParagraph"/>
        <w:numPr>
          <w:ilvl w:val="0"/>
          <w:numId w:val="2"/>
        </w:numPr>
        <w:spacing w:after="40"/>
      </w:pPr>
      <w:r>
        <w:rPr>
          <w:rFonts w:ascii="Calibri" w:eastAsia="Calibri" w:hAnsi="Calibri" w:cs="Calibri"/>
          <w:color w:val="222222"/>
        </w:rPr>
        <w:t>Findings: systematic retail participation predicts positive future returns, while the MAX anomaly and the retail-return channel operate as distinct, non-interacting sources of predictability.</w:t>
      </w:r>
    </w:p>
    <w:p w14:paraId="5FA35288" w14:textId="77777777" w:rsidR="00EF57B8" w:rsidRDefault="00000000">
      <w:pPr>
        <w:pStyle w:val="ListParagraph"/>
        <w:numPr>
          <w:ilvl w:val="0"/>
          <w:numId w:val="2"/>
        </w:numPr>
        <w:spacing w:after="40"/>
      </w:pPr>
      <w:r>
        <w:rPr>
          <w:rFonts w:ascii="Calibri" w:eastAsia="Calibri" w:hAnsi="Calibri" w:cs="Calibri"/>
          <w:color w:val="222222"/>
        </w:rPr>
        <w:t>Accepted for presentation, Southern Finance Association Annual Meeting, 2026; under review, Journal of Banking &amp; Finance.</w:t>
      </w:r>
    </w:p>
    <w:p w14:paraId="17A20972" w14:textId="77777777" w:rsidR="00EF57B8" w:rsidRDefault="00000000">
      <w:pPr>
        <w:spacing w:before="120" w:after="30"/>
      </w:pPr>
      <w:r>
        <w:rPr>
          <w:rFonts w:ascii="Calibri" w:eastAsia="Calibri" w:hAnsi="Calibri" w:cs="Calibri"/>
          <w:b/>
          <w:bCs/>
          <w:color w:val="222222"/>
        </w:rPr>
        <w:t>Expected vs. Unexpected Extreme Returns and the MAX Anomaly</w:t>
      </w:r>
    </w:p>
    <w:p w14:paraId="3E510C51" w14:textId="77777777" w:rsidR="00EF57B8" w:rsidRDefault="00000000">
      <w:pPr>
        <w:pStyle w:val="ListParagraph"/>
        <w:numPr>
          <w:ilvl w:val="0"/>
          <w:numId w:val="2"/>
        </w:numPr>
        <w:spacing w:after="40"/>
      </w:pPr>
      <w:r>
        <w:rPr>
          <w:rFonts w:ascii="Calibri" w:eastAsia="Calibri" w:hAnsi="Calibri" w:cs="Calibri"/>
          <w:color w:val="222222"/>
        </w:rPr>
        <w:t>Decompose extreme stock returns into expected and unexpected components to test whether each carries different implications for subsequent returns.</w:t>
      </w:r>
    </w:p>
    <w:p w14:paraId="46525837" w14:textId="77777777" w:rsidR="00EF57B8" w:rsidRDefault="00000000">
      <w:pPr>
        <w:pStyle w:val="ListParagraph"/>
        <w:numPr>
          <w:ilvl w:val="0"/>
          <w:numId w:val="2"/>
        </w:numPr>
        <w:spacing w:after="40"/>
      </w:pPr>
      <w:r>
        <w:rPr>
          <w:rFonts w:ascii="Calibri" w:eastAsia="Calibri" w:hAnsi="Calibri" w:cs="Calibri"/>
          <w:color w:val="222222"/>
        </w:rPr>
        <w:lastRenderedPageBreak/>
        <w:t>Apply cross-sectional asset-pricing and return-predictability methods to large-scale return panels (CRSP/TAQ).</w:t>
      </w:r>
    </w:p>
    <w:p w14:paraId="600F192F" w14:textId="77777777" w:rsidR="00EF57B8" w:rsidRDefault="00000000">
      <w:pPr>
        <w:pStyle w:val="ListParagraph"/>
        <w:numPr>
          <w:ilvl w:val="0"/>
          <w:numId w:val="2"/>
        </w:numPr>
        <w:spacing w:after="40"/>
      </w:pPr>
      <w:r>
        <w:rPr>
          <w:rFonts w:ascii="Calibri" w:eastAsia="Calibri" w:hAnsi="Calibri" w:cs="Calibri"/>
          <w:color w:val="222222"/>
        </w:rPr>
        <w:t>Accepted for presentation, Southern Finance Association Annual Meeting, 2026; under review, Review of Finance.</w:t>
      </w:r>
    </w:p>
    <w:p w14:paraId="3E460CCC" w14:textId="77777777" w:rsidR="00EF57B8" w:rsidRDefault="00000000">
      <w:pPr>
        <w:spacing w:before="120" w:after="30"/>
      </w:pPr>
      <w:r>
        <w:rPr>
          <w:rFonts w:ascii="Calibri" w:eastAsia="Calibri" w:hAnsi="Calibri" w:cs="Calibri"/>
          <w:b/>
          <w:bCs/>
          <w:color w:val="222222"/>
        </w:rPr>
        <w:t>Additional Research</w:t>
      </w:r>
    </w:p>
    <w:p w14:paraId="2065B717" w14:textId="77777777" w:rsidR="00EF57B8" w:rsidRDefault="00000000">
      <w:pPr>
        <w:pStyle w:val="ListParagraph"/>
        <w:numPr>
          <w:ilvl w:val="0"/>
          <w:numId w:val="2"/>
        </w:numPr>
        <w:spacing w:after="40"/>
      </w:pPr>
      <w:r>
        <w:rPr>
          <w:rFonts w:ascii="Calibri" w:eastAsia="Calibri" w:hAnsi="Calibri" w:cs="Calibri"/>
          <w:color w:val="222222"/>
        </w:rPr>
        <w:t>Idiosyncratic Volatility: re-examining whether alternative volatility measurement explains the IVOL puzzle.</w:t>
      </w:r>
    </w:p>
    <w:p w14:paraId="792DC40B" w14:textId="77777777" w:rsidR="00EF57B8" w:rsidRDefault="00000000">
      <w:pPr>
        <w:pStyle w:val="ListParagraph"/>
        <w:numPr>
          <w:ilvl w:val="0"/>
          <w:numId w:val="2"/>
        </w:numPr>
        <w:spacing w:after="40"/>
      </w:pPr>
      <w:r>
        <w:rPr>
          <w:rFonts w:ascii="Calibri" w:eastAsia="Calibri" w:hAnsi="Calibri" w:cs="Calibri"/>
          <w:color w:val="222222"/>
        </w:rPr>
        <w:t>Extreme Return Predictability: conditional predictive power of extreme returns.</w:t>
      </w:r>
    </w:p>
    <w:p w14:paraId="6BC6E044" w14:textId="77777777" w:rsidR="00EF57B8" w:rsidRDefault="00000000">
      <w:pPr>
        <w:pStyle w:val="ListParagraph"/>
        <w:numPr>
          <w:ilvl w:val="0"/>
          <w:numId w:val="2"/>
        </w:numPr>
        <w:spacing w:after="40"/>
      </w:pPr>
      <w:r>
        <w:rPr>
          <w:rFonts w:ascii="Calibri" w:eastAsia="Calibri" w:hAnsi="Calibri" w:cs="Calibri"/>
          <w:color w:val="222222"/>
        </w:rPr>
        <w:t>Cross-Listing &amp; Market Integration: stock returns and integration effects for cross-listed securities.</w:t>
      </w:r>
    </w:p>
    <w:p w14:paraId="47967DB9" w14:textId="77777777" w:rsidR="00EF57B8" w:rsidRDefault="00000000">
      <w:pPr>
        <w:pStyle w:val="ListParagraph"/>
        <w:numPr>
          <w:ilvl w:val="0"/>
          <w:numId w:val="2"/>
        </w:numPr>
        <w:spacing w:after="40"/>
      </w:pPr>
      <w:r>
        <w:rPr>
          <w:rFonts w:ascii="Calibri" w:eastAsia="Calibri" w:hAnsi="Calibri" w:cs="Calibri"/>
          <w:color w:val="222222"/>
        </w:rPr>
        <w:t>Sports Betting Legalization &amp; Speculative Stock Behavior: triple difference-in-differences design linking legalized sports betting to retail speculative trading.</w:t>
      </w:r>
    </w:p>
    <w:p w14:paraId="73620722" w14:textId="77777777" w:rsidR="00EF57B8" w:rsidRDefault="00000000">
      <w:pPr>
        <w:pBdr>
          <w:bottom w:val="single" w:sz="4" w:space="2" w:color="1F3864"/>
        </w:pBdr>
        <w:spacing w:before="220" w:after="60"/>
      </w:pPr>
      <w:r>
        <w:rPr>
          <w:rFonts w:ascii="Calibri" w:eastAsia="Calibri" w:hAnsi="Calibri" w:cs="Calibri"/>
          <w:b/>
          <w:bCs/>
          <w:color w:val="1F3864"/>
          <w:sz w:val="21"/>
          <w:szCs w:val="21"/>
        </w:rPr>
        <w:t>EDUCATION</w:t>
      </w:r>
    </w:p>
    <w:p w14:paraId="12B896E5" w14:textId="77777777" w:rsidR="00EF57B8" w:rsidRDefault="00000000" w:rsidP="005F0EFE">
      <w:pPr>
        <w:tabs>
          <w:tab w:val="right" w:pos="10080"/>
        </w:tabs>
        <w:spacing w:before="100" w:after="10"/>
      </w:pPr>
      <w:r>
        <w:rPr>
          <w:rFonts w:ascii="Calibri" w:eastAsia="Calibri" w:hAnsi="Calibri" w:cs="Calibri"/>
          <w:b/>
          <w:bCs/>
          <w:color w:val="222222"/>
        </w:rPr>
        <w:t>Old Dominion University</w:t>
      </w:r>
      <w:r>
        <w:rPr>
          <w:rFonts w:ascii="Calibri" w:eastAsia="Calibri" w:hAnsi="Calibri" w:cs="Calibri"/>
          <w:color w:val="595959"/>
        </w:rPr>
        <w:t>, Norfolk, VA</w:t>
      </w:r>
      <w:r>
        <w:rPr>
          <w:rFonts w:ascii="Calibri" w:eastAsia="Calibri" w:hAnsi="Calibri" w:cs="Calibri"/>
          <w:color w:val="595959"/>
          <w:sz w:val="19"/>
          <w:szCs w:val="19"/>
        </w:rPr>
        <w:tab/>
        <w:t>2024 – Present</w:t>
      </w:r>
    </w:p>
    <w:p w14:paraId="4E81861D" w14:textId="77777777" w:rsidR="00EF57B8" w:rsidRDefault="00000000">
      <w:pPr>
        <w:spacing w:after="60"/>
      </w:pPr>
      <w:r>
        <w:rPr>
          <w:rFonts w:ascii="Calibri" w:eastAsia="Calibri" w:hAnsi="Calibri" w:cs="Calibri"/>
          <w:i/>
          <w:iCs/>
          <w:color w:val="222222"/>
        </w:rPr>
        <w:t>Ph.D. in Finance, Expected May 2028</w:t>
      </w:r>
    </w:p>
    <w:p w14:paraId="5A02E5D8" w14:textId="23F95A77" w:rsidR="00EF57B8" w:rsidRDefault="00000000" w:rsidP="005F0EFE">
      <w:pPr>
        <w:tabs>
          <w:tab w:val="right" w:pos="10080"/>
        </w:tabs>
        <w:spacing w:before="100" w:after="10"/>
      </w:pPr>
      <w:r>
        <w:rPr>
          <w:rFonts w:ascii="Calibri" w:eastAsia="Calibri" w:hAnsi="Calibri" w:cs="Calibri"/>
          <w:b/>
          <w:bCs/>
          <w:color w:val="222222"/>
        </w:rPr>
        <w:t>University of Isfahan</w:t>
      </w:r>
      <w:r>
        <w:rPr>
          <w:rFonts w:ascii="Calibri" w:eastAsia="Calibri" w:hAnsi="Calibri" w:cs="Calibri"/>
          <w:color w:val="595959"/>
        </w:rPr>
        <w:t>, Isfahan</w:t>
      </w:r>
      <w:r>
        <w:rPr>
          <w:rFonts w:ascii="Calibri" w:eastAsia="Calibri" w:hAnsi="Calibri" w:cs="Calibri"/>
          <w:color w:val="595959"/>
          <w:sz w:val="19"/>
          <w:szCs w:val="19"/>
        </w:rPr>
        <w:tab/>
        <w:t>2017 – 2021</w:t>
      </w:r>
    </w:p>
    <w:p w14:paraId="3C386B1B" w14:textId="77777777" w:rsidR="00EF57B8" w:rsidRDefault="00000000">
      <w:pPr>
        <w:spacing w:after="60"/>
      </w:pPr>
      <w:r>
        <w:rPr>
          <w:rFonts w:ascii="Calibri" w:eastAsia="Calibri" w:hAnsi="Calibri" w:cs="Calibri"/>
          <w:i/>
          <w:iCs/>
          <w:color w:val="222222"/>
        </w:rPr>
        <w:t>M.S. in Financial Engineering and Risk Management</w:t>
      </w:r>
    </w:p>
    <w:p w14:paraId="5B71CA44" w14:textId="3A84C12D" w:rsidR="00EF57B8" w:rsidRDefault="00000000" w:rsidP="005F0EFE">
      <w:pPr>
        <w:tabs>
          <w:tab w:val="right" w:pos="10080"/>
        </w:tabs>
        <w:spacing w:before="100" w:after="10"/>
      </w:pPr>
      <w:r>
        <w:rPr>
          <w:rFonts w:ascii="Calibri" w:eastAsia="Calibri" w:hAnsi="Calibri" w:cs="Calibri"/>
          <w:b/>
          <w:bCs/>
          <w:color w:val="222222"/>
        </w:rPr>
        <w:t>Shahid Beheshti University</w:t>
      </w:r>
      <w:r>
        <w:rPr>
          <w:rFonts w:ascii="Calibri" w:eastAsia="Calibri" w:hAnsi="Calibri" w:cs="Calibri"/>
          <w:color w:val="595959"/>
        </w:rPr>
        <w:t>, Tehran</w:t>
      </w:r>
      <w:r>
        <w:rPr>
          <w:rFonts w:ascii="Calibri" w:eastAsia="Calibri" w:hAnsi="Calibri" w:cs="Calibri"/>
          <w:color w:val="595959"/>
          <w:sz w:val="19"/>
          <w:szCs w:val="19"/>
        </w:rPr>
        <w:tab/>
        <w:t>2012 – 2016</w:t>
      </w:r>
    </w:p>
    <w:p w14:paraId="37697C47" w14:textId="77777777" w:rsidR="00EF57B8" w:rsidRDefault="00000000">
      <w:pPr>
        <w:spacing w:after="60"/>
      </w:pPr>
      <w:r>
        <w:rPr>
          <w:rFonts w:ascii="Calibri" w:eastAsia="Calibri" w:hAnsi="Calibri" w:cs="Calibri"/>
          <w:i/>
          <w:iCs/>
          <w:color w:val="222222"/>
        </w:rPr>
        <w:t>B.S. in Industrial Management</w:t>
      </w:r>
    </w:p>
    <w:p w14:paraId="64D18702" w14:textId="77777777" w:rsidR="00EF57B8" w:rsidRDefault="00000000">
      <w:pPr>
        <w:pBdr>
          <w:bottom w:val="single" w:sz="4" w:space="2" w:color="1F3864"/>
        </w:pBdr>
        <w:spacing w:before="220" w:after="60"/>
      </w:pPr>
      <w:r>
        <w:rPr>
          <w:rFonts w:ascii="Calibri" w:eastAsia="Calibri" w:hAnsi="Calibri" w:cs="Calibri"/>
          <w:b/>
          <w:bCs/>
          <w:color w:val="1F3864"/>
          <w:sz w:val="21"/>
          <w:szCs w:val="21"/>
        </w:rPr>
        <w:t>PUBLICATION</w:t>
      </w:r>
    </w:p>
    <w:p w14:paraId="5535420D" w14:textId="77777777" w:rsidR="00EF57B8" w:rsidRDefault="00000000">
      <w:pPr>
        <w:spacing w:after="100"/>
      </w:pPr>
      <w:r>
        <w:rPr>
          <w:rFonts w:ascii="Calibri" w:eastAsia="Calibri" w:hAnsi="Calibri" w:cs="Calibri"/>
          <w:color w:val="222222"/>
        </w:rPr>
        <w:t xml:space="preserve">Yung, K., </w:t>
      </w:r>
      <w:proofErr w:type="spellStart"/>
      <w:r>
        <w:rPr>
          <w:rFonts w:ascii="Calibri" w:eastAsia="Calibri" w:hAnsi="Calibri" w:cs="Calibri"/>
          <w:color w:val="222222"/>
        </w:rPr>
        <w:t>Kahibavil</w:t>
      </w:r>
      <w:proofErr w:type="spellEnd"/>
      <w:r>
        <w:rPr>
          <w:rFonts w:ascii="Calibri" w:eastAsia="Calibri" w:hAnsi="Calibri" w:cs="Calibri"/>
          <w:color w:val="222222"/>
        </w:rPr>
        <w:t>, R., Li, S., &amp; Amidi, A. (2026). “International Evidence on the Relationship Between Financial Literacy and Corporate Cash Holdings.” Journal of Corporate Accounting &amp; Finance.</w:t>
      </w:r>
    </w:p>
    <w:p w14:paraId="7733BCE5" w14:textId="77777777" w:rsidR="00EF57B8" w:rsidRDefault="00000000">
      <w:pPr>
        <w:pBdr>
          <w:bottom w:val="single" w:sz="4" w:space="2" w:color="1F3864"/>
        </w:pBdr>
        <w:spacing w:before="220" w:after="60"/>
      </w:pPr>
      <w:r>
        <w:rPr>
          <w:rFonts w:ascii="Calibri" w:eastAsia="Calibri" w:hAnsi="Calibri" w:cs="Calibri"/>
          <w:b/>
          <w:bCs/>
          <w:color w:val="1F3864"/>
          <w:sz w:val="21"/>
          <w:szCs w:val="21"/>
        </w:rPr>
        <w:t>CERTIFICATIONS &amp; SELECTED AWARDS</w:t>
      </w:r>
    </w:p>
    <w:p w14:paraId="16E284AC" w14:textId="77777777" w:rsidR="00EF57B8" w:rsidRDefault="00000000">
      <w:pPr>
        <w:pStyle w:val="ListParagraph"/>
        <w:numPr>
          <w:ilvl w:val="0"/>
          <w:numId w:val="2"/>
        </w:numPr>
        <w:spacing w:after="40"/>
      </w:pPr>
      <w:r>
        <w:rPr>
          <w:rFonts w:ascii="Calibri" w:eastAsia="Calibri" w:hAnsi="Calibri" w:cs="Calibri"/>
          <w:color w:val="222222"/>
        </w:rPr>
        <w:t>CFA Level III Candidate | Passed CFA Level II, May 2026</w:t>
      </w:r>
    </w:p>
    <w:p w14:paraId="0B08681F" w14:textId="77777777" w:rsidR="00EF57B8" w:rsidRDefault="00000000">
      <w:pPr>
        <w:pStyle w:val="ListParagraph"/>
        <w:numPr>
          <w:ilvl w:val="0"/>
          <w:numId w:val="2"/>
        </w:numPr>
        <w:spacing w:after="40"/>
      </w:pPr>
      <w:r>
        <w:rPr>
          <w:rFonts w:ascii="Calibri" w:eastAsia="Calibri" w:hAnsi="Calibri" w:cs="Calibri"/>
          <w:color w:val="222222"/>
        </w:rPr>
        <w:t>Bloomberg Market Concepts | October 2024</w:t>
      </w:r>
    </w:p>
    <w:p w14:paraId="5C8F1220" w14:textId="77777777" w:rsidR="00EF57B8" w:rsidRDefault="00000000">
      <w:pPr>
        <w:pStyle w:val="ListParagraph"/>
        <w:numPr>
          <w:ilvl w:val="0"/>
          <w:numId w:val="2"/>
        </w:numPr>
        <w:spacing w:after="40"/>
      </w:pPr>
      <w:r>
        <w:rPr>
          <w:rFonts w:ascii="Calibri" w:eastAsia="Calibri" w:hAnsi="Calibri" w:cs="Calibri"/>
          <w:color w:val="222222"/>
        </w:rPr>
        <w:t>Graduate Summer Award Program (GSAP), $4,000 Research Award | Old Dominion University | 2026</w:t>
      </w:r>
    </w:p>
    <w:p w14:paraId="77B73D8C" w14:textId="77777777" w:rsidR="00EF57B8" w:rsidRDefault="00000000">
      <w:pPr>
        <w:pStyle w:val="ListParagraph"/>
        <w:numPr>
          <w:ilvl w:val="0"/>
          <w:numId w:val="2"/>
        </w:numPr>
        <w:spacing w:after="40"/>
      </w:pPr>
      <w:r>
        <w:rPr>
          <w:rFonts w:ascii="Calibri" w:eastAsia="Calibri" w:hAnsi="Calibri" w:cs="Calibri"/>
          <w:color w:val="222222"/>
        </w:rPr>
        <w:t>Ranked 2nd among Financial Engineering graduates | University of Isfahan | 2021</w:t>
      </w:r>
    </w:p>
    <w:p w14:paraId="4BC12197" w14:textId="77777777" w:rsidR="00EF57B8" w:rsidRDefault="00000000">
      <w:pPr>
        <w:pStyle w:val="ListParagraph"/>
        <w:numPr>
          <w:ilvl w:val="0"/>
          <w:numId w:val="2"/>
        </w:numPr>
        <w:spacing w:after="40"/>
      </w:pPr>
      <w:r>
        <w:rPr>
          <w:rFonts w:ascii="Calibri" w:eastAsia="Calibri" w:hAnsi="Calibri" w:cs="Calibri"/>
          <w:color w:val="222222"/>
        </w:rPr>
        <w:t>Stock Market Stars League | University of Isfahan Team | 2018 &amp; 2019 | Ranked 4th of 34 universities nationwide</w:t>
      </w:r>
    </w:p>
    <w:sectPr w:rsidR="00EF57B8">
      <w:pgSz w:w="12240" w:h="15840"/>
      <w:pgMar w:top="620" w:right="720" w:bottom="6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E61627"/>
    <w:multiLevelType w:val="hybridMultilevel"/>
    <w:tmpl w:val="0472D0DA"/>
    <w:lvl w:ilvl="0" w:tplc="CBD2DDFE">
      <w:start w:val="1"/>
      <w:numFmt w:val="bullet"/>
      <w:lvlText w:val="●"/>
      <w:lvlJc w:val="left"/>
      <w:pPr>
        <w:ind w:left="720" w:hanging="360"/>
      </w:pPr>
    </w:lvl>
    <w:lvl w:ilvl="1" w:tplc="E0D6087E">
      <w:start w:val="1"/>
      <w:numFmt w:val="bullet"/>
      <w:lvlText w:val="○"/>
      <w:lvlJc w:val="left"/>
      <w:pPr>
        <w:ind w:left="1440" w:hanging="360"/>
      </w:pPr>
    </w:lvl>
    <w:lvl w:ilvl="2" w:tplc="1B889C6E">
      <w:start w:val="1"/>
      <w:numFmt w:val="bullet"/>
      <w:lvlText w:val="■"/>
      <w:lvlJc w:val="left"/>
      <w:pPr>
        <w:ind w:left="2160" w:hanging="360"/>
      </w:pPr>
    </w:lvl>
    <w:lvl w:ilvl="3" w:tplc="A14A35D6">
      <w:start w:val="1"/>
      <w:numFmt w:val="bullet"/>
      <w:lvlText w:val="●"/>
      <w:lvlJc w:val="left"/>
      <w:pPr>
        <w:ind w:left="2880" w:hanging="360"/>
      </w:pPr>
    </w:lvl>
    <w:lvl w:ilvl="4" w:tplc="9BCAFFE4">
      <w:start w:val="1"/>
      <w:numFmt w:val="bullet"/>
      <w:lvlText w:val="○"/>
      <w:lvlJc w:val="left"/>
      <w:pPr>
        <w:ind w:left="3600" w:hanging="360"/>
      </w:pPr>
    </w:lvl>
    <w:lvl w:ilvl="5" w:tplc="9398B8DC">
      <w:start w:val="1"/>
      <w:numFmt w:val="bullet"/>
      <w:lvlText w:val="■"/>
      <w:lvlJc w:val="left"/>
      <w:pPr>
        <w:ind w:left="4320" w:hanging="360"/>
      </w:pPr>
    </w:lvl>
    <w:lvl w:ilvl="6" w:tplc="5CFA5ED8">
      <w:start w:val="1"/>
      <w:numFmt w:val="bullet"/>
      <w:lvlText w:val="●"/>
      <w:lvlJc w:val="left"/>
      <w:pPr>
        <w:ind w:left="5040" w:hanging="360"/>
      </w:pPr>
    </w:lvl>
    <w:lvl w:ilvl="7" w:tplc="E79A7D4A">
      <w:start w:val="1"/>
      <w:numFmt w:val="bullet"/>
      <w:lvlText w:val="●"/>
      <w:lvlJc w:val="left"/>
      <w:pPr>
        <w:ind w:left="5760" w:hanging="360"/>
      </w:pPr>
    </w:lvl>
    <w:lvl w:ilvl="8" w:tplc="00D66694">
      <w:start w:val="1"/>
      <w:numFmt w:val="bullet"/>
      <w:lvlText w:val="●"/>
      <w:lvlJc w:val="left"/>
      <w:pPr>
        <w:ind w:left="6480" w:hanging="360"/>
      </w:pPr>
    </w:lvl>
  </w:abstractNum>
  <w:abstractNum w:abstractNumId="1" w15:restartNumberingAfterBreak="0">
    <w:nsid w:val="68793D7A"/>
    <w:multiLevelType w:val="hybridMultilevel"/>
    <w:tmpl w:val="530ED14C"/>
    <w:lvl w:ilvl="0" w:tplc="0BC02F9C">
      <w:start w:val="1"/>
      <w:numFmt w:val="bullet"/>
      <w:lvlText w:val="•"/>
      <w:lvlJc w:val="left"/>
      <w:pPr>
        <w:ind w:left="360" w:hanging="215"/>
      </w:pPr>
    </w:lvl>
    <w:lvl w:ilvl="1" w:tplc="B9404E8C">
      <w:numFmt w:val="decimal"/>
      <w:lvlText w:val=""/>
      <w:lvlJc w:val="left"/>
    </w:lvl>
    <w:lvl w:ilvl="2" w:tplc="E32C9430">
      <w:numFmt w:val="decimal"/>
      <w:lvlText w:val=""/>
      <w:lvlJc w:val="left"/>
    </w:lvl>
    <w:lvl w:ilvl="3" w:tplc="849493E0">
      <w:numFmt w:val="decimal"/>
      <w:lvlText w:val=""/>
      <w:lvlJc w:val="left"/>
    </w:lvl>
    <w:lvl w:ilvl="4" w:tplc="826CEA76">
      <w:numFmt w:val="decimal"/>
      <w:lvlText w:val=""/>
      <w:lvlJc w:val="left"/>
    </w:lvl>
    <w:lvl w:ilvl="5" w:tplc="7522FEEC">
      <w:numFmt w:val="decimal"/>
      <w:lvlText w:val=""/>
      <w:lvlJc w:val="left"/>
    </w:lvl>
    <w:lvl w:ilvl="6" w:tplc="2EE0A7D8">
      <w:numFmt w:val="decimal"/>
      <w:lvlText w:val=""/>
      <w:lvlJc w:val="left"/>
    </w:lvl>
    <w:lvl w:ilvl="7" w:tplc="7EEA4F7C">
      <w:numFmt w:val="decimal"/>
      <w:lvlText w:val=""/>
      <w:lvlJc w:val="left"/>
    </w:lvl>
    <w:lvl w:ilvl="8" w:tplc="D46CBEEE">
      <w:numFmt w:val="decimal"/>
      <w:lvlText w:val=""/>
      <w:lvlJc w:val="left"/>
    </w:lvl>
  </w:abstractNum>
  <w:num w:numId="1" w16cid:durableId="1639072843">
    <w:abstractNumId w:val="0"/>
    <w:lvlOverride w:ilvl="0">
      <w:startOverride w:val="1"/>
    </w:lvlOverride>
  </w:num>
  <w:num w:numId="2" w16cid:durableId="455487639">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57B8"/>
    <w:rsid w:val="001B27A3"/>
    <w:rsid w:val="005B3E24"/>
    <w:rsid w:val="005D4D52"/>
    <w:rsid w:val="005F0EFE"/>
    <w:rsid w:val="00C82DFC"/>
    <w:rsid w:val="00EF57B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1D9FC8B7"/>
  <w15:docId w15:val="{BAF4E168-B71A-6140-A508-359FEA588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2</Pages>
  <Words>804</Words>
  <Characters>4585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reza bavili</cp:lastModifiedBy>
  <cp:revision>4</cp:revision>
  <dcterms:created xsi:type="dcterms:W3CDTF">2026-09-19T19:09:00Z</dcterms:created>
  <dcterms:modified xsi:type="dcterms:W3CDTF">2026-09-19T19:40:00Z</dcterms:modified>
</cp:coreProperties>
</file>