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SABRE GDS</w:t>
      </w:r>
    </w:p>
    <w:p>
      <w:pPr>
        <w:pStyle w:val="Title"/>
        <w:jc w:val="center"/>
      </w:pPr>
      <w:r>
        <w:t>Corrected Reservation and Ticketing Steps</w:t>
      </w:r>
    </w:p>
    <w:p>
      <w:pPr>
        <w:jc w:val="center"/>
      </w:pPr>
      <w:r>
        <w:t>Training Practice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</w:tcPr>
          <w:p>
            <w:r/>
            <w:r>
              <w:rPr>
                <w:b/>
                <w:color w:val="9C6500"/>
              </w:rPr>
              <w:t xml:space="preserve">Important: </w:t>
            </w:r>
            <w:r>
              <w:t>Use these entries only in the authorised training environment. The Sabre separator ‡ may appear as ¥ on some keyboards or screens. Airline, fare, commission and form-of-payment entries must be confirmed by the assessor.</w:t>
            </w:r>
          </w:p>
        </w:tc>
      </w:tr>
    </w:tbl>
    <w:p>
      <w:pPr>
        <w:pStyle w:val="Heading1"/>
      </w:pPr>
      <w:r>
        <w:t>A. Create the PNR</w:t>
      </w:r>
    </w:p>
    <w:p>
      <w:r>
        <w:rPr>
          <w:b/>
          <w:color w:val="1F4E79"/>
        </w:rPr>
        <w:t>1. Enter passenger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-REZA/SHEIKHABU MR</w:t>
            </w:r>
          </w:p>
        </w:tc>
      </w:tr>
    </w:tbl>
    <w:p>
      <w:r>
        <w:t>Enter the name exactly as shown in the passport. Use the correct title and passenger type.</w:t>
      </w:r>
    </w:p>
    <w:p>
      <w:r>
        <w:rPr>
          <w:b/>
          <w:color w:val="1F4E79"/>
        </w:rPr>
        <w:t>2. Display availability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123AUGDACKUL</w:t>
            </w:r>
          </w:p>
        </w:tc>
      </w:tr>
    </w:tbl>
    <w:p>
      <w:r>
        <w:t>Meaning: 1 = availability; 23AUG = date; DAC = Dhaka; KUL = Kuala Lumpur. Do not add the year.</w:t>
      </w:r>
    </w:p>
    <w:p>
      <w:r>
        <w:rPr>
          <w:b/>
          <w:color w:val="1F4E79"/>
        </w:rPr>
        <w:t>3. Sell one seat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01H8</w:t>
            </w:r>
          </w:p>
        </w:tc>
      </w:tr>
    </w:tbl>
    <w:p>
      <w:r>
        <w:t>This example sells one seat in H class from availability line 8. Replace H and 8 according to the actual display.</w:t>
      </w:r>
    </w:p>
    <w:p>
      <w:r>
        <w:rPr>
          <w:b/>
          <w:color w:val="1F4E79"/>
        </w:rPr>
        <w:t>4. Add agency/customer phone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9DAC IIST 01711802800 REF REZA-B</w:t>
            </w:r>
          </w:p>
        </w:tc>
      </w:tr>
    </w:tbl>
    <w:p>
      <w:r>
        <w:t>Use the format authorised in the training PCC. Add the customer mobile separately when required.</w:t>
      </w:r>
    </w:p>
    <w:p>
      <w:r>
        <w:rPr>
          <w:b/>
          <w:color w:val="1F4E79"/>
        </w:rPr>
        <w:t>5. Add ticketing arrangement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7TAW/-</w:t>
            </w:r>
          </w:p>
        </w:tc>
      </w:tr>
    </w:tbl>
    <w:p>
      <w:r>
        <w:t>Use the actual ticketing deadline or arrangement instructed by the assessor.</w:t>
      </w:r>
    </w:p>
    <w:p>
      <w:r>
        <w:rPr>
          <w:b/>
          <w:color w:val="1F4E79"/>
        </w:rPr>
        <w:t>6. Add Received From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6REZA</w:t>
            </w:r>
          </w:p>
        </w:tc>
      </w:tr>
    </w:tbl>
    <w:p>
      <w:r>
        <w:t>Write the full name/reference. Using only 6R records the Received From as “R”.</w:t>
      </w:r>
    </w:p>
    <w:p>
      <w:r>
        <w:rPr>
          <w:b/>
          <w:color w:val="1F4E79"/>
        </w:rPr>
        <w:t>7. End and retrieve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ER</w:t>
            </w:r>
          </w:p>
        </w:tc>
      </w:tr>
    </w:tbl>
    <w:p>
      <w:r>
        <w:t>The system creates and displays the six-character PNR/record locator. Write it down.</w:t>
      </w:r>
    </w:p>
    <w:p>
      <w:pPr>
        <w:pStyle w:val="Heading1"/>
      </w:pPr>
      <w:r>
        <w:t>B. Retrieve and Complete Passenger Information</w:t>
      </w:r>
    </w:p>
    <w:p>
      <w:r>
        <w:rPr>
          <w:b/>
          <w:color w:val="1F4E79"/>
        </w:rPr>
        <w:t>8. Retrieve PNR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*ABC123</w:t>
            </w:r>
          </w:p>
        </w:tc>
      </w:tr>
    </w:tbl>
    <w:p>
      <w:r>
        <w:t>Replace ABC123 with the actual six-character record locator.</w:t>
      </w:r>
    </w:p>
    <w:p>
      <w:r>
        <w:rPr>
          <w:b/>
          <w:color w:val="1F4E79"/>
        </w:rPr>
        <w:t>9. Add passenger mobile SSR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3CTCM/8801992006262-1.1</w:t>
            </w:r>
          </w:p>
        </w:tc>
      </w:tr>
    </w:tbl>
    <w:p>
      <w:r>
        <w:t>Use the country code and associate the entry with passenger 1.1.</w:t>
      </w:r>
    </w:p>
    <w:p>
      <w:r>
        <w:rPr>
          <w:b/>
          <w:color w:val="1F4E79"/>
        </w:rPr>
        <w:t>10. Add passenger email SSR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3CTCE/REZA.DTE//GMAIL.COM-1.1</w:t>
            </w:r>
          </w:p>
        </w:tc>
      </w:tr>
    </w:tbl>
    <w:p>
      <w:r>
        <w:t>In CTCE format, // represents @. Confirm spelling carefully.</w:t>
      </w:r>
    </w:p>
    <w:p>
      <w:r>
        <w:rPr>
          <w:b/>
          <w:color w:val="1F4E79"/>
        </w:rPr>
        <w:t>11. Add passport/DOCS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3DOCS/P/BGD/A98756386/BGD/23FEB71/M/30DEC33/REZA/SHEIKHABU-1.1</w:t>
            </w:r>
          </w:p>
        </w:tc>
      </w:tr>
    </w:tbl>
    <w:p>
      <w:r>
        <w:t>Use the 3-letter country code BGD, not BD. Verify passport number, nationality, DOB, gender, expiry date and name.</w:t>
      </w:r>
    </w:p>
    <w:p>
      <w:r>
        <w:rPr>
          <w:b/>
          <w:color w:val="1F4E79"/>
        </w:rPr>
        <w:t>12. Save the added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6REZA</w:t>
              <w:br/>
              <w:t>ER</w:t>
            </w:r>
          </w:p>
        </w:tc>
      </w:tr>
    </w:tbl>
    <w:p>
      <w:r>
        <w:t>Always save the SSR and DOCS entries before continuing.</w:t>
      </w:r>
    </w:p>
    <w:p>
      <w:pPr>
        <w:pStyle w:val="Heading1"/>
      </w:pPr>
      <w:r>
        <w:t>C. Price and Store the Fare</w:t>
      </w:r>
    </w:p>
    <w:p>
      <w:r>
        <w:rPr>
          <w:b/>
          <w:color w:val="1F4E79"/>
        </w:rPr>
        <w:t>13. Price with Malaysia Airlines as validating carrier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WPAMH</w:t>
            </w:r>
          </w:p>
        </w:tc>
      </w:tr>
    </w:tbl>
    <w:p>
      <w:r>
        <w:t>Confirm that MH is the correct validating carrier. If the assessor provides another pricing entry, use that entry.</w:t>
      </w:r>
    </w:p>
    <w:p>
      <w:r>
        <w:rPr>
          <w:b/>
          <w:color w:val="1F4E79"/>
        </w:rPr>
        <w:t>14. Store the price quote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PQ</w:t>
            </w:r>
          </w:p>
        </w:tc>
      </w:tr>
    </w:tbl>
    <w:p>
      <w:r>
        <w:t>Store the displayed fare as a Price Quote record.</w:t>
      </w:r>
    </w:p>
    <w:p>
      <w:r>
        <w:rPr>
          <w:b/>
          <w:color w:val="1F4E79"/>
        </w:rPr>
        <w:t>15. Display and check the stored fare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*PQ</w:t>
            </w:r>
          </w:p>
        </w:tc>
      </w:tr>
    </w:tbl>
    <w:p>
      <w:r>
        <w:t>Check base fare, taxes, total, currency, baggage allowance, fare rules and ticketing deadline.</w:t>
      </w:r>
    </w:p>
    <w:p>
      <w:pPr>
        <w:pStyle w:val="Heading1"/>
      </w:pPr>
      <w:r>
        <w:t>D. Mandatory Checks Before Ticketing</w:t>
      </w:r>
    </w:p>
    <w:p>
      <w:r>
        <w:rPr>
          <w:b/>
          <w:color w:val="1F4E79"/>
        </w:rPr>
        <w:t>16. Display passenger names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*N</w:t>
            </w:r>
          </w:p>
        </w:tc>
      </w:tr>
    </w:tbl>
    <w:p>
      <w:r>
        <w:t>Check spelling and passenger type.</w:t>
      </w:r>
    </w:p>
    <w:p>
      <w:r>
        <w:rPr>
          <w:b/>
          <w:color w:val="1F4E79"/>
        </w:rPr>
        <w:t>17. Display itinerary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*I</w:t>
            </w:r>
          </w:p>
        </w:tc>
      </w:tr>
    </w:tbl>
    <w:p>
      <w:r>
        <w:t>Check route, date, flight, booking class and HK status.</w:t>
      </w:r>
    </w:p>
    <w:p>
      <w:r>
        <w:rPr>
          <w:b/>
          <w:color w:val="1F4E79"/>
        </w:rPr>
        <w:t>18. Display passenger/security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*P3D</w:t>
            </w:r>
          </w:p>
        </w:tc>
      </w:tr>
    </w:tbl>
    <w:p>
      <w:r>
        <w:t>Confirm CTCM, CTCE and DOCS. Depending on the PCC, *P4D may also be used.</w:t>
      </w:r>
    </w:p>
    <w:p>
      <w:r>
        <w:rPr>
          <w:b/>
          <w:color w:val="1F4E79"/>
        </w:rPr>
        <w:t>19. Display Price Quote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*PQ</w:t>
            </w:r>
          </w:p>
        </w:tc>
      </w:tr>
    </w:tbl>
    <w:p>
      <w:r>
        <w:t>Confirm that PQ1 is valid and belongs to the correct passenger and itinerary.</w:t>
      </w:r>
    </w:p>
    <w:p>
      <w:pPr>
        <w:pStyle w:val="Heading1"/>
      </w:pPr>
      <w:r>
        <w:t>E. Issue the Electronic Ticket</w:t>
      </w:r>
    </w:p>
    <w:p>
      <w:r>
        <w:rPr>
          <w:b/>
          <w:color w:val="1F4E79"/>
        </w:rPr>
        <w:t>20. Issue ticket using PQ1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W‡PQ1‡AMH‡FINVAGT‡KP7‡ETR</w:t>
            </w:r>
          </w:p>
        </w:tc>
      </w:tr>
    </w:tbl>
    <w:p>
      <w:r>
        <w:t>Do not place a separator between PQ and 1. Use FINVAGT and KP7 only if authorised by the assessor/PCC.</w:t>
      </w:r>
    </w:p>
    <w:p>
      <w:r>
        <w:rPr>
          <w:b/>
          <w:color w:val="1F4E79"/>
        </w:rPr>
        <w:t>21. Confirm ticket issuance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*T</w:t>
            </w:r>
          </w:p>
        </w:tc>
      </w:tr>
    </w:tbl>
    <w:p>
      <w:r>
        <w:t>The Trip Summary should show Tickets (1), not Tickets (0). Record the 13-digit ticket number.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</w:tcPr>
          <w:p>
            <w:r/>
            <w:r>
              <w:rPr>
                <w:b/>
                <w:color w:val="9C6500"/>
              </w:rPr>
              <w:t xml:space="preserve">Do not continue: </w:t>
            </w:r>
            <w:r>
              <w:t>If the response shows FORMAT-CHECK, E-TICKET NOT ISSUED, fare error, form-of-payment error or validating-carrier error, stop and correct that issue before emailing.</w:t>
            </w:r>
          </w:p>
        </w:tc>
      </w:tr>
    </w:tbl>
    <w:p>
      <w:pPr>
        <w:pStyle w:val="Heading1"/>
      </w:pPr>
      <w:r>
        <w:t>F. Add Email and Send the E-Ticket Receipt</w:t>
      </w:r>
    </w:p>
    <w:p>
      <w:r>
        <w:rPr>
          <w:b/>
          <w:color w:val="1F4E79"/>
        </w:rPr>
        <w:t>22. Add the delivery email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PE‡BTEB.REZA@GMAIL.COM‡</w:t>
            </w:r>
          </w:p>
        </w:tc>
      </w:tr>
    </w:tbl>
    <w:p>
      <w:r>
        <w:t>This is the PE email field used for delivery. Confirm the address before saving.</w:t>
      </w:r>
    </w:p>
    <w:p>
      <w:r>
        <w:rPr>
          <w:b/>
          <w:color w:val="1F4E79"/>
        </w:rPr>
        <w:t>23. Save the email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6REZA</w:t>
              <w:br/>
              <w:t>ER</w:t>
            </w:r>
          </w:p>
        </w:tc>
      </w:tr>
    </w:tbl>
    <w:p>
      <w:r>
        <w:t>The email field must be saved in the PNR.</w:t>
      </w:r>
    </w:p>
    <w:p>
      <w:r>
        <w:rPr>
          <w:b/>
          <w:color w:val="1F4E79"/>
        </w:rPr>
        <w:t>24. Retrieve the PNR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*ABC123</w:t>
            </w:r>
          </w:p>
        </w:tc>
      </w:tr>
    </w:tbl>
    <w:p>
      <w:r>
        <w:t>Replace ABC123 with the actual PNR.</w:t>
      </w:r>
    </w:p>
    <w:p>
      <w:r>
        <w:rPr>
          <w:b/>
          <w:color w:val="1F4E79"/>
        </w:rPr>
        <w:t>25. Email the ticket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EMTR</w:t>
            </w:r>
          </w:p>
        </w:tc>
      </w:tr>
    </w:tbl>
    <w:p>
      <w:r>
        <w:t>EMTR requires an issued e-ticket. If Tickets (0) is displayed, it will return “UNABLE - E TICKET NOT ISSUED”.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8"/>
          </w:tcPr>
          <w:p>
            <w:r/>
            <w:r>
              <w:rPr>
                <w:b/>
                <w:color w:val="9C6500"/>
              </w:rPr>
              <w:t xml:space="preserve">Itinerary only: </w:t>
            </w:r>
            <w:r>
              <w:t>If a ticket has not been issued and only an itinerary must be emailed, use the itinerary-email function prescribed by the training PCC, commonly EM. Do not use EMTR before ticket issuance.</w:t>
            </w:r>
          </w:p>
        </w:tc>
      </w:tr>
    </w:tbl>
    <w:p>
      <w:pPr>
        <w:pStyle w:val="Heading1"/>
      </w:pPr>
      <w:r>
        <w:t>G. Print/Display Documents</w:t>
      </w:r>
    </w:p>
    <w:p>
      <w:r>
        <w:rPr>
          <w:b/>
          <w:color w:val="1F4E79"/>
        </w:rPr>
        <w:t>26. Display ticket and itinerary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*T</w:t>
              <w:br/>
              <w:t>*I</w:t>
            </w:r>
          </w:p>
        </w:tc>
      </w:tr>
    </w:tbl>
    <w:p>
      <w:r>
        <w:t>Use the configured printer or Trip Summary options to print the itinerary/e-ticket receipt. Commands such as W*BD, DSIV or PTR can vary by PCC and printer configuration; use only the assessor-approved format.</w:t>
      </w:r>
    </w:p>
    <w:p>
      <w:pPr>
        <w:pStyle w:val="Heading1"/>
      </w:pPr>
      <w:r>
        <w:t>H. Cancel an Unticketed PNR</w:t>
      </w:r>
    </w:p>
    <w:p>
      <w:r>
        <w:rPr>
          <w:b/>
          <w:color w:val="1F4E79"/>
        </w:rPr>
        <w:t>27. Cancel all itinerary segments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XI</w:t>
            </w:r>
          </w:p>
        </w:tc>
      </w:tr>
    </w:tbl>
    <w:p>
      <w:r>
        <w:t>Use XI only when cancellation is authorised and the PNR is unticketed.</w:t>
      </w:r>
    </w:p>
    <w:p>
      <w:r>
        <w:rPr>
          <w:b/>
          <w:color w:val="1F4E79"/>
        </w:rPr>
        <w:t>28. Save the cancellation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6REZA</w:t>
              <w:br/>
              <w:t>ER</w:t>
            </w:r>
          </w:p>
        </w:tc>
      </w:tr>
    </w:tbl>
    <w:p>
      <w:r>
        <w:t>Retrieve the PNR and confirm that the segments have been cancelled.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</w:tcPr>
          <w:p>
            <w:r/>
            <w:r>
              <w:rPr>
                <w:b/>
                <w:color w:val="9C6500"/>
              </w:rPr>
              <w:t xml:space="preserve">Issued ticket warning: </w:t>
            </w:r>
            <w:r>
              <w:t>If a ticket has already been issued, XI alone does not cancel or refund the ticket. Follow the authorised void, refund or exchange procedure before/with itinerary cancellation.</w:t>
            </w:r>
          </w:p>
        </w:tc>
      </w:tr>
    </w:tbl>
    <w:p>
      <w:pPr>
        <w:pStyle w:val="Heading1"/>
      </w:pPr>
      <w:r>
        <w:t>I. Ignore and Sign Out</w:t>
      </w:r>
    </w:p>
    <w:p>
      <w:r>
        <w:rPr>
          <w:b/>
          <w:color w:val="1F4E79"/>
        </w:rPr>
        <w:t>29. Ignore unsaved changes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I</w:t>
            </w:r>
          </w:p>
        </w:tc>
      </w:tr>
    </w:tbl>
    <w:p>
      <w:r>
        <w:t>I ignores the current transaction. IR ignores changes and retrieves the PNR again. Do not use I after entering changes that must be saved.</w:t>
      </w:r>
    </w:p>
    <w:p>
      <w:r>
        <w:rPr>
          <w:b/>
          <w:color w:val="1F4E79"/>
        </w:rPr>
        <w:t>30. Sign 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1F4F8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SO*</w:t>
            </w:r>
          </w:p>
        </w:tc>
      </w:tr>
    </w:tbl>
    <w:p>
      <w:r>
        <w:t>Use the sign-out command configured for the training system and confirm that the work area is closed.</w:t>
      </w:r>
    </w:p>
    <w:p>
      <w:pPr>
        <w:pStyle w:val="Heading1"/>
      </w:pPr>
      <w:r>
        <w:t>Final Checklist</w:t>
      </w:r>
    </w:p>
    <w:p>
      <w:pPr>
        <w:pStyle w:val="ListBullet"/>
      </w:pPr>
      <w:r>
        <w:t>Passenger name matches passport.</w:t>
      </w:r>
    </w:p>
    <w:p>
      <w:pPr>
        <w:pStyle w:val="ListBullet"/>
      </w:pPr>
      <w:r>
        <w:t>Route, date, flight, class and HK status are correct.</w:t>
      </w:r>
    </w:p>
    <w:p>
      <w:pPr>
        <w:pStyle w:val="ListBullet"/>
      </w:pPr>
      <w:r>
        <w:t>CTCM, CTCE and DOCS are saved.</w:t>
      </w:r>
    </w:p>
    <w:p>
      <w:pPr>
        <w:pStyle w:val="ListBullet"/>
      </w:pPr>
      <w:r>
        <w:t>PQ1 contains the correct fare and taxes.</w:t>
      </w:r>
    </w:p>
    <w:p>
      <w:pPr>
        <w:pStyle w:val="ListBullet"/>
      </w:pPr>
      <w:r>
        <w:t>Validating carrier, form of payment and commission are authorised.</w:t>
      </w:r>
    </w:p>
    <w:p>
      <w:pPr>
        <w:pStyle w:val="ListBullet"/>
      </w:pPr>
      <w:r>
        <w:t>Ticket number is generated before EMTR.</w:t>
      </w:r>
    </w:p>
    <w:p>
      <w:pPr>
        <w:pStyle w:val="ListBullet"/>
      </w:pPr>
      <w:r>
        <w:t>Email address is saved and verified.</w:t>
      </w:r>
    </w:p>
    <w:p>
      <w:pPr>
        <w:pStyle w:val="ListBullet"/>
      </w:pPr>
      <w:r>
        <w:t>Issued ticket is not cancelled using XI alone.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Sabre GDS • Corrected Reservation and Ticketing Steps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