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15"/>
        <w:gridCol w:w="3150"/>
        <w:gridCol w:w="9454"/>
      </w:tblGrid>
      <w:tr w:rsidR="000D40D9" w:rsidRPr="00943766" w:rsidTr="00277EFA">
        <w:trPr>
          <w:cantSplit/>
          <w:trHeight w:val="903"/>
          <w:jc w:val="center"/>
        </w:trPr>
        <w:tc>
          <w:tcPr>
            <w:tcW w:w="850" w:type="dxa"/>
            <w:shd w:val="clear" w:color="auto" w:fill="BFBFBF" w:themeFill="background1" w:themeFillShade="BF"/>
            <w:vAlign w:val="center"/>
          </w:tcPr>
          <w:p w:rsidR="000D40D9" w:rsidRPr="00943766" w:rsidRDefault="00943766" w:rsidP="00943766">
            <w:pPr>
              <w:pStyle w:val="Heading1"/>
              <w:jc w:val="center"/>
              <w:rPr>
                <w:rFonts w:cs="B Zar"/>
                <w:b/>
                <w:bCs/>
                <w:color w:val="003300"/>
                <w:sz w:val="22"/>
                <w:szCs w:val="22"/>
                <w:rtl/>
                <w:lang w:bidi="fa-IR"/>
              </w:rPr>
            </w:pPr>
            <w:r w:rsidRPr="00943766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:rsidR="000D40D9" w:rsidRPr="00943766" w:rsidRDefault="000D40D9" w:rsidP="00943766">
            <w:pPr>
              <w:spacing w:after="0" w:line="240" w:lineRule="auto"/>
              <w:jc w:val="center"/>
              <w:rPr>
                <w:rFonts w:cs="B Zar"/>
                <w:b/>
                <w:bCs/>
                <w:color w:val="003300"/>
              </w:rPr>
            </w:pPr>
            <w:r w:rsidRPr="00943766">
              <w:rPr>
                <w:rFonts w:cs="B Zar" w:hint="cs"/>
                <w:b/>
                <w:bCs/>
                <w:color w:val="003300"/>
                <w:rtl/>
              </w:rPr>
              <w:t>نام شركت كننده</w:t>
            </w: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:rsidR="000D40D9" w:rsidRPr="00943766" w:rsidRDefault="000D40D9" w:rsidP="00943766">
            <w:pPr>
              <w:spacing w:after="0" w:line="240" w:lineRule="auto"/>
              <w:jc w:val="center"/>
              <w:rPr>
                <w:rFonts w:cs="B Zar"/>
                <w:b/>
                <w:bCs/>
                <w:color w:val="003300"/>
                <w:lang w:bidi="fa-IR"/>
              </w:rPr>
            </w:pPr>
            <w:r w:rsidRPr="00943766">
              <w:rPr>
                <w:rFonts w:cs="B Zar" w:hint="cs"/>
                <w:b/>
                <w:bCs/>
                <w:color w:val="003300"/>
                <w:rtl/>
              </w:rPr>
              <w:t>مشخصات سپرده شركت در مناقصه ‌به مبلغ</w:t>
            </w:r>
            <w:r w:rsidR="00943766">
              <w:rPr>
                <w:rFonts w:cs="B Zar" w:hint="cs"/>
                <w:b/>
                <w:bCs/>
                <w:color w:val="003300"/>
                <w:rtl/>
                <w:lang w:bidi="fa-IR"/>
              </w:rPr>
              <w:t xml:space="preserve"> . . . . .</w:t>
            </w:r>
            <w:r w:rsidR="0077391B" w:rsidRPr="00943766">
              <w:rPr>
                <w:rFonts w:cs="B Zar" w:hint="cs"/>
                <w:b/>
                <w:bCs/>
                <w:color w:val="003300"/>
                <w:rtl/>
                <w:lang w:bidi="fa-IR"/>
              </w:rPr>
              <w:t xml:space="preserve"> ريال</w:t>
            </w:r>
            <w:r w:rsidRPr="00943766">
              <w:rPr>
                <w:rFonts w:cs="B Zar"/>
                <w:b/>
                <w:bCs/>
                <w:color w:val="003300"/>
                <w:lang w:bidi="fa-IR"/>
              </w:rPr>
              <w:t xml:space="preserve"> </w:t>
            </w:r>
            <w:r w:rsidRPr="00943766">
              <w:rPr>
                <w:rFonts w:cs="B Zar" w:hint="cs"/>
                <w:b/>
                <w:bCs/>
                <w:color w:val="003300"/>
                <w:rtl/>
                <w:lang w:bidi="fa-IR"/>
              </w:rPr>
              <w:t xml:space="preserve"> </w:t>
            </w:r>
          </w:p>
        </w:tc>
        <w:tc>
          <w:tcPr>
            <w:tcW w:w="9454" w:type="dxa"/>
            <w:shd w:val="clear" w:color="auto" w:fill="BFBFBF" w:themeFill="background1" w:themeFillShade="BF"/>
            <w:vAlign w:val="center"/>
          </w:tcPr>
          <w:p w:rsidR="000D40D9" w:rsidRPr="00943766" w:rsidRDefault="000D40D9" w:rsidP="00943766">
            <w:pPr>
              <w:spacing w:after="0" w:line="240" w:lineRule="auto"/>
              <w:jc w:val="center"/>
              <w:rPr>
                <w:rFonts w:cs="B Zar"/>
                <w:b/>
                <w:bCs/>
                <w:color w:val="003300"/>
              </w:rPr>
            </w:pPr>
            <w:r w:rsidRPr="00943766">
              <w:rPr>
                <w:rFonts w:cs="B Zar" w:hint="cs"/>
                <w:b/>
                <w:bCs/>
                <w:color w:val="003300"/>
                <w:rtl/>
              </w:rPr>
              <w:t xml:space="preserve">شرح </w:t>
            </w:r>
            <w:r w:rsidR="006522D4">
              <w:rPr>
                <w:rFonts w:cs="B Zar" w:hint="cs"/>
                <w:b/>
                <w:bCs/>
                <w:color w:val="003300"/>
                <w:rtl/>
              </w:rPr>
              <w:t>صورت‌جلسه</w:t>
            </w:r>
          </w:p>
        </w:tc>
      </w:tr>
      <w:tr w:rsidR="000D40D9" w:rsidRPr="00943766" w:rsidTr="00943766">
        <w:trPr>
          <w:cantSplit/>
          <w:trHeight w:val="1316"/>
          <w:jc w:val="center"/>
        </w:trPr>
        <w:tc>
          <w:tcPr>
            <w:tcW w:w="850" w:type="dxa"/>
          </w:tcPr>
          <w:p w:rsidR="000D40D9" w:rsidRPr="00943766" w:rsidRDefault="000D40D9" w:rsidP="00943766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0D40D9" w:rsidRPr="00943766" w:rsidRDefault="000D40D9" w:rsidP="00943766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0D40D9" w:rsidRPr="00943766" w:rsidRDefault="000D40D9" w:rsidP="00943766">
            <w:pPr>
              <w:spacing w:after="0" w:line="240" w:lineRule="auto"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</w:t>
            </w:r>
          </w:p>
        </w:tc>
        <w:tc>
          <w:tcPr>
            <w:tcW w:w="1515" w:type="dxa"/>
          </w:tcPr>
          <w:p w:rsidR="000D40D9" w:rsidRPr="00943766" w:rsidRDefault="000D40D9" w:rsidP="00943766">
            <w:pPr>
              <w:spacing w:after="0" w:line="240" w:lineRule="auto"/>
              <w:jc w:val="right"/>
              <w:rPr>
                <w:rFonts w:cs="B Zar"/>
                <w:sz w:val="24"/>
                <w:szCs w:val="24"/>
                <w:lang w:bidi="fa-IR"/>
              </w:rPr>
            </w:pP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   </w:t>
            </w:r>
          </w:p>
          <w:p w:rsidR="000D40D9" w:rsidRPr="00943766" w:rsidRDefault="000D40D9" w:rsidP="00943766">
            <w:pPr>
              <w:spacing w:after="0" w:line="240" w:lineRule="auto"/>
              <w:jc w:val="right"/>
              <w:rPr>
                <w:rFonts w:cs="B Zar"/>
                <w:sz w:val="24"/>
                <w:szCs w:val="24"/>
                <w:rtl/>
                <w:lang w:bidi="fa-IR"/>
              </w:rPr>
            </w:pPr>
          </w:p>
          <w:p w:rsidR="000D40D9" w:rsidRPr="00943766" w:rsidRDefault="000D40D9" w:rsidP="00943766">
            <w:pPr>
              <w:spacing w:after="0" w:line="240" w:lineRule="auto"/>
              <w:jc w:val="right"/>
              <w:rPr>
                <w:rFonts w:cs="B Zar"/>
                <w:sz w:val="24"/>
                <w:szCs w:val="24"/>
                <w:lang w:bidi="fa-IR"/>
              </w:rPr>
            </w:pPr>
          </w:p>
        </w:tc>
        <w:tc>
          <w:tcPr>
            <w:tcW w:w="3150" w:type="dxa"/>
          </w:tcPr>
          <w:p w:rsidR="000D40D9" w:rsidRPr="00943766" w:rsidRDefault="000D40D9" w:rsidP="00943766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</w:p>
          <w:p w:rsidR="000D40D9" w:rsidRPr="00943766" w:rsidRDefault="000D40D9" w:rsidP="00943766">
            <w:pPr>
              <w:spacing w:after="0" w:line="240" w:lineRule="auto"/>
              <w:jc w:val="right"/>
              <w:rPr>
                <w:rFonts w:cs="B Zar"/>
                <w:sz w:val="24"/>
                <w:szCs w:val="24"/>
                <w:lang w:bidi="fa-IR"/>
              </w:rPr>
            </w:pP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0D40D9" w:rsidRPr="00943766" w:rsidRDefault="000D40D9" w:rsidP="00943766">
            <w:pPr>
              <w:spacing w:after="0" w:line="240" w:lineRule="auto"/>
              <w:jc w:val="right"/>
              <w:rPr>
                <w:rFonts w:cs="B Zar"/>
                <w:sz w:val="24"/>
                <w:szCs w:val="24"/>
                <w:lang w:bidi="fa-IR"/>
              </w:rPr>
            </w:pPr>
          </w:p>
          <w:p w:rsidR="000D40D9" w:rsidRPr="00943766" w:rsidRDefault="000D40D9" w:rsidP="00943766">
            <w:pPr>
              <w:spacing w:after="0" w:line="240" w:lineRule="auto"/>
              <w:jc w:val="right"/>
              <w:rPr>
                <w:rFonts w:cs="B Zar"/>
                <w:sz w:val="24"/>
                <w:szCs w:val="24"/>
                <w:lang w:bidi="fa-IR"/>
              </w:rPr>
            </w:pPr>
          </w:p>
          <w:p w:rsidR="000D40D9" w:rsidRPr="00943766" w:rsidRDefault="000D40D9" w:rsidP="00943766">
            <w:pPr>
              <w:spacing w:after="0" w:line="240" w:lineRule="auto"/>
              <w:jc w:val="right"/>
              <w:rPr>
                <w:rFonts w:cs="B Zar"/>
                <w:sz w:val="24"/>
                <w:szCs w:val="24"/>
                <w:lang w:bidi="fa-IR"/>
              </w:rPr>
            </w:pPr>
          </w:p>
          <w:p w:rsidR="000D40D9" w:rsidRPr="00943766" w:rsidRDefault="000D40D9" w:rsidP="00943766">
            <w:pPr>
              <w:spacing w:after="0" w:line="240" w:lineRule="auto"/>
              <w:jc w:val="right"/>
              <w:rPr>
                <w:rFonts w:cs="B Zar"/>
                <w:sz w:val="24"/>
                <w:szCs w:val="24"/>
                <w:lang w:bidi="fa-IR"/>
              </w:rPr>
            </w:pPr>
          </w:p>
          <w:p w:rsidR="000D40D9" w:rsidRPr="00943766" w:rsidRDefault="000D40D9" w:rsidP="00943766">
            <w:pPr>
              <w:spacing w:after="0" w:line="240" w:lineRule="auto"/>
              <w:jc w:val="right"/>
              <w:rPr>
                <w:rFonts w:cs="B Zar"/>
                <w:sz w:val="24"/>
                <w:szCs w:val="24"/>
                <w:lang w:bidi="fa-IR"/>
              </w:rPr>
            </w:pPr>
          </w:p>
          <w:p w:rsidR="000D40D9" w:rsidRPr="00943766" w:rsidRDefault="000D40D9" w:rsidP="00943766">
            <w:pPr>
              <w:spacing w:after="0" w:line="240" w:lineRule="auto"/>
              <w:jc w:val="right"/>
              <w:rPr>
                <w:rFonts w:cs="B Zar"/>
                <w:sz w:val="24"/>
                <w:szCs w:val="24"/>
                <w:rtl/>
                <w:lang w:bidi="fa-IR"/>
              </w:rPr>
            </w:pPr>
            <w:r w:rsidRPr="00943766">
              <w:rPr>
                <w:rFonts w:cs="B Zar"/>
                <w:sz w:val="24"/>
                <w:szCs w:val="24"/>
                <w:lang w:bidi="fa-IR"/>
              </w:rPr>
              <w:t xml:space="preserve"> </w:t>
            </w:r>
          </w:p>
          <w:p w:rsidR="000D40D9" w:rsidRPr="00943766" w:rsidRDefault="000D40D9" w:rsidP="00943766">
            <w:pPr>
              <w:spacing w:after="0" w:line="240" w:lineRule="auto"/>
              <w:jc w:val="right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9454" w:type="dxa"/>
          </w:tcPr>
          <w:p w:rsidR="000D40D9" w:rsidRPr="00943766" w:rsidRDefault="000D40D9" w:rsidP="006522D4">
            <w:pPr>
              <w:bidi/>
              <w:spacing w:after="0" w:line="240" w:lineRule="auto"/>
              <w:jc w:val="both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943766">
              <w:rPr>
                <w:rFonts w:cs="B Zar" w:hint="cs"/>
                <w:sz w:val="24"/>
                <w:szCs w:val="24"/>
                <w:rtl/>
              </w:rPr>
              <w:t>در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Pr="00943766">
              <w:rPr>
                <w:rFonts w:cs="B Zar" w:hint="cs"/>
                <w:sz w:val="24"/>
                <w:szCs w:val="24"/>
                <w:rtl/>
              </w:rPr>
              <w:t>ساعت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........ </w:t>
            </w:r>
            <w:r w:rsidRPr="00943766">
              <w:rPr>
                <w:rFonts w:cs="B Zar" w:hint="cs"/>
                <w:sz w:val="24"/>
                <w:szCs w:val="24"/>
                <w:rtl/>
              </w:rPr>
              <w:t>روز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>..........</w:t>
            </w:r>
            <w:r w:rsidRPr="00943766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943766">
              <w:rPr>
                <w:rFonts w:cs="B Zar" w:hint="cs"/>
                <w:sz w:val="24"/>
                <w:szCs w:val="24"/>
                <w:rtl/>
              </w:rPr>
              <w:t>مورخ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>...................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Pr="00943766">
              <w:rPr>
                <w:rFonts w:cs="B Zar" w:hint="cs"/>
                <w:sz w:val="24"/>
                <w:szCs w:val="24"/>
                <w:rtl/>
              </w:rPr>
              <w:t>جلسه كميسيون مناقصه عمومي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دومرحله‌ای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...............................................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>........................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..................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>..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از</w:t>
            </w:r>
            <w:r w:rsidR="006522D4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محل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اعتبارات .................. مورد درخواست ....................................... با حضور امضاء کنندگان ذیل در </w:t>
            </w:r>
            <w:r w:rsidRPr="00943766">
              <w:rPr>
                <w:rFonts w:cs="B Zar" w:hint="cs"/>
                <w:sz w:val="24"/>
                <w:szCs w:val="24"/>
                <w:rtl/>
              </w:rPr>
              <w:t>دفتر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Pr="00943766">
              <w:rPr>
                <w:rFonts w:cs="B Zar" w:hint="cs"/>
                <w:sz w:val="24"/>
                <w:szCs w:val="24"/>
                <w:rtl/>
              </w:rPr>
              <w:t>............................................................ تشكيل گرديد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>.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>و</w:t>
            </w:r>
            <w:r w:rsidRPr="00943766">
              <w:rPr>
                <w:rFonts w:cs="B Zar" w:hint="cs"/>
                <w:sz w:val="24"/>
                <w:szCs w:val="24"/>
                <w:rtl/>
              </w:rPr>
              <w:t>فق گزارش دبيرخانه به شماره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</w:t>
            </w:r>
            <w:r w:rsidRPr="00943766">
              <w:rPr>
                <w:rFonts w:cs="B Zar" w:hint="cs"/>
                <w:sz w:val="24"/>
                <w:szCs w:val="24"/>
                <w:rtl/>
              </w:rPr>
              <w:t>.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>................. م</w:t>
            </w:r>
            <w:r w:rsidRPr="00943766">
              <w:rPr>
                <w:rFonts w:cs="B Zar" w:hint="cs"/>
                <w:sz w:val="24"/>
                <w:szCs w:val="24"/>
                <w:rtl/>
              </w:rPr>
              <w:t>ورخ</w:t>
            </w:r>
            <w:r w:rsidRPr="00943766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Pr="00943766">
              <w:rPr>
                <w:rFonts w:cs="B Zar" w:hint="cs"/>
                <w:sz w:val="24"/>
                <w:szCs w:val="24"/>
                <w:rtl/>
              </w:rPr>
              <w:t xml:space="preserve"> ...................</w:t>
            </w:r>
            <w:r w:rsidRPr="00943766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 w:rsidRPr="00943766">
              <w:rPr>
                <w:rFonts w:cs="B Zar" w:hint="cs"/>
                <w:sz w:val="24"/>
                <w:szCs w:val="24"/>
                <w:rtl/>
              </w:rPr>
              <w:t>تعداد .......</w:t>
            </w:r>
            <w:r w:rsidRPr="00943766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(</w:t>
            </w:r>
            <w:r w:rsidRPr="00943766">
              <w:rPr>
                <w:rFonts w:cs="B Zar" w:hint="cs"/>
                <w:sz w:val="24"/>
                <w:szCs w:val="24"/>
                <w:rtl/>
              </w:rPr>
              <w:t xml:space="preserve"> .......</w:t>
            </w:r>
            <w:r w:rsidRPr="00943766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 xml:space="preserve">  ) فقره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Pr="00943766">
              <w:rPr>
                <w:rFonts w:cs="B Zar" w:hint="cs"/>
                <w:sz w:val="24"/>
                <w:szCs w:val="24"/>
                <w:rtl/>
              </w:rPr>
              <w:t>پاكت پيشنهاد به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اسامی جدول مقابل تحويل 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دبیرخانه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شده است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(تعداد  ......  شركت وفق ليست مندرج در نامه 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دبیرخانه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اسناد مناقصه را دريافت 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نموده‌اند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)  </w:t>
            </w:r>
            <w:r w:rsidRPr="00943766">
              <w:rPr>
                <w:rFonts w:cs="B Zar" w:hint="cs"/>
                <w:sz w:val="24"/>
                <w:szCs w:val="24"/>
              </w:rPr>
              <w:t xml:space="preserve"> </w:t>
            </w:r>
          </w:p>
          <w:p w:rsidR="000D40D9" w:rsidRPr="00943766" w:rsidRDefault="000D40D9" w:rsidP="00943766">
            <w:pPr>
              <w:bidi/>
              <w:spacing w:after="0" w:line="240" w:lineRule="auto"/>
              <w:jc w:val="both"/>
              <w:rPr>
                <w:rFonts w:cs="B Zar"/>
                <w:sz w:val="24"/>
                <w:szCs w:val="24"/>
                <w:rtl/>
                <w:lang w:bidi="fa-IR"/>
              </w:rPr>
            </w:pP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بعد از اطمینان از صحت 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پاکت‌ها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و</w:t>
            </w:r>
            <w:r w:rsidR="006522D4"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تعلق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آن به مناقصه 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مورداشاره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, نسبت به گشایش 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پاکت‌های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"الف"  و بررسي سپرده  شركت در مناقصه </w:t>
            </w:r>
            <w:r w:rsidR="006522D4">
              <w:rPr>
                <w:rFonts w:cs="B Zar" w:hint="cs"/>
                <w:sz w:val="24"/>
                <w:szCs w:val="24"/>
                <w:rtl/>
                <w:lang w:bidi="fa-IR"/>
              </w:rPr>
              <w:t>شرکت‌ها</w:t>
            </w:r>
            <w:r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به شرح جدول مقابل  اقدام گردید. </w:t>
            </w:r>
          </w:p>
          <w:p w:rsidR="000D40D9" w:rsidRPr="00943766" w:rsidRDefault="006522D4" w:rsidP="006522D4">
            <w:pPr>
              <w:bidi/>
              <w:spacing w:after="0" w:line="240" w:lineRule="auto"/>
              <w:jc w:val="both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با</w:t>
            </w:r>
            <w:r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توجه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به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دومرحله‌ای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بودن مناقصه ، مقرر گردید کمیته فنی بازرگاني منتخب .......................................  متشکل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از</w:t>
            </w:r>
            <w:r>
              <w:rPr>
                <w:rFonts w:cs="B Zar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آقایان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مهندسين:  ............................................................. ،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پاکت‌های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ب  حاوي مدارك و سوابق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شرکت‌کنندگان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مناقصه را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موردبررسی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قرار داده و نتایج بررسی را در جدول امتیازبندی با قید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شاخص‌های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در نظر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گرفته‌شده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حداكثر تا مورخ ........................ به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>کمیسیون مناقصه اعلام تا ضمن برگزاري جلسه دوم مناقصه،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ارزيابي مالي بر اساس ضوابط انجام پذيرد،تاريخ برگزاري جلسه دوم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متعاقباً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به‌صورت</w:t>
            </w:r>
            <w:r w:rsidR="000D40D9" w:rsidRPr="00943766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كتبي اعلام خواهد شد.  </w:t>
            </w:r>
          </w:p>
        </w:tc>
      </w:tr>
      <w:tr w:rsidR="000D40D9" w:rsidRPr="00943766" w:rsidTr="00943766">
        <w:trPr>
          <w:cantSplit/>
          <w:trHeight w:val="1280"/>
          <w:jc w:val="center"/>
        </w:trPr>
        <w:tc>
          <w:tcPr>
            <w:tcW w:w="14969" w:type="dxa"/>
            <w:gridSpan w:val="4"/>
            <w:shd w:val="clear" w:color="auto" w:fill="FFFFFF" w:themeFill="background1"/>
          </w:tcPr>
          <w:p w:rsidR="000D40D9" w:rsidRPr="00943766" w:rsidRDefault="000D40D9" w:rsidP="006522D4">
            <w:pPr>
              <w:bidi/>
              <w:spacing w:after="0" w:line="240" w:lineRule="auto"/>
              <w:jc w:val="lowKashida"/>
              <w:rPr>
                <w:rFonts w:cs="B Zar"/>
                <w:color w:val="003300"/>
                <w:sz w:val="24"/>
                <w:szCs w:val="24"/>
                <w:rtl/>
                <w:lang w:bidi="fa-IR"/>
              </w:rPr>
            </w:pPr>
            <w:r w:rsidRPr="00943766">
              <w:rPr>
                <w:rFonts w:cs="B Zar" w:hint="cs"/>
                <w:color w:val="003300"/>
                <w:sz w:val="24"/>
                <w:szCs w:val="24"/>
                <w:rtl/>
                <w:lang w:bidi="fa-IR"/>
              </w:rPr>
              <w:t xml:space="preserve">اعضاي كميسيون مناقصه: </w:t>
            </w:r>
          </w:p>
          <w:p w:rsidR="000D40D9" w:rsidRPr="00943766" w:rsidRDefault="000D40D9" w:rsidP="00943766">
            <w:pPr>
              <w:bidi/>
              <w:spacing w:after="0" w:line="240" w:lineRule="auto"/>
              <w:jc w:val="lowKashida"/>
              <w:rPr>
                <w:rFonts w:cs="B Zar"/>
                <w:color w:val="003300"/>
                <w:sz w:val="24"/>
                <w:szCs w:val="24"/>
                <w:rtl/>
                <w:lang w:bidi="fa-IR"/>
              </w:rPr>
            </w:pPr>
            <w:r w:rsidRPr="00943766">
              <w:rPr>
                <w:rFonts w:cs="B Zar" w:hint="cs"/>
                <w:color w:val="003300"/>
                <w:sz w:val="24"/>
                <w:szCs w:val="24"/>
                <w:rtl/>
                <w:lang w:bidi="fa-IR"/>
              </w:rPr>
              <w:t xml:space="preserve">  </w:t>
            </w:r>
          </w:p>
          <w:p w:rsidR="000D40D9" w:rsidRPr="00943766" w:rsidRDefault="000D40D9" w:rsidP="006522D4">
            <w:pPr>
              <w:bidi/>
              <w:spacing w:after="0" w:line="240" w:lineRule="auto"/>
              <w:jc w:val="lowKashida"/>
              <w:rPr>
                <w:rFonts w:cs="B Zar"/>
                <w:color w:val="003300"/>
                <w:sz w:val="24"/>
                <w:szCs w:val="24"/>
                <w:lang w:bidi="fa-IR"/>
              </w:rPr>
            </w:pPr>
            <w:r w:rsidRPr="00943766">
              <w:rPr>
                <w:rFonts w:cs="B Zar" w:hint="cs"/>
                <w:color w:val="003300"/>
                <w:sz w:val="24"/>
                <w:szCs w:val="24"/>
                <w:rtl/>
                <w:lang w:bidi="fa-IR"/>
              </w:rPr>
              <w:t xml:space="preserve">حاضرين </w:t>
            </w:r>
            <w:r w:rsidR="006522D4">
              <w:rPr>
                <w:rFonts w:cs="B Zar" w:hint="cs"/>
                <w:color w:val="003300"/>
                <w:sz w:val="24"/>
                <w:szCs w:val="24"/>
                <w:rtl/>
                <w:lang w:bidi="fa-IR"/>
              </w:rPr>
              <w:t>در</w:t>
            </w:r>
            <w:r w:rsidR="006522D4">
              <w:rPr>
                <w:rFonts w:cs="B Zar"/>
                <w:color w:val="003300"/>
                <w:sz w:val="24"/>
                <w:szCs w:val="24"/>
                <w:rtl/>
                <w:lang w:bidi="fa-IR"/>
              </w:rPr>
              <w:t xml:space="preserve"> </w:t>
            </w:r>
            <w:r w:rsidR="006522D4">
              <w:rPr>
                <w:rFonts w:cs="B Zar" w:hint="cs"/>
                <w:color w:val="003300"/>
                <w:sz w:val="24"/>
                <w:szCs w:val="24"/>
                <w:rtl/>
                <w:lang w:bidi="fa-IR"/>
              </w:rPr>
              <w:t>جلسه</w:t>
            </w:r>
            <w:r w:rsidRPr="00943766">
              <w:rPr>
                <w:rFonts w:cs="B Zar" w:hint="cs"/>
                <w:color w:val="003300"/>
                <w:sz w:val="24"/>
                <w:szCs w:val="24"/>
                <w:rtl/>
                <w:lang w:bidi="fa-IR"/>
              </w:rPr>
              <w:t xml:space="preserve">  بدون حق </w:t>
            </w:r>
            <w:r w:rsidR="006522D4">
              <w:rPr>
                <w:rFonts w:cs="B Zar" w:hint="cs"/>
                <w:color w:val="003300"/>
                <w:sz w:val="24"/>
                <w:szCs w:val="24"/>
                <w:rtl/>
                <w:lang w:bidi="fa-IR"/>
              </w:rPr>
              <w:t>رأی</w:t>
            </w:r>
            <w:r w:rsidRPr="00943766">
              <w:rPr>
                <w:rFonts w:cs="B Zar" w:hint="cs"/>
                <w:color w:val="003300"/>
                <w:sz w:val="24"/>
                <w:szCs w:val="24"/>
                <w:rtl/>
                <w:lang w:bidi="fa-IR"/>
              </w:rPr>
              <w:t xml:space="preserve">: </w:t>
            </w:r>
          </w:p>
        </w:tc>
      </w:tr>
    </w:tbl>
    <w:p w:rsidR="006B2516" w:rsidRPr="00B06CD7" w:rsidRDefault="006B2516" w:rsidP="00420F93">
      <w:pPr>
        <w:bidi/>
        <w:jc w:val="both"/>
        <w:rPr>
          <w:rFonts w:cs="B Zar"/>
          <w:color w:val="003300"/>
          <w:sz w:val="20"/>
          <w:szCs w:val="20"/>
        </w:rPr>
      </w:pPr>
      <w:r w:rsidRPr="00B06CD7">
        <w:rPr>
          <w:rFonts w:cs="B Zar" w:hint="cs"/>
          <w:b/>
          <w:bCs/>
          <w:color w:val="003300"/>
          <w:sz w:val="20"/>
          <w:szCs w:val="20"/>
          <w:rtl/>
          <w:lang w:bidi="fa-IR"/>
        </w:rPr>
        <w:t xml:space="preserve">                 </w:t>
      </w:r>
      <w:r w:rsidRPr="00B06CD7">
        <w:rPr>
          <w:rFonts w:cs="B Zar" w:hint="cs"/>
          <w:color w:val="003300"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             </w:t>
      </w:r>
    </w:p>
    <w:p w:rsidR="006B2516" w:rsidRPr="00B06CD7" w:rsidRDefault="006B2516" w:rsidP="006B2516">
      <w:pPr>
        <w:bidi/>
        <w:jc w:val="center"/>
        <w:rPr>
          <w:rFonts w:cs="B Zar"/>
          <w:sz w:val="20"/>
          <w:szCs w:val="20"/>
          <w:rtl/>
        </w:rPr>
      </w:pPr>
    </w:p>
    <w:p w:rsidR="00EC4818" w:rsidRPr="00C40525" w:rsidRDefault="00EC4818" w:rsidP="00C40525">
      <w:pPr>
        <w:jc w:val="right"/>
        <w:rPr>
          <w:rFonts w:cs="B Zar"/>
          <w:sz w:val="10"/>
          <w:szCs w:val="10"/>
          <w:lang w:bidi="fa-IR"/>
        </w:rPr>
      </w:pPr>
    </w:p>
    <w:sectPr w:rsidR="00EC4818" w:rsidRPr="00C40525" w:rsidSect="009437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213" w:bottom="1440" w:left="1276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A15" w:rsidRDefault="00BE1A15" w:rsidP="005E2922">
      <w:pPr>
        <w:spacing w:after="0" w:line="240" w:lineRule="auto"/>
      </w:pPr>
      <w:r>
        <w:separator/>
      </w:r>
    </w:p>
  </w:endnote>
  <w:endnote w:type="continuationSeparator" w:id="0">
    <w:p w:rsidR="00BE1A15" w:rsidRDefault="00BE1A15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A6" w:rsidRDefault="00DF44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766" w:rsidRDefault="00943766" w:rsidP="00943766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30A7A0FA" wp14:editId="29D7766E">
          <wp:simplePos x="0" y="0"/>
          <wp:positionH relativeFrom="column">
            <wp:posOffset>-788314</wp:posOffset>
          </wp:positionH>
          <wp:positionV relativeFrom="paragraph">
            <wp:posOffset>-93827</wp:posOffset>
          </wp:positionV>
          <wp:extent cx="10039350" cy="787010"/>
          <wp:effectExtent l="1905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10039350" cy="787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1A15"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4" type="#_x0000_t202" style="position:absolute;margin-left:-27.35pt;margin-top:7.5pt;width:721.35pt;height:24pt;z-index:25166796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943766" w:rsidRDefault="00943766" w:rsidP="00AF3E1F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F-092-0</w:t>
                </w:r>
                <w:r w:rsidR="00892392">
                  <w:rPr>
                    <w:rFonts w:ascii="Times New Roman" w:hAnsi="Times New Roman" w:cs="Times New Roman"/>
                    <w:sz w:val="20"/>
                    <w:szCs w:val="20"/>
                  </w:rPr>
                  <w:t>3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   </w:t>
                </w:r>
                <w:r w:rsidR="00DF44A6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</w:t>
                </w:r>
                <w:r w:rsidR="00AF3E1F">
                  <w:rPr>
                    <w:rFonts w:cs="B Zar"/>
                    <w:sz w:val="20"/>
                    <w:szCs w:val="20"/>
                  </w:rPr>
                  <w:t xml:space="preserve">                                                                                                        </w:t>
                </w:r>
                <w:bookmarkStart w:id="0" w:name="_GoBack"/>
                <w:bookmarkEnd w:id="0"/>
                <w:r w:rsidR="00DF44A6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   شماره صفحه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AF3E1F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943766" w:rsidRDefault="00943766" w:rsidP="00943766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943766" w:rsidRDefault="00943766" w:rsidP="00943766">
                <w:pPr>
                  <w:bidi/>
                  <w:jc w:val="center"/>
                  <w:rPr>
                    <w:rFonts w:cs="Arial"/>
                    <w:rtl/>
                  </w:rPr>
                </w:pPr>
              </w:p>
            </w:txbxContent>
          </v:textbox>
        </v:shape>
      </w:pict>
    </w:r>
  </w:p>
  <w:p w:rsidR="005E2922" w:rsidRPr="00943766" w:rsidRDefault="005E2922" w:rsidP="009437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A6" w:rsidRDefault="00DF44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A15" w:rsidRDefault="00BE1A15" w:rsidP="005E2922">
      <w:pPr>
        <w:spacing w:after="0" w:line="240" w:lineRule="auto"/>
      </w:pPr>
      <w:r>
        <w:separator/>
      </w:r>
    </w:p>
  </w:footnote>
  <w:footnote w:type="continuationSeparator" w:id="0">
    <w:p w:rsidR="00BE1A15" w:rsidRDefault="00BE1A15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A6" w:rsidRDefault="00DF44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Tr="00164ED6">
      <w:trPr>
        <w:trHeight w:val="254"/>
      </w:trPr>
      <w:tc>
        <w:tcPr>
          <w:tcW w:w="1326" w:type="dxa"/>
        </w:tcPr>
        <w:p w:rsidR="00D771E5" w:rsidRPr="00D771E5" w:rsidRDefault="00C4052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/>
              <w:noProof/>
              <w:sz w:val="24"/>
              <w:szCs w:val="24"/>
            </w:rPr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-677545</wp:posOffset>
                </wp:positionV>
                <wp:extent cx="10039350" cy="1285875"/>
                <wp:effectExtent l="19050" t="0" r="0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935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D771E5" w:rsidRDefault="00943766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  <w:tr w:rsidR="00D771E5" w:rsidTr="00164ED6">
      <w:trPr>
        <w:trHeight w:val="241"/>
      </w:trPr>
      <w:tc>
        <w:tcPr>
          <w:tcW w:w="1326" w:type="dxa"/>
        </w:tcPr>
        <w:p w:rsidR="00D771E5" w:rsidRPr="00D771E5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D771E5" w:rsidRDefault="00943766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</w:tbl>
  <w:p w:rsidR="005E2922" w:rsidRDefault="00210678" w:rsidP="00052537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49282E2E" wp14:editId="25808509">
          <wp:simplePos x="0" y="0"/>
          <wp:positionH relativeFrom="column">
            <wp:posOffset>8128533</wp:posOffset>
          </wp:positionH>
          <wp:positionV relativeFrom="paragraph">
            <wp:posOffset>-654101</wp:posOffset>
          </wp:positionV>
          <wp:extent cx="351130" cy="365175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130" cy="3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1A1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581.9pt;margin-top:-19.9pt;width:135.05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210678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BE1A15">
      <w:rPr>
        <w:noProof/>
      </w:rPr>
      <w:pict>
        <v:shape id="Text Box 3" o:spid="_x0000_s2051" type="#_x0000_t202" style="position:absolute;margin-left:151.45pt;margin-top:-39.6pt;width:354.75pt;height:56.4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0D40D9" w:rsidRPr="000D40D9" w:rsidRDefault="000D40D9" w:rsidP="00943766">
                <w:pPr>
                  <w:bidi/>
                  <w:spacing w:after="0" w:line="240" w:lineRule="auto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0D40D9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فرم صورت</w:t>
                </w:r>
                <w:r w:rsidR="00DF44A6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‌</w:t>
                </w:r>
                <w:r w:rsidRPr="000D40D9">
                  <w:rPr>
                    <w:rFonts w:cs="B Zar" w:hint="cs"/>
                    <w:b/>
                    <w:bCs/>
                    <w:sz w:val="28"/>
                    <w:szCs w:val="28"/>
                    <w:rtl/>
                  </w:rPr>
                  <w:t>جلسه كميسيون مناقصه عمومي دو مرحله اي(جلسه اول)</w:t>
                </w:r>
              </w:p>
              <w:p w:rsidR="00103E51" w:rsidRPr="00DF44A6" w:rsidRDefault="00DF44A6" w:rsidP="00943766">
                <w:pPr>
                  <w:bidi/>
                  <w:spacing w:after="0" w:line="240" w:lineRule="auto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</w:rPr>
                </w:pPr>
                <w:r w:rsidRPr="00DF44A6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شرکت </w:t>
                </w:r>
                <w:r w:rsidR="00103E51" w:rsidRPr="00DF44A6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آب و فاضلاب ......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A6" w:rsidRDefault="00DF44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27AFC"/>
    <w:rsid w:val="00052537"/>
    <w:rsid w:val="000D40D9"/>
    <w:rsid w:val="00103E51"/>
    <w:rsid w:val="00164ED6"/>
    <w:rsid w:val="00191D05"/>
    <w:rsid w:val="00210678"/>
    <w:rsid w:val="002209E2"/>
    <w:rsid w:val="002234DF"/>
    <w:rsid w:val="002408CF"/>
    <w:rsid w:val="00277EFA"/>
    <w:rsid w:val="0035428B"/>
    <w:rsid w:val="00367A74"/>
    <w:rsid w:val="00386830"/>
    <w:rsid w:val="003C7396"/>
    <w:rsid w:val="003D5AAE"/>
    <w:rsid w:val="003E0684"/>
    <w:rsid w:val="003E7A7A"/>
    <w:rsid w:val="003F25B7"/>
    <w:rsid w:val="0040041F"/>
    <w:rsid w:val="00420F93"/>
    <w:rsid w:val="0045757A"/>
    <w:rsid w:val="004731C5"/>
    <w:rsid w:val="00476036"/>
    <w:rsid w:val="004970F8"/>
    <w:rsid w:val="004B5405"/>
    <w:rsid w:val="004F0A78"/>
    <w:rsid w:val="005107CD"/>
    <w:rsid w:val="005233EA"/>
    <w:rsid w:val="00535318"/>
    <w:rsid w:val="00541ED0"/>
    <w:rsid w:val="005525FE"/>
    <w:rsid w:val="0059202E"/>
    <w:rsid w:val="00596D40"/>
    <w:rsid w:val="005A526D"/>
    <w:rsid w:val="005D10D8"/>
    <w:rsid w:val="005E2922"/>
    <w:rsid w:val="00605D6B"/>
    <w:rsid w:val="00607162"/>
    <w:rsid w:val="006258F1"/>
    <w:rsid w:val="006522D4"/>
    <w:rsid w:val="006A325B"/>
    <w:rsid w:val="006B2516"/>
    <w:rsid w:val="006C251B"/>
    <w:rsid w:val="006F1800"/>
    <w:rsid w:val="00726DF2"/>
    <w:rsid w:val="007464A1"/>
    <w:rsid w:val="007625A1"/>
    <w:rsid w:val="0077391B"/>
    <w:rsid w:val="00824115"/>
    <w:rsid w:val="00876875"/>
    <w:rsid w:val="00892392"/>
    <w:rsid w:val="008A6A5E"/>
    <w:rsid w:val="008D604A"/>
    <w:rsid w:val="008F4A09"/>
    <w:rsid w:val="00921046"/>
    <w:rsid w:val="00932111"/>
    <w:rsid w:val="00943766"/>
    <w:rsid w:val="00966E5B"/>
    <w:rsid w:val="009905B7"/>
    <w:rsid w:val="00993A7E"/>
    <w:rsid w:val="009A3FF7"/>
    <w:rsid w:val="009A4073"/>
    <w:rsid w:val="009E3E5C"/>
    <w:rsid w:val="009E7246"/>
    <w:rsid w:val="00A12CE1"/>
    <w:rsid w:val="00A22A80"/>
    <w:rsid w:val="00A52B16"/>
    <w:rsid w:val="00AF3E1F"/>
    <w:rsid w:val="00B64D63"/>
    <w:rsid w:val="00B80BA5"/>
    <w:rsid w:val="00BD0FB2"/>
    <w:rsid w:val="00BD35DC"/>
    <w:rsid w:val="00BD5B4C"/>
    <w:rsid w:val="00BE1A15"/>
    <w:rsid w:val="00C1348C"/>
    <w:rsid w:val="00C40525"/>
    <w:rsid w:val="00C660C6"/>
    <w:rsid w:val="00C838D3"/>
    <w:rsid w:val="00CB59E5"/>
    <w:rsid w:val="00CD09A1"/>
    <w:rsid w:val="00CF158F"/>
    <w:rsid w:val="00D01C47"/>
    <w:rsid w:val="00D07C4C"/>
    <w:rsid w:val="00D54605"/>
    <w:rsid w:val="00D60741"/>
    <w:rsid w:val="00D61BFD"/>
    <w:rsid w:val="00D771E5"/>
    <w:rsid w:val="00D847F9"/>
    <w:rsid w:val="00DF44A6"/>
    <w:rsid w:val="00EB069C"/>
    <w:rsid w:val="00EC4818"/>
    <w:rsid w:val="00EE4B38"/>
    <w:rsid w:val="00EE7FE5"/>
    <w:rsid w:val="00F17123"/>
    <w:rsid w:val="00F30DC8"/>
    <w:rsid w:val="00F314EB"/>
    <w:rsid w:val="00F42458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5:docId w15:val="{CA5A6C12-12F1-4CA0-9F43-8D086714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C40525"/>
    <w:pPr>
      <w:keepNext/>
      <w:bidi/>
      <w:spacing w:after="0" w:line="240" w:lineRule="auto"/>
      <w:jc w:val="both"/>
      <w:outlineLvl w:val="0"/>
    </w:pPr>
    <w:rPr>
      <w:rFonts w:ascii="Times New Roman" w:eastAsia="Times New Roman" w:hAnsi="Times New Roman" w:cs="Lotu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0525"/>
    <w:rPr>
      <w:rFonts w:ascii="Times New Roman" w:eastAsia="Times New Roman" w:hAnsi="Times New Roman" w:cs="Lotu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25</cp:revision>
  <cp:lastPrinted>2017-04-26T05:36:00Z</cp:lastPrinted>
  <dcterms:created xsi:type="dcterms:W3CDTF">2017-02-04T08:17:00Z</dcterms:created>
  <dcterms:modified xsi:type="dcterms:W3CDTF">2018-02-10T05:51:00Z</dcterms:modified>
</cp:coreProperties>
</file>