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گزارش کار آزمایشگاه </w:t>
      </w:r>
      <w:r w:rsidR="00FA545C">
        <w:rPr>
          <w:rFonts w:cs="Far.Nazanin" w:hint="cs"/>
          <w:b/>
          <w:bCs/>
          <w:sz w:val="28"/>
          <w:szCs w:val="28"/>
          <w:rtl/>
        </w:rPr>
        <w:t>ماشین های الکتریکی 1</w:t>
      </w:r>
    </w:p>
    <w:p w:rsidR="006071C2" w:rsidRDefault="006071C2" w:rsidP="0068154E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آزمایش: </w:t>
      </w:r>
      <w:r w:rsidR="0068154E">
        <w:rPr>
          <w:rFonts w:cs="Far.Nazanin" w:hint="cs"/>
          <w:b/>
          <w:bCs/>
          <w:sz w:val="28"/>
          <w:szCs w:val="28"/>
          <w:rtl/>
        </w:rPr>
        <w:t>بی باری</w:t>
      </w:r>
      <w:r w:rsidR="001D6317">
        <w:rPr>
          <w:rFonts w:cs="Far.Nazanin" w:hint="cs"/>
          <w:b/>
          <w:bCs/>
          <w:sz w:val="28"/>
          <w:szCs w:val="28"/>
          <w:rtl/>
        </w:rPr>
        <w:t xml:space="preserve"> مولد شنت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 xml:space="preserve">مهندس </w:t>
      </w:r>
      <w:r w:rsidR="00FA545C">
        <w:rPr>
          <w:rFonts w:cs="Far.Nazanin" w:hint="cs"/>
          <w:b/>
          <w:bCs/>
          <w:sz w:val="28"/>
          <w:szCs w:val="28"/>
          <w:rtl/>
        </w:rPr>
        <w:t>حسینا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1D6317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اردیبهشت</w:t>
      </w:r>
      <w:r w:rsidR="00D71C45">
        <w:rPr>
          <w:rFonts w:cs="Far.Nazanin" w:hint="cs"/>
          <w:b/>
          <w:bCs/>
          <w:sz w:val="28"/>
          <w:szCs w:val="28"/>
          <w:rtl/>
        </w:rPr>
        <w:t xml:space="preserve"> ماه 1</w:t>
      </w:r>
      <w:r w:rsidR="00FA545C">
        <w:rPr>
          <w:rFonts w:cs="Far.Nazanin" w:hint="cs"/>
          <w:b/>
          <w:bCs/>
          <w:sz w:val="28"/>
          <w:szCs w:val="28"/>
          <w:rtl/>
        </w:rPr>
        <w:t>400</w:t>
      </w:r>
    </w:p>
    <w:p w:rsidR="00C0065C" w:rsidRDefault="0068154E" w:rsidP="00C0065C">
      <w:pPr>
        <w:bidi/>
        <w:rPr>
          <w:rFonts w:cs="Far.Nazanin"/>
          <w:sz w:val="28"/>
          <w:szCs w:val="28"/>
          <w:rtl/>
        </w:rPr>
      </w:pPr>
      <w:r w:rsidRPr="0068154E">
        <w:rPr>
          <w:rFonts w:cs="Far.Nazanin" w:hint="cs"/>
          <w:sz w:val="28"/>
          <w:szCs w:val="28"/>
          <w:rtl/>
        </w:rPr>
        <w:lastRenderedPageBreak/>
        <w:t>در این آزمایش، ولتاژ القایی تابعیست از جریان تحریک.</w:t>
      </w:r>
    </w:p>
    <w:p w:rsidR="0068154E" w:rsidRPr="0068154E" w:rsidRDefault="0068154E" w:rsidP="0068154E">
      <w:pPr>
        <w:bidi/>
        <w:jc w:val="right"/>
        <w:rPr>
          <w:rFonts w:cs="Far.Nazanin" w:hint="cs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Far.Nazani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</w:rPr>
                    <m:t>f</m:t>
                  </m:r>
                </m:sub>
              </m:sSub>
            </m:e>
          </m:d>
        </m:oMath>
      </m:oMathPara>
    </w:p>
    <w:p w:rsidR="0068154E" w:rsidRDefault="0068154E" w:rsidP="0068154E">
      <w:pPr>
        <w:bidi/>
        <w:rPr>
          <w:rFonts w:cs="Far.Nazanin"/>
          <w:sz w:val="28"/>
          <w:szCs w:val="28"/>
          <w:rtl/>
          <w:lang w:bidi="fa-IR"/>
        </w:rPr>
      </w:pPr>
      <w:r w:rsidRPr="0068154E">
        <w:rPr>
          <w:rFonts w:cs="Far.Nazanin" w:hint="cs"/>
          <w:sz w:val="28"/>
          <w:szCs w:val="28"/>
          <w:rtl/>
          <w:lang w:bidi="fa-IR"/>
        </w:rPr>
        <w:t>در این آزمایش، جریان بی باری برابر با صفر و مقدار دور آرمیچر را 3000 دور بر دقیقه فیکس می کنیم.</w:t>
      </w:r>
    </w:p>
    <w:p w:rsidR="0068154E" w:rsidRDefault="0068154E" w:rsidP="0068154E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جدولی به صورت زیر تشکیل می دهیم و مقادیر اندازه گیری شده را یاد داشت می کنیم: </w:t>
      </w:r>
    </w:p>
    <w:p w:rsidR="0068154E" w:rsidRDefault="0068154E" w:rsidP="0068154E">
      <w:pPr>
        <w:bidi/>
        <w:rPr>
          <w:rFonts w:cs="Far.Nazanin" w:hint="cs"/>
          <w:sz w:val="28"/>
          <w:szCs w:val="28"/>
          <w:rtl/>
          <w:lang w:bidi="fa-IR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68154E" w:rsidTr="0068154E">
        <w:tc>
          <w:tcPr>
            <w:tcW w:w="1502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0.2</w:t>
            </w: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....</w:t>
            </w: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/>
                <w:sz w:val="28"/>
                <w:szCs w:val="2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Far.Nazanin"/>
                        <w:sz w:val="28"/>
                        <w:szCs w:val="28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Far.Nazanin"/>
                        <w:sz w:val="28"/>
                        <w:szCs w:val="28"/>
                        <w:lang w:bidi="fa-IR"/>
                      </w:rPr>
                      <m:t>f</m:t>
                    </m:r>
                  </m:sub>
                </m:sSub>
              </m:oMath>
            </m:oMathPara>
          </w:p>
        </w:tc>
      </w:tr>
      <w:tr w:rsidR="0068154E" w:rsidTr="0068154E">
        <w:tc>
          <w:tcPr>
            <w:tcW w:w="1502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03" w:type="dxa"/>
          </w:tcPr>
          <w:p w:rsidR="0068154E" w:rsidRPr="0068154E" w:rsidRDefault="0068154E" w:rsidP="0068154E">
            <w:pPr>
              <w:bidi/>
              <w:jc w:val="center"/>
              <w:rPr>
                <w:rFonts w:ascii="Calibri" w:eastAsia="Calibri" w:hAnsi="Calibri" w:cs="Far.Nazanin"/>
                <w:sz w:val="20"/>
                <w:szCs w:val="20"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A</m:t>
                  </m:r>
                </m:sub>
              </m:sSub>
            </m:oMath>
            <w:r>
              <w:rPr>
                <w:rFonts w:ascii="Calibri" w:eastAsia="Calibri" w:hAnsi="Calibri" w:cs="Far.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Calibri" w:eastAsia="Calibri" w:hAnsi="Calibri" w:cs="Far.Nazanin" w:hint="cs"/>
                <w:sz w:val="20"/>
                <w:szCs w:val="20"/>
                <w:rtl/>
                <w:lang w:bidi="fa-IR"/>
              </w:rPr>
              <w:t>مقادیر رفت</w:t>
            </w:r>
          </w:p>
        </w:tc>
      </w:tr>
      <w:tr w:rsidR="0068154E" w:rsidTr="0068154E">
        <w:tc>
          <w:tcPr>
            <w:tcW w:w="1502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03" w:type="dxa"/>
          </w:tcPr>
          <w:p w:rsidR="0068154E" w:rsidRDefault="0068154E" w:rsidP="0068154E">
            <w:pPr>
              <w:bidi/>
              <w:jc w:val="center"/>
              <w:rPr>
                <w:rFonts w:cs="Far.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503" w:type="dxa"/>
          </w:tcPr>
          <w:p w:rsidR="0068154E" w:rsidRPr="0068154E" w:rsidRDefault="0068154E" w:rsidP="0068154E">
            <w:pPr>
              <w:bidi/>
              <w:jc w:val="center"/>
              <w:rPr>
                <w:rFonts w:cs="Far.Nazanin" w:hint="cs"/>
                <w:sz w:val="20"/>
                <w:szCs w:val="20"/>
                <w:rtl/>
                <w:lang w:bidi="fa-IR"/>
              </w:rPr>
            </w:pPr>
            <m:oMath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A</m:t>
                  </m:r>
                </m:sub>
              </m:sSub>
            </m:oMath>
            <w:r>
              <w:rPr>
                <w:rFonts w:eastAsiaTheme="minorEastAsia" w:cs="Far.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eastAsiaTheme="minorEastAsia" w:cs="Far.Nazanin" w:hint="cs"/>
                <w:sz w:val="20"/>
                <w:szCs w:val="20"/>
                <w:rtl/>
                <w:lang w:bidi="fa-IR"/>
              </w:rPr>
              <w:t>مقادیر برگشت</w:t>
            </w:r>
          </w:p>
        </w:tc>
      </w:tr>
    </w:tbl>
    <w:p w:rsidR="0068154E" w:rsidRDefault="0068154E" w:rsidP="0068154E">
      <w:pPr>
        <w:bidi/>
        <w:rPr>
          <w:rFonts w:cs="Far.Nazanin"/>
          <w:sz w:val="28"/>
          <w:szCs w:val="28"/>
          <w:rtl/>
          <w:lang w:bidi="fa-IR"/>
        </w:rPr>
      </w:pPr>
    </w:p>
    <w:p w:rsidR="0068154E" w:rsidRDefault="0068154E" w:rsidP="0068154E">
      <w:pPr>
        <w:pStyle w:val="ListParagraph"/>
        <w:numPr>
          <w:ilvl w:val="0"/>
          <w:numId w:val="4"/>
        </w:numPr>
        <w:bidi/>
        <w:rPr>
          <w:rFonts w:cs="Far.Nazanin"/>
          <w:b/>
          <w:bCs/>
          <w:sz w:val="28"/>
          <w:szCs w:val="28"/>
          <w:lang w:bidi="fa-IR"/>
        </w:rPr>
      </w:pPr>
      <w:r w:rsidRPr="0068154E">
        <w:rPr>
          <w:rFonts w:cs="Far.Nazanin" w:hint="cs"/>
          <w:b/>
          <w:bCs/>
          <w:sz w:val="28"/>
          <w:szCs w:val="28"/>
          <w:rtl/>
          <w:lang w:bidi="fa-IR"/>
        </w:rPr>
        <w:t xml:space="preserve">نکته کاربردی بسیار مهم: </w:t>
      </w:r>
    </w:p>
    <w:p w:rsidR="0068154E" w:rsidRDefault="0068154E" w:rsidP="0068154E">
      <w:pPr>
        <w:bidi/>
        <w:rPr>
          <w:rFonts w:cs="Far.Nazanin"/>
          <w:sz w:val="28"/>
          <w:szCs w:val="28"/>
          <w:rtl/>
          <w:lang w:bidi="fa-IR"/>
        </w:rPr>
      </w:pPr>
      <w:r w:rsidRPr="0068154E">
        <w:rPr>
          <w:rFonts w:cs="Far.Nazanin" w:hint="cs"/>
          <w:sz w:val="28"/>
          <w:szCs w:val="28"/>
          <w:rtl/>
          <w:lang w:bidi="fa-IR"/>
        </w:rPr>
        <w:t>اگر در منهنی رفت هستیم، مقادیر را فقط زیاد کنیم و به هیچ عنوان آن را کم نکنیم چون به دلیل تلفات هیسترزیس، به دستگاه اسیب می رسد. و اگر در منحنی برگشت هستیم، فقط مقادیر را کم کنیم و به هیچ عنوان زیاد نکنیم.</w:t>
      </w:r>
    </w:p>
    <w:p w:rsidR="00FB68E8" w:rsidRDefault="00FB68E8" w:rsidP="00FB68E8">
      <w:pPr>
        <w:bidi/>
        <w:rPr>
          <w:rFonts w:cs="Far.Nazanin"/>
          <w:sz w:val="28"/>
          <w:szCs w:val="28"/>
          <w:rtl/>
          <w:lang w:bidi="fa-IR"/>
        </w:rPr>
      </w:pPr>
    </w:p>
    <w:p w:rsidR="00FB68E8" w:rsidRDefault="00FB68E8" w:rsidP="00FB68E8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اگر مقادیر به دست آمده را رسم کنیم، نموداری به دست می آید که شیب نمودار متناسب است با </w:t>
      </w:r>
      <w:proofErr w:type="spellStart"/>
      <w:r>
        <w:rPr>
          <w:rFonts w:cs="Far.Nazanin"/>
          <w:sz w:val="28"/>
          <w:szCs w:val="28"/>
          <w:lang w:bidi="fa-IR"/>
        </w:rPr>
        <w:t>Rf+Radj</w:t>
      </w:r>
      <w:proofErr w:type="spellEnd"/>
    </w:p>
    <w:p w:rsidR="00FB68E8" w:rsidRDefault="00FB68E8" w:rsidP="00FB68E8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و اگر از مبدا محور خطی رسم کنیم، محل برخورد آن با نمودار بی باری را نقطه کار(ولتاژ ترمینال نامی) می نامیم.</w:t>
      </w:r>
    </w:p>
    <w:p w:rsidR="00FB68E8" w:rsidRDefault="00FB68E8" w:rsidP="00FB68E8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مینیمم شیب خط بار متناسب است با جایی که </w:t>
      </w:r>
      <w:proofErr w:type="spellStart"/>
      <w:r>
        <w:rPr>
          <w:rFonts w:cs="Far.Nazanin"/>
          <w:sz w:val="28"/>
          <w:szCs w:val="28"/>
          <w:lang w:bidi="fa-IR"/>
        </w:rPr>
        <w:t>Radj</w:t>
      </w:r>
      <w:proofErr w:type="spellEnd"/>
      <w:r>
        <w:rPr>
          <w:rFonts w:cs="Far.Nazanin"/>
          <w:sz w:val="28"/>
          <w:szCs w:val="28"/>
          <w:lang w:bidi="fa-IR"/>
        </w:rPr>
        <w:t>=0</w:t>
      </w:r>
      <w:r>
        <w:rPr>
          <w:rFonts w:cs="Far.Nazanin" w:hint="cs"/>
          <w:sz w:val="28"/>
          <w:szCs w:val="28"/>
          <w:rtl/>
          <w:lang w:bidi="fa-IR"/>
        </w:rPr>
        <w:t xml:space="preserve"> باشد.</w:t>
      </w:r>
    </w:p>
    <w:p w:rsidR="00FB68E8" w:rsidRPr="0068154E" w:rsidRDefault="00FB68E8" w:rsidP="00FB68E8">
      <w:pPr>
        <w:bidi/>
        <w:rPr>
          <w:rFonts w:cs="Far.Nazanin" w:hint="cs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منهنی میانگین: </w:t>
      </w:r>
      <m:oMath>
        <m:f>
          <m:fPr>
            <m:ctrlPr>
              <w:rPr>
                <w:rFonts w:ascii="Cambria Math" w:hAnsi="Cambria Math" w:cs="Far.Nazanin"/>
                <w:i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Far.Nazanin" w:hint="cs"/>
                <w:sz w:val="28"/>
                <w:szCs w:val="28"/>
                <w:rtl/>
                <w:lang w:bidi="fa-IR"/>
              </w:rPr>
              <m:t>رفت منهنی+برگشت منهنی</m:t>
            </m:r>
          </m:num>
          <m:den>
            <m:r>
              <w:rPr>
                <w:rFonts w:ascii="Cambria Math" w:hAnsi="Cambria Math" w:cs="Far.Nazanin"/>
                <w:sz w:val="28"/>
                <w:szCs w:val="28"/>
                <w:lang w:bidi="fa-IR"/>
              </w:rPr>
              <m:t>2</m:t>
            </m:r>
          </m:den>
        </m:f>
      </m:oMath>
      <w:bookmarkStart w:id="0" w:name="_GoBack"/>
      <w:bookmarkEnd w:id="0"/>
    </w:p>
    <w:sectPr w:rsidR="00FB68E8" w:rsidRPr="0068154E" w:rsidSect="006071C2">
      <w:footerReference w:type="default" r:id="rId8"/>
      <w:headerReference w:type="first" r:id="rId9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755" w:rsidRDefault="00E93755" w:rsidP="006071C2">
      <w:pPr>
        <w:spacing w:after="0" w:line="240" w:lineRule="auto"/>
      </w:pPr>
      <w:r>
        <w:separator/>
      </w:r>
    </w:p>
  </w:endnote>
  <w:endnote w:type="continuationSeparator" w:id="0">
    <w:p w:rsidR="00E93755" w:rsidRDefault="00E93755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8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755" w:rsidRDefault="00E93755" w:rsidP="006071C2">
      <w:pPr>
        <w:spacing w:after="0" w:line="240" w:lineRule="auto"/>
      </w:pPr>
      <w:r>
        <w:separator/>
      </w:r>
    </w:p>
  </w:footnote>
  <w:footnote w:type="continuationSeparator" w:id="0">
    <w:p w:rsidR="00E93755" w:rsidRDefault="00E93755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91FFE"/>
    <w:multiLevelType w:val="hybridMultilevel"/>
    <w:tmpl w:val="4F46A458"/>
    <w:lvl w:ilvl="0" w:tplc="4F5A8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05295"/>
    <w:multiLevelType w:val="hybridMultilevel"/>
    <w:tmpl w:val="214CCB76"/>
    <w:lvl w:ilvl="0" w:tplc="F0BE3FF6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C6216"/>
    <w:multiLevelType w:val="hybridMultilevel"/>
    <w:tmpl w:val="0C22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004F6"/>
    <w:multiLevelType w:val="hybridMultilevel"/>
    <w:tmpl w:val="2FA2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171E84"/>
    <w:rsid w:val="00182B8D"/>
    <w:rsid w:val="001D6317"/>
    <w:rsid w:val="001F41A2"/>
    <w:rsid w:val="00217835"/>
    <w:rsid w:val="002C2A63"/>
    <w:rsid w:val="003437F6"/>
    <w:rsid w:val="0044313B"/>
    <w:rsid w:val="00510AF1"/>
    <w:rsid w:val="005F1A35"/>
    <w:rsid w:val="006071C2"/>
    <w:rsid w:val="0068154E"/>
    <w:rsid w:val="00864D68"/>
    <w:rsid w:val="008D11E0"/>
    <w:rsid w:val="008D69AA"/>
    <w:rsid w:val="00984690"/>
    <w:rsid w:val="009E4D2A"/>
    <w:rsid w:val="00A0734B"/>
    <w:rsid w:val="00BC3DD5"/>
    <w:rsid w:val="00BE7C1E"/>
    <w:rsid w:val="00C0065C"/>
    <w:rsid w:val="00C9277B"/>
    <w:rsid w:val="00D14DFE"/>
    <w:rsid w:val="00D71C45"/>
    <w:rsid w:val="00E20283"/>
    <w:rsid w:val="00E425F3"/>
    <w:rsid w:val="00E93755"/>
    <w:rsid w:val="00F60F2D"/>
    <w:rsid w:val="00FA545C"/>
    <w:rsid w:val="00FB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6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B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74"/>
    <w:rsid w:val="00416431"/>
    <w:rsid w:val="00C95574"/>
    <w:rsid w:val="00D6136A"/>
    <w:rsid w:val="00EE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5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8</cp:revision>
  <cp:lastPrinted>2021-05-09T04:30:00Z</cp:lastPrinted>
  <dcterms:created xsi:type="dcterms:W3CDTF">2020-11-05T08:33:00Z</dcterms:created>
  <dcterms:modified xsi:type="dcterms:W3CDTF">2021-05-09T04:46:00Z</dcterms:modified>
</cp:coreProperties>
</file>