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935" w:rsidRPr="006F1273" w:rsidRDefault="00F06133" w:rsidP="00F06133">
      <w:pPr>
        <w:pStyle w:val="Heading1"/>
        <w:rPr>
          <w:color w:val="auto"/>
        </w:rPr>
      </w:pPr>
      <w:r w:rsidRPr="006F1273">
        <w:rPr>
          <w:color w:val="auto"/>
        </w:rPr>
        <w:t>Heuristic Analysis</w:t>
      </w:r>
    </w:p>
    <w:p w:rsidR="008B5A1D" w:rsidRPr="00E05C91" w:rsidRDefault="000B3BF2" w:rsidP="008B5A1D">
      <w:r>
        <w:t>Three custom score functions are considered in this analysis. In the so-called improved scoring</w:t>
      </w:r>
      <w:r w:rsidR="00D3360C">
        <w:t xml:space="preserve"> </w:t>
      </w:r>
      <w:r>
        <w:t>the opponent’s number of available moves</w:t>
      </w:r>
      <w:r w:rsidR="00A85A69">
        <w:t xml:space="preserve">, shown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E05C91">
        <w:rPr>
          <w:rFonts w:eastAsiaTheme="minorEastAsia"/>
        </w:rPr>
        <w:t xml:space="preserve"> </w:t>
      </w:r>
      <w:r w:rsidR="00A85A69">
        <w:t>here,</w:t>
      </w:r>
      <w:r>
        <w:t xml:space="preserve"> is subtracted from the player’s available moves</w:t>
      </w:r>
      <w:r w:rsidR="00A85A69">
        <w:t xml:space="preserve">, shown </w:t>
      </w:r>
      <w:proofErr w:type="gramStart"/>
      <w:r w:rsidR="00A85A69">
        <w:t xml:space="preserve">as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8B5A1D">
        <w:t>:</w:t>
      </w:r>
      <w:r w:rsidR="008B5A1D" w:rsidRPr="008B5A1D">
        <w:t xml:space="preserve"> </w:t>
      </w:r>
    </w:p>
    <w:p w:rsidR="008B5A1D" w:rsidRPr="00E05C91" w:rsidRDefault="008B5A1D" w:rsidP="008B5A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A85A69" w:rsidRDefault="008B5A1D" w:rsidP="008B5A1D">
      <w:r>
        <w:t>All</w:t>
      </w:r>
      <w:r w:rsidR="000B3BF2">
        <w:t xml:space="preserve"> score functions considered </w:t>
      </w:r>
      <w:r>
        <w:t>in this analysis</w:t>
      </w:r>
      <w:r w:rsidR="000B3BF2">
        <w:t xml:space="preserve"> are slightly </w:t>
      </w:r>
      <w:r w:rsidR="00EF0ABD">
        <w:t xml:space="preserve">modified version of </w:t>
      </w:r>
      <w:r>
        <w:t xml:space="preserve">this </w:t>
      </w:r>
      <w:r w:rsidR="00EF0ABD">
        <w:t xml:space="preserve">improved score, </w:t>
      </w:r>
      <w:r>
        <w:t>which will be referred to</w:t>
      </w:r>
      <w:r>
        <w:t xml:space="preserve"> as IS11</w:t>
      </w:r>
      <w:r w:rsidR="00EF0ABD">
        <w:t>.</w:t>
      </w:r>
      <w:r>
        <w:t xml:space="preserve"> The first two are linear functions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>, while the third one is non-linear but monotonous.</w:t>
      </w:r>
      <w:r w:rsidR="000B3BF2">
        <w:t xml:space="preserve"> </w:t>
      </w:r>
      <w:r>
        <w:t xml:space="preserve">Below the score functions and the </w:t>
      </w:r>
      <w:r>
        <w:t>tournament results</w:t>
      </w:r>
      <w:r>
        <w:t xml:space="preserve"> are briefly introduced.</w:t>
      </w:r>
      <w:r w:rsidR="00096D46">
        <w:t xml:space="preserve"> </w:t>
      </w:r>
    </w:p>
    <w:p w:rsidR="00EF0ABD" w:rsidRPr="006F1273" w:rsidRDefault="00EF0ABD" w:rsidP="00EF0ABD">
      <w:pPr>
        <w:pStyle w:val="Heading2"/>
        <w:rPr>
          <w:color w:val="auto"/>
          <w:sz w:val="28"/>
          <w:szCs w:val="24"/>
        </w:rPr>
      </w:pPr>
      <w:proofErr w:type="spellStart"/>
      <w:r w:rsidRPr="006F1273">
        <w:rPr>
          <w:color w:val="auto"/>
          <w:sz w:val="28"/>
          <w:szCs w:val="24"/>
        </w:rPr>
        <w:t>custom_score</w:t>
      </w:r>
      <w:proofErr w:type="spellEnd"/>
    </w:p>
    <w:p w:rsidR="00E05C91" w:rsidRPr="00E05C91" w:rsidRDefault="00E05C91" w:rsidP="00170BA5">
      <w:r>
        <w:t>This custom score</w:t>
      </w:r>
      <w:r w:rsidR="00170BA5">
        <w:t xml:space="preserve"> </w:t>
      </w:r>
      <w:r>
        <w:t>is like improved score</w:t>
      </w:r>
      <w:r w:rsidR="00170BA5">
        <w:t xml:space="preserve"> (IS11)</w:t>
      </w:r>
      <w:r>
        <w:t xml:space="preserve"> except that the negative term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is multiplied by a factor of 2.</w:t>
      </w:r>
      <w:r w:rsidR="00170BA5">
        <w:t xml:space="preserve"> We show it with IS12 to simply represent multiply factor of 1 and 2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170BA5">
        <w:t xml:space="preserve"> </w:t>
      </w:r>
      <w:proofErr w:type="gramStart"/>
      <w:r w:rsidR="00170BA5"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170BA5">
        <w:t>.</w:t>
      </w:r>
    </w:p>
    <w:p w:rsidR="00A85A69" w:rsidRPr="00E05C91" w:rsidRDefault="00A85A69" w:rsidP="00A85A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E05C91" w:rsidRPr="006F1273" w:rsidRDefault="00E05C91" w:rsidP="00E05C91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custom_score</w:t>
      </w:r>
      <w:r w:rsidR="002105FD" w:rsidRPr="006F1273">
        <w:rPr>
          <w:color w:val="auto"/>
          <w:sz w:val="28"/>
          <w:szCs w:val="24"/>
        </w:rPr>
        <w:t>_</w:t>
      </w:r>
      <w:r w:rsidRPr="006F1273">
        <w:rPr>
          <w:color w:val="auto"/>
          <w:sz w:val="28"/>
          <w:szCs w:val="24"/>
        </w:rPr>
        <w:t>2</w:t>
      </w:r>
    </w:p>
    <w:p w:rsidR="00170BA5" w:rsidRPr="00E05C91" w:rsidRDefault="00287C12" w:rsidP="008B5A1D">
      <w:r>
        <w:t>Similar to improved scores IS11 and IS12, but</w:t>
      </w:r>
      <w:r w:rsidR="008B5A1D">
        <w:t xml:space="preserve"> here</w:t>
      </w:r>
      <w:r w:rsidR="00170BA5">
        <w:t xml:space="preserve"> </w:t>
      </w:r>
      <w:r>
        <w:t xml:space="preserve">player score factor is 2. </w:t>
      </w:r>
    </w:p>
    <w:p w:rsidR="00170BA5" w:rsidRDefault="00170BA5" w:rsidP="00287C12">
      <m:oMathPara>
        <m:oMath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 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</m:oMath>
      </m:oMathPara>
    </w:p>
    <w:p w:rsidR="00E05C91" w:rsidRPr="006F1273" w:rsidRDefault="00E05C91" w:rsidP="00E05C91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custom_score</w:t>
      </w:r>
      <w:r w:rsidR="002105FD" w:rsidRPr="006F1273">
        <w:rPr>
          <w:color w:val="auto"/>
          <w:sz w:val="28"/>
          <w:szCs w:val="24"/>
        </w:rPr>
        <w:t>_</w:t>
      </w:r>
      <w:r w:rsidRPr="006F1273">
        <w:rPr>
          <w:color w:val="auto"/>
          <w:sz w:val="28"/>
          <w:szCs w:val="24"/>
        </w:rPr>
        <w:t>3</w:t>
      </w:r>
    </w:p>
    <w:p w:rsidR="00287C12" w:rsidRPr="00E05C91" w:rsidRDefault="002105FD" w:rsidP="005E31B6">
      <w:r>
        <w:t xml:space="preserve">One other approach for scoring used </w:t>
      </w:r>
      <w:r w:rsidR="008B5A1D">
        <w:t>here</w:t>
      </w:r>
      <w:r>
        <w:t xml:space="preserve"> is to normalize the score defined in</w:t>
      </w:r>
      <w:r w:rsidR="008B5A1D">
        <w:t xml:space="preserve"> improved score,</w:t>
      </w:r>
      <w:r>
        <w:t xml:space="preserve"> IS11</w:t>
      </w:r>
      <w:r w:rsidR="008B5A1D">
        <w:t>,</w:t>
      </w:r>
      <w:r>
        <w:t xml:space="preserve"> by the sum of the available move</w:t>
      </w:r>
      <w:r w:rsidR="008B5A1D"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. </w:t>
      </w:r>
    </w:p>
    <w:p w:rsidR="00287C12" w:rsidRPr="005E31B6" w:rsidRDefault="00287C12" w:rsidP="008B5A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score=(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:rsidR="005E31B6" w:rsidRPr="00E05C91" w:rsidRDefault="005E31B6" w:rsidP="005E31B6">
      <w:r>
        <w:t>In s</w:t>
      </w:r>
      <w:r>
        <w:t xml:space="preserve">ome way this is similar to IS12 as it can distinguish between two cases where the difference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eastAsiaTheme="minorEastAsia"/>
        </w:rPr>
        <w:t xml:space="preserve"> is the same but different values of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t xml:space="preserve"> will result in different score. For example consider the case 1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=8</m:t>
        </m:r>
      </m:oMath>
      <w:r>
        <w:t xml:space="preserve"> </w:t>
      </w:r>
      <w:proofErr w:type="gramStart"/>
      <w:r>
        <w:t xml:space="preserve">and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=7</m:t>
        </m:r>
      </m:oMath>
      <w:r>
        <w:rPr>
          <w:rFonts w:eastAsiaTheme="minorEastAsia"/>
        </w:rPr>
        <w:t xml:space="preserve">, and case 2 in which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=4</m:t>
        </m:r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=3</m:t>
        </m:r>
      </m:oMath>
      <w:r>
        <w:t>.</w:t>
      </w:r>
    </w:p>
    <w:p w:rsidR="005E31B6" w:rsidRDefault="005E31B6" w:rsidP="005E31B6">
      <w:pPr>
        <w:rPr>
          <w:rFonts w:eastAsiaTheme="minorEastAsia"/>
        </w:rPr>
      </w:pPr>
      <w:r>
        <w:t xml:space="preserve">Improved score for both case 1 and case 2 </w:t>
      </w:r>
      <w:proofErr w:type="gramStart"/>
      <w:r>
        <w:t xml:space="preserve">is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score</m:t>
            </m:r>
          </m:e>
          <m:sub>
            <m:r>
              <w:rPr>
                <w:rFonts w:ascii="Cambria Math" w:hAnsi="Cambria Math"/>
              </w:rPr>
              <m:t>IS11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rFonts w:eastAsiaTheme="minorEastAsia"/>
        </w:rPr>
        <w:t>. The function custom_score</w:t>
      </w:r>
      <w:r w:rsidR="00180B7C">
        <w:rPr>
          <w:rFonts w:eastAsiaTheme="minorEastAsia"/>
        </w:rPr>
        <w:t>_1</w:t>
      </w:r>
      <w:r>
        <w:rPr>
          <w:rFonts w:eastAsiaTheme="minorEastAsia"/>
        </w:rPr>
        <w:t xml:space="preserve"> assigns different values to these two cases:</w:t>
      </w:r>
    </w:p>
    <w:p w:rsidR="005E31B6" w:rsidRPr="005E31B6" w:rsidRDefault="005E31B6" w:rsidP="005E31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1: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=8-14= -6</m:t>
          </m:r>
        </m:oMath>
      </m:oMathPara>
    </w:p>
    <w:p w:rsidR="005E31B6" w:rsidRPr="00E05C91" w:rsidRDefault="005E31B6" w:rsidP="005E31B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2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score=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=4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6</m:t>
          </m:r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</w:rPr>
            <m:t>2</m:t>
          </m:r>
        </m:oMath>
      </m:oMathPara>
    </w:p>
    <w:p w:rsidR="005E31B6" w:rsidRDefault="00180B7C" w:rsidP="005E31B6">
      <w:pPr>
        <w:rPr>
          <w:rFonts w:eastAsiaTheme="minorEastAsia"/>
        </w:rPr>
      </w:pPr>
      <w:r>
        <w:rPr>
          <w:rFonts w:eastAsiaTheme="minorEastAsia"/>
        </w:rPr>
        <w:t>The function custom_score_2 also assigns different values to these two cases:</w:t>
      </w:r>
    </w:p>
    <w:p w:rsidR="00180B7C" w:rsidRPr="005E31B6" w:rsidRDefault="00180B7C" w:rsidP="00180B7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1:</m:t>
          </m:r>
          <m:r>
            <w:rPr>
              <w:rFonts w:ascii="Cambria Math" w:hAnsi="Cambria Math"/>
            </w:rPr>
            <m:t xml:space="preserve"> score</m:t>
          </m:r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)=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8-</m:t>
          </m:r>
          <m:r>
            <w:rPr>
              <w:rFonts w:ascii="Cambria Math" w:hAnsi="Cambria Math"/>
            </w:rPr>
            <m:t>7)/(8+7)</m:t>
          </m:r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1/15</m:t>
          </m:r>
        </m:oMath>
      </m:oMathPara>
    </w:p>
    <w:p w:rsidR="00180B7C" w:rsidRPr="00E05C91" w:rsidRDefault="00180B7C" w:rsidP="00180B7C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Case 2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 xml:space="preserve"> score</m:t>
          </m:r>
          <m:r>
            <w:rPr>
              <w:rFonts w:ascii="Cambria Math" w:hAnsi="Cambria Math"/>
            </w:rPr>
            <m:t>=(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)/(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)=(</m:t>
          </m:r>
          <m:r>
            <w:rPr>
              <w:rFonts w:ascii="Cambria Math" w:hAnsi="Cambria Math"/>
            </w:rPr>
            <m:t>4</m:t>
          </m:r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)/(</m:t>
          </m:r>
          <m:r>
            <w:rPr>
              <w:rFonts w:ascii="Cambria Math" w:hAnsi="Cambria Math"/>
            </w:rPr>
            <m:t>4+3</m:t>
          </m:r>
          <m:r>
            <w:rPr>
              <w:rFonts w:ascii="Cambria Math" w:hAnsi="Cambria Math"/>
            </w:rPr>
            <m:t>)= 1/</m:t>
          </m:r>
          <m:r>
            <w:rPr>
              <w:rFonts w:ascii="Cambria Math" w:hAnsi="Cambria Math"/>
            </w:rPr>
            <m:t>7</m:t>
          </m:r>
        </m:oMath>
      </m:oMathPara>
    </w:p>
    <w:p w:rsidR="00180B7C" w:rsidRPr="005E31B6" w:rsidRDefault="00180B7C" w:rsidP="00180B7C">
      <w:pPr>
        <w:rPr>
          <w:rFonts w:eastAsiaTheme="minorEastAsia"/>
        </w:rPr>
      </w:pPr>
      <w:r>
        <w:rPr>
          <w:rFonts w:eastAsiaTheme="minorEastAsia"/>
        </w:rPr>
        <w:lastRenderedPageBreak/>
        <w:t>As we see the scores assigned to these cases are different both in custom_score_1 and custom_score_2. This can be important because one move difference at the end of the game weighs more and this is properly presented with these functions.</w:t>
      </w:r>
    </w:p>
    <w:p w:rsidR="005E31B6" w:rsidRPr="00E05C91" w:rsidRDefault="005E31B6" w:rsidP="005E31B6"/>
    <w:p w:rsidR="005E31B6" w:rsidRPr="00A85A69" w:rsidRDefault="005E31B6" w:rsidP="005E31B6">
      <w:r>
        <w:t>.</w:t>
      </w:r>
    </w:p>
    <w:p w:rsidR="002105FD" w:rsidRPr="006F1273" w:rsidRDefault="002105FD" w:rsidP="002105FD">
      <w:pPr>
        <w:pStyle w:val="Heading2"/>
        <w:rPr>
          <w:color w:val="auto"/>
          <w:sz w:val="28"/>
          <w:szCs w:val="24"/>
        </w:rPr>
      </w:pPr>
      <w:r w:rsidRPr="006F1273">
        <w:rPr>
          <w:color w:val="auto"/>
          <w:sz w:val="28"/>
          <w:szCs w:val="24"/>
        </w:rPr>
        <w:t>Results</w:t>
      </w:r>
    </w:p>
    <w:p w:rsidR="00E05C91" w:rsidRDefault="002105FD" w:rsidP="00180B7C">
      <w:r>
        <w:t xml:space="preserve">The tournament table of results shows all these three score </w:t>
      </w:r>
      <w:r w:rsidR="00180B7C">
        <w:t>function</w:t>
      </w:r>
      <w:r>
        <w:t xml:space="preserve">s have </w:t>
      </w:r>
      <w:r w:rsidR="00180B7C">
        <w:t xml:space="preserve">slightly </w:t>
      </w:r>
      <w:r>
        <w:t>better performance than simple improved score</w:t>
      </w:r>
      <w:r w:rsidR="00180B7C">
        <w:t>, but t</w:t>
      </w:r>
      <w:r w:rsidR="006F1273">
        <w:t>he difference between the three methods</w:t>
      </w:r>
      <w:r w:rsidR="00180B7C">
        <w:t xml:space="preserve"> and even the apparent advantage to the simple improved score</w:t>
      </w:r>
      <w:r w:rsidR="006F1273">
        <w:t xml:space="preserve"> is rather small and it could simply be due to randomness in the games and the tournament!</w:t>
      </w:r>
      <w:r w:rsidR="00180B7C">
        <w:t xml:space="preserve"> I do not consider it conclusive</w:t>
      </w:r>
      <w:r w:rsidR="00F03490">
        <w:t>!</w:t>
      </w:r>
      <w:bookmarkStart w:id="0" w:name="_GoBack"/>
      <w:bookmarkEnd w:id="0"/>
    </w:p>
    <w:p w:rsidR="002105FD" w:rsidRPr="00A85A69" w:rsidRDefault="002105FD" w:rsidP="002105FD">
      <w:r>
        <w:rPr>
          <w:noProof/>
        </w:rPr>
        <w:drawing>
          <wp:inline distT="0" distB="0" distL="0" distR="0" wp14:anchorId="5CBD8290" wp14:editId="712151B4">
            <wp:extent cx="5729591" cy="2399572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7988" cy="24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5FD" w:rsidRPr="00A85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33"/>
    <w:rsid w:val="00027024"/>
    <w:rsid w:val="00096D46"/>
    <w:rsid w:val="000B3BF2"/>
    <w:rsid w:val="00170BA5"/>
    <w:rsid w:val="00180B7C"/>
    <w:rsid w:val="002105FD"/>
    <w:rsid w:val="00287C12"/>
    <w:rsid w:val="005E31B6"/>
    <w:rsid w:val="006F1273"/>
    <w:rsid w:val="00886935"/>
    <w:rsid w:val="008B5A1D"/>
    <w:rsid w:val="008F7E15"/>
    <w:rsid w:val="00A85A69"/>
    <w:rsid w:val="00AA3787"/>
    <w:rsid w:val="00D3360C"/>
    <w:rsid w:val="00E05C91"/>
    <w:rsid w:val="00E92EC5"/>
    <w:rsid w:val="00EF0ABD"/>
    <w:rsid w:val="00F03490"/>
    <w:rsid w:val="00F06133"/>
    <w:rsid w:val="00FC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2F457-8F45-4786-B864-593CD661F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3787"/>
    <w:rPr>
      <w:rFonts w:asciiTheme="minorBidi" w:hAnsiTheme="min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7024"/>
    <w:pPr>
      <w:keepNext/>
      <w:keepLines/>
      <w:spacing w:before="120" w:after="12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024"/>
    <w:pPr>
      <w:keepNext/>
      <w:keepLines/>
      <w:spacing w:before="40" w:after="120" w:line="240" w:lineRule="auto"/>
      <w:outlineLvl w:val="1"/>
    </w:pPr>
    <w:rPr>
      <w:rFonts w:eastAsiaTheme="majorEastAsia" w:cstheme="majorBidi"/>
      <w:b/>
      <w:i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024"/>
    <w:pPr>
      <w:keepNext/>
      <w:keepLines/>
      <w:spacing w:before="60" w:after="40"/>
      <w:outlineLvl w:val="2"/>
    </w:pPr>
    <w:rPr>
      <w:rFonts w:eastAsiaTheme="majorEastAsia" w:cstheme="majorBidi"/>
      <w:b/>
      <w:color w:val="C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024"/>
    <w:rPr>
      <w:rFonts w:asciiTheme="minorBidi" w:eastAsiaTheme="majorEastAsia" w:hAnsiTheme="minorBid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7024"/>
    <w:rPr>
      <w:rFonts w:asciiTheme="minorBidi" w:eastAsiaTheme="majorEastAsia" w:hAnsiTheme="minorBidi" w:cstheme="majorBidi"/>
      <w:b/>
      <w:i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024"/>
    <w:rPr>
      <w:rFonts w:asciiTheme="minorBidi" w:eastAsiaTheme="majorEastAsia" w:hAnsiTheme="minorBidi" w:cstheme="majorBidi"/>
      <w:b/>
      <w:color w:val="C00000"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A85A6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7E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E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440</Words>
  <Characters>2155</Characters>
  <Application>Microsoft Office Word</Application>
  <DocSecurity>0</DocSecurity>
  <Lines>47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Reza</cp:lastModifiedBy>
  <cp:revision>3</cp:revision>
  <cp:lastPrinted>2018-03-05T23:00:00Z</cp:lastPrinted>
  <dcterms:created xsi:type="dcterms:W3CDTF">2018-03-05T19:14:00Z</dcterms:created>
  <dcterms:modified xsi:type="dcterms:W3CDTF">2018-03-07T02:06:00Z</dcterms:modified>
</cp:coreProperties>
</file>