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8F4FB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9"/>
                <w:rtl w:val="1"/>
                <w:szCs w:val="19"/>
                <w:bCs w:val="1"/>
              </w:rPr>
              <w:t>برگهٔ دانش‌آموز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۱: مخلوط‌های همگن و ناهمگن</w:t>
      </w:r>
    </w:p>
    <w:p>
      <w:pPr>
        <w:spacing w:after="60"/>
        <w:jc w:val="center"/>
        <w:bidi w:val="1"/>
      </w:pPr>
      <w:r>
        <w:rPr>
          <w:rFonts w:ascii="Vazirmatn" w:hAnsi="Vazirmatn" w:cs="Vazirmatn"/>
          <w:b w:val="0"/>
          <w:color w:val="8A7596"/>
          <w:sz w:val="16"/>
          <w:rtl w:val="1"/>
          <w:szCs w:val="16"/>
        </w:rPr>
        <w:t>برگرفته از فعالیت صفحهٔ ۳ کتاب علوم تجربی پایهٔ هشتم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مقایسهٔ مخلوط آب و خاک با مخلوط آب و نمک پس از هم زدن و تشخیص این‌که ذرات مواد تشکیل‌دهندهٔ مخلوط، به‌طور یکنواخت در هم پراکنده می‌شوند یا نه.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 w:val="0"/>
          <w:color w:val="A05A92"/>
          <w:sz w:val="17"/>
          <w:rtl w:val="1"/>
          <w:szCs w:val="17"/>
        </w:rPr>
        <w:t>پیش‌بینی کنید پس از هم زدن، محتویات کدام بشر شفاف و کدام کدر می‌شود؟ چرا؟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 شماره‌دار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۱۰۰ میلی‌لیتر در هر بشر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نمک خوراکی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خاک باغچه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۱.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دو بشر را انتخاب کنید و با چسب کاغذی برای آن‌ها شمارهٔ ۱ و ۲ بگذارید.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۲.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هر دو بشر به مقدار یکسان (۱۰۰ میلی‌لیتر) آب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۳.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بشر شمارهٔ ۱ یک قاشقک خاک باغچه و در بشر شمارهٔ ۲ یک قاشقک نمک خوراکی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۴.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محتویات هر دو بشر را با همزن شیشه‌ای به‌آرامی و کاملاً به هم بزنید.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۵.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چند لحظه صبر کنید و سپس رنگ و شفافیت محتویات دو بشر را با هم مقایسه کنید.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۶.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مشاهدات خود را در جدول ثبت مشاهدات یادداشت کنید.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 (رنگ و شفافیت)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مخلوط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۱ — آب و خاک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۲ — آب و نمک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ذرات نمک را در مخلوط آب و نمک نمی‌بینیم؟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اگر مخلوط آب و خاک چند ساعت بیاساید، چه تغییری می‌کند؟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</w:tr>
    </w:tbl>
    <w:p>
      <w:pPr>
        <w:spacing w:before="100"/>
        <w:jc w:val="right"/>
        <w:bidi w:val="1"/>
        <w:shd w:val="clear" w:fill="FFF8E8"/>
      </w:pPr>
      <w:r>
        <w:rPr>
          <w:rFonts w:ascii="Vazirmatn" w:hAnsi="Vazirmatn" w:cs="Vazirmatn"/>
          <w:b/>
          <w:color w:val="9A6B12"/>
          <w:sz w:val="18"/>
          <w:rtl w:val="1"/>
          <w:szCs w:val="18"/>
          <w:bCs w:val="1"/>
        </w:rPr>
        <w:t xml:space="preserve">نکتهٔ ایمنی: </w:t>
      </w:r>
      <w:r>
        <w:rPr>
          <w:rFonts w:ascii="Vazirmatn" w:hAnsi="Vazirmatn" w:cs="Vazirmatn"/>
          <w:b w:val="0"/>
          <w:color w:val="9A6B12"/>
          <w:sz w:val="17"/>
          <w:rtl w:val="1"/>
          <w:szCs w:val="17"/>
        </w:rPr>
        <w:t>مواد آزمایشگاهی را نچشید و با چشمان خود به آن‌ها نزدیک نکنید؛ پس از پایان آزمایش، دست‌های خود را با آب و صابون بشویید.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