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Can / Tube End Forming — Engineering &amp; RFQ Master v1.0</w:t>
      </w:r>
    </w:p>
    <w:p>
      <w:pPr>
        <w:jc w:val="center"/>
      </w:pPr>
      <w:r>
        <w:rPr>
          <w:i/>
          <w:sz w:val="18"/>
        </w:rPr>
        <w:t>Canonical Source • PRJ-CAN-01 • Effective 23 Aug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Source 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Can_Forming_Engineering_Master_v1.0_2026-08-23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PRJ-CAN-01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CANONICAL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Effective 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2026-08-23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Authority scope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Stable application scope and minimum RFQ content for supplier comparison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Supersession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Superseded only by a later explicitly dated/versioned canonical source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Source basis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NEXUS Master Context v1.2 stable Can/Tube End Forming requirements</w:t>
            </w:r>
          </w:p>
        </w:tc>
      </w:tr>
    </w:tbl>
    <w:p>
      <w:pPr>
        <w:pStyle w:val="Heading1"/>
      </w:pPr>
      <w:r>
        <w:t>Confirmed / Governing Requirements</w:t>
      </w:r>
    </w:p>
    <w:p>
      <w:pPr>
        <w:pStyle w:val="ListBullet"/>
        <w:spacing w:after="40"/>
      </w:pPr>
      <w:r>
        <w:t>Application: cylindrical metal can/tube approximately Ø52–99 mm.</w:t>
      </w:r>
    </w:p>
    <w:p>
      <w:pPr>
        <w:pStyle w:val="ListBullet"/>
        <w:spacing w:after="40"/>
      </w:pPr>
      <w:r>
        <w:t>Operations include necking, flanging and beading.</w:t>
      </w:r>
    </w:p>
    <w:p>
      <w:pPr>
        <w:pStyle w:val="ListBullet"/>
        <w:spacing w:after="40"/>
      </w:pPr>
      <w:r>
        <w:t>Where relevant, request and compare two configurations: necking-only and full set.</w:t>
      </w:r>
    </w:p>
    <w:p>
      <w:pPr>
        <w:pStyle w:val="ListBullet"/>
        <w:spacing w:after="40"/>
      </w:pPr>
      <w:r>
        <w:t>RFQ minimum fields: model/range, CPM, power, dimensions/weight, utilities, photos/video, price, delivery, warranty, spares, installation, export references and long-term support.</w:t>
      </w:r>
    </w:p>
    <w:p>
      <w:pPr>
        <w:pStyle w:val="ListBullet"/>
        <w:spacing w:after="40"/>
      </w:pPr>
      <w:r>
        <w:t>Do not assume a quoted complete line matches a narrower machine-only requirement; compare explicit scope line by line.</w:t>
      </w:r>
    </w:p>
    <w:p>
      <w:pPr>
        <w:pStyle w:val="Heading1"/>
      </w:pPr>
      <w:r>
        <w:t>Unknown / Requires Fresh Verification</w:t>
      </w:r>
    </w:p>
    <w:p>
      <w:pPr>
        <w:pStyle w:val="ListBullet"/>
        <w:spacing w:after="40"/>
      </w:pPr>
      <w:r>
        <w:t>Final buyer-selected production rate and exact product geometry for each SKU.</w:t>
      </w:r>
    </w:p>
    <w:p>
      <w:pPr>
        <w:pStyle w:val="ListBullet"/>
        <w:spacing w:after="40"/>
      </w:pPr>
      <w:r>
        <w:t>Which operations are mandatory in the next purchase stage.</w:t>
      </w:r>
    </w:p>
    <w:p>
      <w:pPr>
        <w:pStyle w:val="ListBullet"/>
        <w:spacing w:after="40"/>
      </w:pPr>
      <w:r>
        <w:t>Final acceptance test, tooling/changeover and support requirements.</w:t>
      </w:r>
    </w:p>
    <w:p>
      <w:pPr>
        <w:pStyle w:val="Heading1"/>
      </w:pPr>
      <w:r>
        <w:t>Control Rules</w:t>
      </w:r>
    </w:p>
    <w:p>
      <w:pPr>
        <w:pStyle w:val="ListBullet"/>
        <w:spacing w:after="40"/>
      </w:pPr>
      <w:r>
        <w:t>Do not import values from another project without independent authorization.</w:t>
      </w:r>
    </w:p>
    <w:p>
      <w:pPr>
        <w:pStyle w:val="ListBullet"/>
        <w:spacing w:after="40"/>
      </w:pPr>
      <w:r>
        <w:t>Supplier proposal/marketing data is evidence, not authority, unless explicitly promoted after verification.</w:t>
      </w:r>
    </w:p>
    <w:p>
      <w:pPr>
        <w:pStyle w:val="ListBullet"/>
        <w:spacing w:after="40"/>
      </w:pPr>
      <w:r>
        <w:t>If a current buyer/engineering confirmation conflicts with this source, preserve both records and issue a new canonical version after resolving authority.</w:t>
      </w:r>
    </w:p>
    <w:p>
      <w:pPr>
        <w:pStyle w:val="ListBullet"/>
        <w:spacing w:after="40"/>
      </w:pPr>
      <w:r>
        <w:t>Dynamic supplier availability, pricing, lead time and commercial terms must be refreshed before action.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