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KCl / White MOP for SOP Feed — Acceptance Master v1.0</w:t>
      </w:r>
    </w:p>
    <w:p>
      <w:pPr>
        <w:jc w:val="center"/>
      </w:pPr>
      <w:r>
        <w:rPr>
          <w:i/>
          <w:sz w:val="18"/>
        </w:rPr>
        <w:t>Canonical Source • PRJ-KCL-01 • Effective 23 Aug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Source 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KCl_SOP_Acceptance_Master_v1.0_2026-08-23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PRJ-KCL-01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CANONICAL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Effective 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2026-08-23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Authority scope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Stable end-user product acceptance basis; commercial demand/terms remain dynamic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Supersession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Superseded only by a later explicitly dated/versioned canonical source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Source basis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NEXUS Master Context v1.2 stable KCl acceptance requirements</w:t>
            </w:r>
          </w:p>
        </w:tc>
      </w:tr>
    </w:tbl>
    <w:p>
      <w:pPr>
        <w:pStyle w:val="Heading1"/>
      </w:pPr>
      <w:r>
        <w:t>Confirmed / Governing Requirements</w:t>
      </w:r>
    </w:p>
    <w:p>
      <w:pPr>
        <w:pStyle w:val="ListBullet"/>
        <w:spacing w:after="40"/>
      </w:pPr>
      <w:r>
        <w:t>Target material: white potassium chloride / MOP used as SOP unit feed.</w:t>
      </w:r>
    </w:p>
    <w:p>
      <w:pPr>
        <w:pStyle w:val="ListBullet"/>
        <w:spacing w:after="40"/>
      </w:pPr>
      <w:r>
        <w:t>Moisture: max 0.5%.</w:t>
      </w:r>
    </w:p>
    <w:p>
      <w:pPr>
        <w:pStyle w:val="ListBullet"/>
        <w:spacing w:after="40"/>
      </w:pPr>
      <w:r>
        <w:t>Water-soluble potassium as K2O: min 61%.</w:t>
      </w:r>
    </w:p>
    <w:p>
      <w:pPr>
        <w:pStyle w:val="ListBullet"/>
        <w:spacing w:after="40"/>
      </w:pPr>
      <w:r>
        <w:t>NaCl: max 2%.</w:t>
      </w:r>
    </w:p>
    <w:p>
      <w:pPr>
        <w:pStyle w:val="ListBullet"/>
        <w:spacing w:after="40"/>
      </w:pPr>
      <w:r>
        <w:t>MgCl2: max 1%.</w:t>
      </w:r>
    </w:p>
    <w:p>
      <w:pPr>
        <w:pStyle w:val="ListBullet"/>
        <w:spacing w:after="40"/>
      </w:pPr>
      <w:r>
        <w:t>Granulometry: 75% at 0.1–0.4 mm; 1 mm max 0.5%; below 0.1 mm max 23.5%.</w:t>
      </w:r>
    </w:p>
    <w:p>
      <w:pPr>
        <w:pStyle w:val="ListBullet"/>
        <w:spacing w:after="40"/>
      </w:pPr>
      <w:r>
        <w:t>No black impurities visible to the naked eye.</w:t>
      </w:r>
    </w:p>
    <w:p>
      <w:pPr>
        <w:pStyle w:val="ListBullet"/>
        <w:spacing w:after="40"/>
      </w:pPr>
      <w:r>
        <w:t>Solubility: min 99.5%.</w:t>
      </w:r>
    </w:p>
    <w:p>
      <w:pPr>
        <w:pStyle w:val="ListBullet"/>
        <w:spacing w:after="40"/>
      </w:pPr>
      <w:r>
        <w:t>Reference preference recorded in prior supplied specification: MOP White Fine 62% K2O Grade A from Uralkali; alternatives may qualify if acceptance limits are met.</w:t>
      </w:r>
    </w:p>
    <w:p>
      <w:pPr>
        <w:pStyle w:val="Heading1"/>
      </w:pPr>
      <w:r>
        <w:t>Unknown / Requires Fresh Verification</w:t>
      </w:r>
    </w:p>
    <w:p>
      <w:pPr>
        <w:pStyle w:val="ListBullet"/>
        <w:spacing w:after="40"/>
      </w:pPr>
      <w:r>
        <w:t>Current purchase quantity / forecast and buying authority.</w:t>
      </w:r>
    </w:p>
    <w:p>
      <w:pPr>
        <w:pStyle w:val="ListBullet"/>
        <w:spacing w:after="40"/>
      </w:pPr>
      <w:r>
        <w:t>Current permit/legal requirements and permit owner.</w:t>
      </w:r>
    </w:p>
    <w:p>
      <w:pPr>
        <w:pStyle w:val="ListBullet"/>
        <w:spacing w:after="40"/>
      </w:pPr>
      <w:r>
        <w:t>Current destination, Incoterm, price target, payment route and sanctions/logistics feasibility.</w:t>
      </w:r>
    </w:p>
    <w:p>
      <w:pPr>
        <w:pStyle w:val="ListBullet"/>
        <w:spacing w:after="40"/>
      </w:pPr>
      <w:r>
        <w:t>Current supplier availability and export terms.</w:t>
      </w:r>
    </w:p>
    <w:p>
      <w:pPr>
        <w:pStyle w:val="Heading1"/>
      </w:pPr>
      <w:r>
        <w:t>Control Rules</w:t>
      </w:r>
    </w:p>
    <w:p>
      <w:pPr>
        <w:pStyle w:val="ListBullet"/>
        <w:spacing w:after="40"/>
      </w:pPr>
      <w:r>
        <w:t>Do not import values from another project without independent authorization.</w:t>
      </w:r>
    </w:p>
    <w:p>
      <w:pPr>
        <w:pStyle w:val="ListBullet"/>
        <w:spacing w:after="40"/>
      </w:pPr>
      <w:r>
        <w:t>Supplier proposal/marketing data is evidence, not authority, unless explicitly promoted after verification.</w:t>
      </w:r>
    </w:p>
    <w:p>
      <w:pPr>
        <w:pStyle w:val="ListBullet"/>
        <w:spacing w:after="40"/>
      </w:pPr>
      <w:r>
        <w:t>If a current buyer/engineering confirmation conflicts with this source, preserve both records and issue a new canonical version after resolving authority.</w:t>
      </w:r>
    </w:p>
    <w:p>
      <w:pPr>
        <w:pStyle w:val="ListBullet"/>
        <w:spacing w:after="40"/>
      </w:pPr>
      <w:r>
        <w:t>Dynamic supplier availability, pricing, lead time and commercial terms must be refreshed before action.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