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8"/>
        </w:rPr>
        <w:t>OCTG Heat Treatment Line — Engineering Master v1.1</w:t>
      </w:r>
    </w:p>
    <w:p>
      <w:pPr>
        <w:jc w:val="center"/>
      </w:pPr>
      <w:r>
        <w:rPr>
          <w:rFonts w:ascii="Arial" w:hAnsi="Arial"/>
          <w:i/>
          <w:sz w:val="18"/>
        </w:rPr>
        <w:t>Canonical Source • PRJ-HTL-01 • Effective 24 Aug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7"/>
              </w:rPr>
              <w:t>Source ID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PRJ-HTL-01-ENG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7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1.1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7"/>
              </w:rPr>
              <w:t>Status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CANONICAL_WITH_REVALIDATION_HOLD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7"/>
              </w:rPr>
              <w:t>Authority scope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Stable process/dimensional basis; throughput remains a controlled working value pending engineering revalidation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7"/>
              </w:rPr>
              <w:t>Supersedes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OCTG_Heat_Treatment_Master_v1.0_2026-08-23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7"/>
              </w:rPr>
              <w:t>Source basis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7"/>
              </w:rPr>
              <w:t>NEXUS historical engineering requirements + cross-chat reconciliation</w:t>
            </w:r>
          </w:p>
        </w:tc>
      </w:tr>
    </w:tbl>
    <w:p>
      <w:pPr>
        <w:pStyle w:val="Heading1"/>
      </w:pPr>
      <w:r>
        <w:t>Stable Engineering Basis</w:t>
      </w:r>
    </w:p>
    <w:p>
      <w:pPr>
        <w:pStyle w:val="ListBullet"/>
        <w:spacing w:after="20"/>
      </w:pPr>
      <w:r>
        <w:t>Application: API 5CT steel pipe/OCTG.</w:t>
      </w:r>
    </w:p>
    <w:p>
      <w:pPr>
        <w:pStyle w:val="ListBullet"/>
        <w:spacing w:after="20"/>
      </w:pPr>
      <w:r>
        <w:t>Approximate OD: 63.5–177.8 mm.</w:t>
      </w:r>
    </w:p>
    <w:p>
      <w:pPr>
        <w:pStyle w:val="ListBullet"/>
        <w:spacing w:after="20"/>
      </w:pPr>
      <w:r>
        <w:t>Wall thickness: 2–20 mm.</w:t>
      </w:r>
    </w:p>
    <w:p>
      <w:pPr>
        <w:pStyle w:val="ListBullet"/>
        <w:spacing w:after="20"/>
      </w:pPr>
      <w:r>
        <w:t>Length: 6–12 m.</w:t>
      </w:r>
    </w:p>
    <w:p>
      <w:pPr>
        <w:pStyle w:val="ListBullet"/>
        <w:spacing w:after="20"/>
      </w:pPr>
      <w:r>
        <w:t>Process: Quench + Normalize + Temper.</w:t>
      </w:r>
    </w:p>
    <w:p>
      <w:pPr>
        <w:pStyle w:val="ListBullet"/>
        <w:spacing w:after="20"/>
      </w:pPr>
      <w:r>
        <w:t>Quench/Normalize furnace: hydraulic walking beam, natural gas, max 960°C; pipe 850–950°C; soak &gt;5 min; uniformity ±10°C; inside/outside ΔT target ±5°C.</w:t>
      </w:r>
    </w:p>
    <w:p>
      <w:pPr>
        <w:pStyle w:val="ListBullet"/>
        <w:spacing w:after="20"/>
      </w:pPr>
      <w:r>
        <w:t>Tempering furnace: hydraulic walking beam; max 800°C; pipe 500–750°C; uniformity ±10°C.</w:t>
      </w:r>
    </w:p>
    <w:p>
      <w:pPr>
        <w:pStyle w:val="ListBullet"/>
        <w:spacing w:after="20"/>
      </w:pPr>
      <w:r>
        <w:t>Quench: water quench/internal cooling with pumps, heat exchanger and water treatment; line includes roller tables, walking beams, PLC and support/lab systems.</w:t>
      </w:r>
    </w:p>
    <w:p>
      <w:pPr>
        <w:pStyle w:val="Heading1"/>
      </w:pPr>
      <w:r>
        <w:t>Throughput Authority — Revalidation Hold</w:t>
      </w:r>
    </w:p>
    <w:p>
      <w:pPr>
        <w:pStyle w:val="ListBullet"/>
        <w:spacing w:after="20"/>
      </w:pPr>
      <w:r>
        <w:t>Current NEXUS working value is approximately 40 pipes/hour and must remain isolated from Hydrotester throughput (60 pipes/hour).</w:t>
      </w:r>
    </w:p>
    <w:p>
      <w:pPr>
        <w:pStyle w:val="ListBullet"/>
        <w:spacing w:after="20"/>
      </w:pPr>
      <w:r>
        <w:t>However, an older engineer-side message recorded 40–60 pipes/minute. This is materially inconsistent with the later 40 pipes/hour correction.</w:t>
      </w:r>
    </w:p>
    <w:p>
      <w:pPr>
        <w:pStyle w:val="ListBullet"/>
        <w:spacing w:after="20"/>
      </w:pPr>
      <w:r>
        <w:t>Operational rule: use ~40 pipes/hour only as CURRENT_WORKING_STATE for analysis and line balancing; before any new RFQ, final technical commitment or contract, revalidate throughput directly with buyer engineering and issue the next canonical revision.</w:t>
      </w:r>
    </w:p>
    <w:p>
      <w:pPr>
        <w:pStyle w:val="Heading1"/>
      </w:pPr>
      <w:r>
        <w:t>Other Open Items</w:t>
      </w:r>
    </w:p>
    <w:p>
      <w:pPr>
        <w:pStyle w:val="ListBullet"/>
        <w:spacing w:after="20"/>
      </w:pPr>
      <w:r>
        <w:t>Current project activation / management go-ahead.</w:t>
      </w:r>
    </w:p>
    <w:p>
      <w:pPr>
        <w:pStyle w:val="ListBullet"/>
        <w:spacing w:after="20"/>
      </w:pPr>
      <w:r>
        <w:t>Any engineering amendments after 21 Aug 2026.</w:t>
      </w:r>
    </w:p>
    <w:p>
      <w:pPr>
        <w:pStyle w:val="ListBullet"/>
        <w:spacing w:after="20"/>
      </w:pPr>
      <w:r>
        <w:t>Final utilities, layout, interface, quality/FAT and commissioning requirements.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