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8"/>
        </w:rPr>
        <w:t>OCTG Hydrostatic Tester — Engineering Master v1.1</w:t>
      </w:r>
    </w:p>
    <w:p>
      <w:pPr>
        <w:jc w:val="center"/>
      </w:pPr>
      <w:r>
        <w:rPr>
          <w:rFonts w:ascii="Arial" w:hAnsi="Arial"/>
          <w:i/>
          <w:sz w:val="18"/>
        </w:rPr>
        <w:t>Canonical Source • PRJ-HYD-01 • Effective 24 Aug 2026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D9EAF7"/>
          </w:tcPr>
          <w:p>
            <w:r/>
            <w:r>
              <w:rPr>
                <w:rFonts w:ascii="Arial" w:hAnsi="Arial"/>
                <w:b/>
                <w:sz w:val="17"/>
              </w:rPr>
              <w:t>Field</w:t>
            </w:r>
          </w:p>
        </w:tc>
        <w:tc>
          <w:tcPr>
            <w:tcW w:type="dxa" w:w="5184"/>
            <w:shd w:fill="D9EAF7"/>
          </w:tcPr>
          <w:p>
            <w:r/>
            <w:r>
              <w:rPr>
                <w:rFonts w:ascii="Arial" w:hAnsi="Arial"/>
                <w:b/>
                <w:sz w:val="17"/>
              </w:rPr>
              <w:t>Value</w:t>
            </w:r>
          </w:p>
        </w:tc>
      </w:tr>
      <w:tr>
        <w:tc>
          <w:tcPr>
            <w:tcW w:type="dxa" w:w="5184"/>
          </w:tcPr>
          <w:p>
            <w:r/>
            <w:r>
              <w:rPr>
                <w:rFonts w:ascii="Arial" w:hAnsi="Arial"/>
                <w:b/>
                <w:sz w:val="17"/>
              </w:rPr>
              <w:t>Source ID</w:t>
            </w:r>
          </w:p>
        </w:tc>
        <w:tc>
          <w:tcPr>
            <w:tcW w:type="dxa" w:w="5184"/>
          </w:tcPr>
          <w:p>
            <w:r/>
            <w:r>
              <w:rPr>
                <w:rFonts w:ascii="Arial" w:hAnsi="Arial"/>
                <w:b w:val="0"/>
                <w:sz w:val="17"/>
              </w:rPr>
              <w:t>PRJ-HYD-01-ENG</w:t>
            </w:r>
          </w:p>
        </w:tc>
      </w:tr>
      <w:tr>
        <w:tc>
          <w:tcPr>
            <w:tcW w:type="dxa" w:w="5184"/>
          </w:tcPr>
          <w:p>
            <w:r/>
            <w:r>
              <w:rPr>
                <w:rFonts w:ascii="Arial" w:hAnsi="Arial"/>
                <w:b/>
                <w:sz w:val="17"/>
              </w:rPr>
              <w:t>Version</w:t>
            </w:r>
          </w:p>
        </w:tc>
        <w:tc>
          <w:tcPr>
            <w:tcW w:type="dxa" w:w="5184"/>
          </w:tcPr>
          <w:p>
            <w:r/>
            <w:r>
              <w:rPr>
                <w:rFonts w:ascii="Arial" w:hAnsi="Arial"/>
                <w:b w:val="0"/>
                <w:sz w:val="17"/>
              </w:rPr>
              <w:t>1.1</w:t>
            </w:r>
          </w:p>
        </w:tc>
      </w:tr>
      <w:tr>
        <w:tc>
          <w:tcPr>
            <w:tcW w:type="dxa" w:w="5184"/>
          </w:tcPr>
          <w:p>
            <w:r/>
            <w:r>
              <w:rPr>
                <w:rFonts w:ascii="Arial" w:hAnsi="Arial"/>
                <w:b/>
                <w:sz w:val="17"/>
              </w:rPr>
              <w:t>Status</w:t>
            </w:r>
          </w:p>
        </w:tc>
        <w:tc>
          <w:tcPr>
            <w:tcW w:type="dxa" w:w="5184"/>
          </w:tcPr>
          <w:p>
            <w:r/>
            <w:r>
              <w:rPr>
                <w:rFonts w:ascii="Arial" w:hAnsi="Arial"/>
                <w:b w:val="0"/>
                <w:sz w:val="17"/>
              </w:rPr>
              <w:t>CANONICAL</w:t>
            </w:r>
          </w:p>
        </w:tc>
      </w:tr>
      <w:tr>
        <w:tc>
          <w:tcPr>
            <w:tcW w:type="dxa" w:w="5184"/>
          </w:tcPr>
          <w:p>
            <w:r/>
            <w:r>
              <w:rPr>
                <w:rFonts w:ascii="Arial" w:hAnsi="Arial"/>
                <w:b/>
                <w:sz w:val="17"/>
              </w:rPr>
              <w:t>Authority scope</w:t>
            </w:r>
          </w:p>
        </w:tc>
        <w:tc>
          <w:tcPr>
            <w:tcW w:type="dxa" w:w="5184"/>
          </w:tcPr>
          <w:p>
            <w:r/>
            <w:r>
              <w:rPr>
                <w:rFonts w:ascii="Arial" w:hAnsi="Arial"/>
                <w:b w:val="0"/>
                <w:sz w:val="17"/>
              </w:rPr>
              <w:t>Current buyer-side engineering basis for supplier qualification, RFQ, contract review and FAT planning</w:t>
            </w:r>
          </w:p>
        </w:tc>
      </w:tr>
      <w:tr>
        <w:tc>
          <w:tcPr>
            <w:tcW w:type="dxa" w:w="5184"/>
          </w:tcPr>
          <w:p>
            <w:r/>
            <w:r>
              <w:rPr>
                <w:rFonts w:ascii="Arial" w:hAnsi="Arial"/>
                <w:b/>
                <w:sz w:val="17"/>
              </w:rPr>
              <w:t>Supersedes</w:t>
            </w:r>
          </w:p>
        </w:tc>
        <w:tc>
          <w:tcPr>
            <w:tcW w:type="dxa" w:w="5184"/>
          </w:tcPr>
          <w:p>
            <w:r/>
            <w:r>
              <w:rPr>
                <w:rFonts w:ascii="Arial" w:hAnsi="Arial"/>
                <w:b w:val="0"/>
                <w:sz w:val="17"/>
              </w:rPr>
              <w:t>Hydrostatic_Tester_Engineering_Master_v1.0_2026-08-23</w:t>
            </w:r>
          </w:p>
        </w:tc>
      </w:tr>
      <w:tr>
        <w:tc>
          <w:tcPr>
            <w:tcW w:type="dxa" w:w="5184"/>
          </w:tcPr>
          <w:p>
            <w:r/>
            <w:r>
              <w:rPr>
                <w:rFonts w:ascii="Arial" w:hAnsi="Arial"/>
                <w:b/>
                <w:sz w:val="17"/>
              </w:rPr>
              <w:t>Controlling basis</w:t>
            </w:r>
          </w:p>
        </w:tc>
        <w:tc>
          <w:tcPr>
            <w:tcW w:type="dxa" w:w="5184"/>
          </w:tcPr>
          <w:p>
            <w:r/>
            <w:r>
              <w:rPr>
                <w:rFonts w:ascii="Arial" w:hAnsi="Arial"/>
                <w:b w:val="0"/>
                <w:sz w:val="17"/>
              </w:rPr>
              <w:t>GSY180/120 Final Technical Specification Rev.1.2 dated 22 Aug 2026 + later NEXUS reconciliation</w:t>
            </w:r>
          </w:p>
        </w:tc>
      </w:tr>
    </w:tbl>
    <w:p>
      <w:pPr>
        <w:pStyle w:val="Heading1"/>
      </w:pPr>
      <w:r>
        <w:t>Confirmed / Governing Requirements</w:t>
      </w:r>
    </w:p>
    <w:p>
      <w:pPr>
        <w:pStyle w:val="ListBullet"/>
        <w:spacing w:after="20"/>
      </w:pPr>
      <w:r>
        <w:t>Equipment: hydrostatic testing machine, nominal reference GSY180/120 or technically equivalent.</w:t>
      </w:r>
    </w:p>
    <w:p>
      <w:pPr>
        <w:pStyle w:val="ListBullet"/>
        <w:spacing w:after="20"/>
      </w:pPr>
      <w:r>
        <w:t>Buyer base OD: 89–180 mm.</w:t>
      </w:r>
    </w:p>
    <w:p>
      <w:pPr>
        <w:pStyle w:val="ListBullet"/>
        <w:spacing w:after="20"/>
      </w:pPr>
      <w:r>
        <w:t>Buyer base wall thickness: 6–20 mm.</w:t>
      </w:r>
    </w:p>
    <w:p>
      <w:pPr>
        <w:pStyle w:val="ListBullet"/>
        <w:spacing w:after="20"/>
      </w:pPr>
      <w:r>
        <w:t>Buyer base pipe length: 9–12 m. Earlier 6–12 m / 5–12 mm values are superseded for this Hydrotester package.</w:t>
      </w:r>
    </w:p>
    <w:p>
      <w:pPr>
        <w:pStyle w:val="ListBullet"/>
        <w:spacing w:after="20"/>
      </w:pPr>
      <w:r>
        <w:t>Maximum hydrostatic test pressure capability: 120 MPa (1,200 bar). Actual operating test pressure varies by geometry/duty; the vendor must submit a signed pressure-versus-OD/ID/WT/length/end-condition capability matrix.</w:t>
      </w:r>
    </w:p>
    <w:p>
      <w:pPr>
        <w:pStyle w:val="ListBullet"/>
        <w:spacing w:after="20"/>
      </w:pPr>
      <w:r>
        <w:t>Typical pressure hold time basis: 5–10 s.</w:t>
      </w:r>
    </w:p>
    <w:p>
      <w:pPr>
        <w:pStyle w:val="ListBullet"/>
        <w:spacing w:after="20"/>
      </w:pPr>
      <w:r>
        <w:t>Buyer production-capacity basis: 60 pipes/hour. FAT geometry, pressure and hold time used to prove this output must be contractually defined.</w:t>
      </w:r>
    </w:p>
    <w:p>
      <w:pPr>
        <w:pStyle w:val="ListBullet"/>
        <w:spacing w:after="20"/>
      </w:pPr>
      <w:r>
        <w:t>Known supplier reference for Ø168.3 mm: 50 pipes/hour at 120 MPa and 60 pipes/hour at 70 MPa; this is supplier evidence, not automatic acceptance of the 60 pipes/hour buyer basis at 120 MPa.</w:t>
      </w:r>
    </w:p>
    <w:p>
      <w:pPr>
        <w:pStyle w:val="ListBullet"/>
        <w:spacing w:after="20"/>
      </w:pPr>
      <w:r>
        <w:t>Pressure measurement/acceptance must be reduced to one unambiguous contractual pass/fail criterion with traceable calibration.</w:t>
      </w:r>
    </w:p>
    <w:p>
      <w:pPr>
        <w:pStyle w:val="ListBullet"/>
        <w:spacing w:after="20"/>
      </w:pPr>
      <w:r>
        <w:t>Qualification requires signed structural calculations/FEA for the worst contractual pressure and pipe-ID load envelope, including frame and test heads.</w:t>
      </w:r>
    </w:p>
    <w:p>
      <w:pPr>
        <w:pStyle w:val="ListBullet"/>
        <w:spacing w:after="20"/>
      </w:pPr>
      <w:r>
        <w:t>FAT/TPI/ITP, welding/NDE scope, sealing/end-condition capability, data recording/export, safety interlocks and no-substitution BOM controls must be explicitly closed before manufacturing release where applicable.</w:t>
      </w:r>
    </w:p>
    <w:p>
      <w:pPr>
        <w:pStyle w:val="Heading1"/>
      </w:pPr>
      <w:r>
        <w:t>Open / Hold Points</w:t>
      </w:r>
    </w:p>
    <w:p>
      <w:pPr>
        <w:pStyle w:val="ListBullet"/>
        <w:spacing w:after="20"/>
      </w:pPr>
      <w:r>
        <w:t>Final agreed OD × WT/ID × length × pressure × hold-time × guaranteed sustained output matrix.</w:t>
      </w:r>
    </w:p>
    <w:p>
      <w:pPr>
        <w:pStyle w:val="ListBullet"/>
        <w:spacing w:after="20"/>
      </w:pPr>
      <w:r>
        <w:t>Whether 60 pipes/hour is contractually achievable at each critical 120 MPa duty point; current Ø168.3 mm reference is only 50 pipes/hour at 120 MPa.</w:t>
      </w:r>
    </w:p>
    <w:p>
      <w:pPr>
        <w:pStyle w:val="ListBullet"/>
        <w:spacing w:after="20"/>
      </w:pPr>
      <w:r>
        <w:t>Final pressure accuracy/deviation/stability pass/fail rule.</w:t>
      </w:r>
    </w:p>
    <w:p>
      <w:pPr>
        <w:pStyle w:val="ListBullet"/>
        <w:spacing w:after="20"/>
      </w:pPr>
      <w:r>
        <w:t>End-condition exclusions for plain, upset, threaded and coupled pipe and any tooling/cycle penalties.</w:t>
      </w:r>
    </w:p>
    <w:p>
      <w:pPr>
        <w:pStyle w:val="ListBullet"/>
        <w:spacing w:after="20"/>
      </w:pPr>
      <w:r>
        <w:t>Final seal-life contractual basis and approved seal/packing vendor.</w:t>
      </w:r>
    </w:p>
    <w:p>
      <w:pPr>
        <w:pStyle w:val="ListBullet"/>
        <w:spacing w:after="20"/>
      </w:pPr>
      <w:r>
        <w:t>Final utilities, layout/interface, spare parts, training, installation, SAT and warranty terms.</w:t>
      </w:r>
    </w:p>
    <w:p>
      <w:pPr>
        <w:pStyle w:val="Heading1"/>
      </w:pPr>
      <w:r>
        <w:t>Supplier Evidence Status</w:t>
      </w:r>
    </w:p>
    <w:p>
      <w:pPr>
        <w:pStyle w:val="ListBullet"/>
        <w:spacing w:after="20"/>
      </w:pPr>
      <w:r>
        <w:t>Boyu standard public GSY180 variants around 70 MPa do not prove the required 120 MPa duty without documented custom capability.</w:t>
      </w:r>
    </w:p>
    <w:p>
      <w:pPr>
        <w:pStyle w:val="ListBullet"/>
        <w:spacing w:after="20"/>
      </w:pPr>
      <w:r>
        <w:t>GH Petro / HPG-180 and Marley proposals remain evidence/benchmarks until they close the signed capability matrix, throughput and acceptance hold points.</w:t>
      </w:r>
    </w:p>
    <w:p>
      <w:pPr>
        <w:pStyle w:val="ListBullet"/>
        <w:spacing w:after="20"/>
      </w:pPr>
      <w:r>
        <w:t>KARAT / Yaxing SYJ-I A-219 brochure is a high-value candidate because nominal geometry/pressure can reach OD 89–219 mm and up to 150 MPa, but brochure evidence does not establish cycle time or 60 pipes/hour.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