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NEXUS SOURCE REGISTRY v1.1</w:t>
      </w:r>
    </w:p>
    <w:p>
      <w:pPr>
        <w:jc w:val="center"/>
      </w:pPr>
      <w:r>
        <w:rPr>
          <w:i/>
          <w:sz w:val="18"/>
        </w:rPr>
        <w:t>Canonical Authority Index • Effective 24 Aug 2026</w:t>
      </w:r>
    </w:p>
    <w:p>
      <w:r>
        <w:t>Purpose: determine which source governs each stable domain and prevent stale authority, duplicate masters and cross-project contamination.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Source ID / Status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Canonical file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Authority scope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Change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NEXUS-MASTER-CONTEXT</w:t>
              <w:br/>
              <w:t>CANONICAL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NEXUS_Master_Context_v1.4_2026-08-24.docx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Project-wide operating rules, architecture, authority, integrity, automation and active-program anchors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Supersedes v1.3.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PRJ-HYD-01-ENG</w:t>
              <w:br/>
              <w:t>CANONICAL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Hydrostatic_Tester_Engineering_Master_v1.1_2026-08-24.docx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Hydrotester engineering, qualification, contract-review and FAT basis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Supersedes Hydro v1.0; aligned to GSY180/120 Rev.1.2 buyer basis.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PRJ-KCL-01-ACC</w:t>
              <w:br/>
              <w:t>CANONICAL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KCl_SOP_Acceptance_Master_v1.0_2026-08-23.docx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KCl/MOP SOP-feed acceptance specification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No change required.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PRJ-HTL-01-ENG</w:t>
              <w:br/>
              <w:t>CANONICAL + REVALIDATION HOLD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OCTG_Heat_Treatment_Master_v1.1_2026-08-24.docx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Stable heat-treatment process basis; throughput is controlled working state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Revalidate ~40/h before new RFQ/contract because historical 40–60/min evidence conflicts.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PRJ-CAN-01-ENG</w:t>
              <w:br/>
              <w:t>CANONICAL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Can_Forming_Engineering_Master_v1.0_2026-08-23.docx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Can/tube end-forming scope and RFQ requirements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No change required.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4"/>
              </w:rPr>
              <w:t>ATF-ASSET-REGISTRY</w:t>
              <w:br/>
              <w:t>PENDING PRODUCTION LOCK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ATF_Asset_Registry_CURRENT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Approved letterhead/logo/stamp/signature binary assets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4"/>
              </w:rPr>
              <w:t>Activate only after approved binary masters, hashes and usage roles are registered.</w:t>
            </w:r>
          </w:p>
        </w:tc>
      </w:tr>
    </w:tbl>
    <w:p>
      <w:pPr>
        <w:pStyle w:val="Heading1"/>
      </w:pPr>
      <w:r>
        <w:t>Authority / Conflict Rules</w:t>
      </w:r>
    </w:p>
    <w:p>
      <w:pPr>
        <w:pStyle w:val="ListBullet"/>
        <w:spacing w:after="20"/>
      </w:pPr>
      <w:r>
        <w:t>Filename recency alone never determines authority.</w:t>
      </w:r>
    </w:p>
    <w:p>
      <w:pPr>
        <w:pStyle w:val="ListBullet"/>
        <w:spacing w:after="20"/>
      </w:pPr>
      <w:r>
        <w:t>Compare source_id, version, effective date, status, authority scope, supersession and provenance.</w:t>
      </w:r>
    </w:p>
    <w:p>
      <w:pPr>
        <w:pStyle w:val="ListBullet"/>
        <w:spacing w:after="20"/>
      </w:pPr>
      <w:r>
        <w:t>Supplier proposals/quotations/catalogues are evidence only unless explicitly promoted.</w:t>
      </w:r>
    </w:p>
    <w:p>
      <w:pPr>
        <w:pStyle w:val="ListBullet"/>
        <w:spacing w:after="20"/>
      </w:pPr>
      <w:r>
        <w:t>Emails/WhatsApp are live evidence; refresh before action.</w:t>
      </w:r>
    </w:p>
    <w:p>
      <w:pPr>
        <w:pStyle w:val="ListBullet"/>
        <w:spacing w:after="20"/>
      </w:pPr>
      <w:r>
        <w:t>Old canonical versions remain historical evidence and must not remain active Project Sources after replacement.</w:t>
      </w:r>
    </w:p>
    <w:p>
      <w:pPr>
        <w:pStyle w:val="ListBullet"/>
        <w:spacing w:after="20"/>
      </w:pPr>
      <w:r>
        <w:t>When canonical-looking sources conflict, stop consequential use until authority is resolved and a new version is promoted.</w:t>
      </w:r>
    </w:p>
    <w:p>
      <w:pPr>
        <w:pStyle w:val="Heading1"/>
      </w:pPr>
      <w:r>
        <w:t>Recommended Active Project Source Set</w:t>
      </w:r>
    </w:p>
    <w:p>
      <w:pPr>
        <w:pStyle w:val="ListBullet"/>
        <w:spacing w:after="20"/>
      </w:pPr>
      <w:r>
        <w:t>NEXUS_Master_Context_v1.4_2026-08-24.docx</w:t>
      </w:r>
    </w:p>
    <w:p>
      <w:pPr>
        <w:pStyle w:val="ListBullet"/>
        <w:spacing w:after="20"/>
      </w:pPr>
      <w:r>
        <w:t>NEXUS_Source_Registry_v1.1_2026-08-24.docx</w:t>
      </w:r>
    </w:p>
    <w:p>
      <w:pPr>
        <w:pStyle w:val="ListBullet"/>
        <w:spacing w:after="20"/>
      </w:pPr>
      <w:r>
        <w:t>Hydrostatic_Tester_Engineering_Master_v1.1_2026-08-24.docx</w:t>
      </w:r>
    </w:p>
    <w:p>
      <w:pPr>
        <w:pStyle w:val="ListBullet"/>
        <w:spacing w:after="20"/>
      </w:pPr>
      <w:r>
        <w:t>KCl_SOP_Acceptance_Master_v1.0_2026-08-23.docx</w:t>
      </w:r>
    </w:p>
    <w:p>
      <w:pPr>
        <w:pStyle w:val="ListBullet"/>
        <w:spacing w:after="20"/>
      </w:pPr>
      <w:r>
        <w:t>OCTG_Heat_Treatment_Master_v1.1_2026-08-24.docx</w:t>
      </w:r>
    </w:p>
    <w:p>
      <w:pPr>
        <w:pStyle w:val="ListBullet"/>
        <w:spacing w:after="20"/>
      </w:pPr>
      <w:r>
        <w:t>Can_Forming_Engineering_Master_v1.0_2026-08-23.docx</w:t>
      </w:r>
    </w:p>
    <w:p>
      <w:pPr>
        <w:pStyle w:val="ListBullet"/>
        <w:spacing w:after="20"/>
      </w:pPr>
      <w:r>
        <w:t>ATF_Asset_Registry_CURRENT — only after production lock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