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6c625e22211b665fc1d012cd9e196c494ae75c"/>
    <w:p>
      <w:pPr>
        <w:pStyle w:val="Heading1"/>
      </w:pPr>
      <w:r>
        <w:t xml:space="preserve">PraxisFlow AI – Sicherheits- und Datenschutzkonzept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31.08.2026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Phase 1 – Entwurf</w:t>
      </w:r>
      <w:r>
        <w:br/>
      </w:r>
      <w:r>
        <w:rPr>
          <w:bCs/>
          <w:b/>
        </w:rPr>
        <w:t xml:space="preserve">Klassifikation:</w:t>
      </w:r>
      <w:r>
        <w:t xml:space="preserve"> </w:t>
      </w:r>
      <w:r>
        <w:t xml:space="preserve">VERTRAULICH – Nicht öffentlich zugänglich</w:t>
      </w:r>
    </w:p>
    <w:p>
      <w:r>
        <w:pict>
          <v:rect style="width:0;height:1.5pt" o:hralign="center" o:hrstd="t" o:hr="t"/>
        </w:pict>
      </w:r>
    </w:p>
    <w:bookmarkStart w:id="20" w:name="schutzgüter-und-schutzbedarf"/>
    <w:p>
      <w:pPr>
        <w:pStyle w:val="Heading2"/>
      </w:pPr>
      <w:r>
        <w:t xml:space="preserve">1. Schutzgüter und Schutzbedarf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Schutzobjekt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Vertraulichkeit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Verfügbarkeit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Patientendaten (Stamm, Kontakt)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Vorgänge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Freigabeentscheide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Audit-Protokoll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Systemkonfiguration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Zugangsdaten (Passwörter,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Synthetische Pilotdaten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edrohungsmodell-stride"/>
    <w:p>
      <w:pPr>
        <w:pStyle w:val="Heading2"/>
      </w:pPr>
      <w:r>
        <w:t xml:space="preserve">2. Bedrohungsmodell (STRIDE)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Bedrohung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Spoofing</w:t>
            </w:r>
            <w:r>
              <w:t xml:space="preserve"> </w:t>
            </w:r>
            <w:r>
              <w:t xml:space="preserve">(Identitätsfälschung)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Auth.js Sessions, bcrypt, MFA-Vorbereitung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</w:t>
            </w:r>
            <w:r>
              <w:t xml:space="preserve"> </w:t>
            </w:r>
            <w:r>
              <w:t xml:space="preserve">(Datenmanipulation)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Locking, unveränderliches Audit-Log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Repudiation</w:t>
            </w:r>
            <w:r>
              <w:t xml:space="preserve"> </w:t>
            </w:r>
            <w:r>
              <w:t xml:space="preserve">(Abstreitbarkeit)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Revisionsfähiges Audit-Log mit Zeitstempel +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</w:t>
            </w:r>
            <w:r>
              <w:t xml:space="preserve"> </w:t>
            </w:r>
            <w:r>
              <w:t xml:space="preserve">(Datenleck)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Mandantentrennung, Feldverschlüsselung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Limiting, Request-Validierung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Elevation of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Serverseitige RBAC, kein Frontend-Trust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sicherheitsarchitektur"/>
    <w:p>
      <w:pPr>
        <w:pStyle w:val="Heading2"/>
      </w:pPr>
      <w:r>
        <w:t xml:space="preserve">3. Sicherheitsarchitektur</w:t>
      </w:r>
    </w:p>
    <w:bookmarkStart w:id="22" w:name="authentifizierung"/>
    <w:p>
      <w:pPr>
        <w:pStyle w:val="Heading3"/>
      </w:pPr>
      <w:r>
        <w:t xml:space="preserve">3.1 Authentifizierung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Auth.js v5 (stable), serverseitig kontrollierte Sessions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Passwörter:</w:t>
      </w:r>
      <w:r>
        <w:t xml:space="preserve"> </w:t>
      </w:r>
      <w:r>
        <w:t xml:space="preserve">bcrypt, min. 12 Runden, min. 12 Zeichen, Komplexitätsanforderungen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Sessions:</w:t>
      </w:r>
      <w:r>
        <w:t xml:space="preserve"> </w:t>
      </w:r>
      <w:r>
        <w:t xml:space="preserve">Datenbankgestützte Sessions (nicht stateless JWT), sofortig widerrufbar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Cookies:</w:t>
      </w:r>
      <w:r>
        <w:t xml:space="preserve"> </w:t>
      </w:r>
      <w:r>
        <w:rPr>
          <w:rStyle w:val="VerbatimChar"/>
        </w:rPr>
        <w:t xml:space="preserve">HttpOnly; Secure; SameSite=Strict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Sitzungsdauer:</w:t>
      </w:r>
      <w:r>
        <w:t xml:space="preserve"> </w:t>
      </w:r>
      <w:r>
        <w:t xml:space="preserve">4 Stunden, Inaktivitäts-Timeout 30 Minuten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MFA:</w:t>
      </w:r>
      <w:r>
        <w:t xml:space="preserve"> </w:t>
      </w:r>
      <w:r>
        <w:t xml:space="preserve">TOTP vorbereitet (Auth.js Authenticator), vor Echtbetrieb aktivieren</w:t>
      </w:r>
    </w:p>
    <w:bookmarkEnd w:id="22"/>
    <w:bookmarkStart w:id="23" w:name="autorisierung-rbac"/>
    <w:p>
      <w:pPr>
        <w:pStyle w:val="Heading3"/>
      </w:pPr>
      <w:r>
        <w:t xml:space="preserve">3.2 Autorisierung (RBAC)</w:t>
      </w:r>
    </w:p>
    <w:p>
      <w:pPr>
        <w:numPr>
          <w:ilvl w:val="0"/>
          <w:numId w:val="1002"/>
        </w:numPr>
        <w:pStyle w:val="Compact"/>
      </w:pPr>
      <w:r>
        <w:t xml:space="preserve">Jede geschützte API-Route ruft</w:t>
      </w:r>
      <w:r>
        <w:t xml:space="preserve"> </w:t>
      </w:r>
      <w:r>
        <w:rPr>
          <w:rStyle w:val="VerbatimChar"/>
        </w:rPr>
        <w:t xml:space="preserve">requirePermission(session, permission)</w:t>
      </w:r>
      <w:r>
        <w:t xml:space="preserve"> </w:t>
      </w:r>
      <w:r>
        <w:t xml:space="preserve">auf</w:t>
      </w:r>
    </w:p>
    <w:p>
      <w:pPr>
        <w:numPr>
          <w:ilvl w:val="0"/>
          <w:numId w:val="1002"/>
        </w:numPr>
        <w:pStyle w:val="Compact"/>
      </w:pPr>
      <w:r>
        <w:t xml:space="preserve">Keine Entscheidung basiert nur auf Client-seitigen Daten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tenantId</w:t>
      </w:r>
      <w:r>
        <w:t xml:space="preserve"> </w:t>
      </w:r>
      <w:r>
        <w:t xml:space="preserve">wird immer aus der validierten Session entnommen, nie aus dem Request-Body</w:t>
      </w:r>
    </w:p>
    <w:p>
      <w:pPr>
        <w:numPr>
          <w:ilvl w:val="0"/>
          <w:numId w:val="1002"/>
        </w:numPr>
        <w:pStyle w:val="Compact"/>
      </w:pPr>
      <w:r>
        <w:t xml:space="preserve">Berechtigungen sind in der Datenbank gespeichert und cacheoptimiert</w:t>
      </w:r>
    </w:p>
    <w:bookmarkEnd w:id="23"/>
    <w:bookmarkStart w:id="24" w:name="mandantentrennung"/>
    <w:p>
      <w:pPr>
        <w:pStyle w:val="Heading3"/>
      </w:pPr>
      <w:r>
        <w:t xml:space="preserve">3.3 Mandantentrennung</w:t>
      </w:r>
    </w:p>
    <w:p>
      <w:pPr>
        <w:numPr>
          <w:ilvl w:val="0"/>
          <w:numId w:val="1003"/>
        </w:numPr>
        <w:pStyle w:val="Compact"/>
      </w:pPr>
      <w:r>
        <w:t xml:space="preserve">Alle Datenbankabfragen enthalten</w:t>
      </w:r>
      <w:r>
        <w:t xml:space="preserve"> </w:t>
      </w:r>
      <w:r>
        <w:rPr>
          <w:rStyle w:val="VerbatimChar"/>
        </w:rPr>
        <w:t xml:space="preserve">WHERE tenantId = $1</w:t>
      </w:r>
      <w:r>
        <w:t xml:space="preserve"> </w:t>
      </w:r>
      <w:r>
        <w:t xml:space="preserve">als Pflichtbedingung</w:t>
      </w:r>
    </w:p>
    <w:p>
      <w:pPr>
        <w:numPr>
          <w:ilvl w:val="0"/>
          <w:numId w:val="1003"/>
        </w:numPr>
        <w:pStyle w:val="Compact"/>
      </w:pPr>
      <w:r>
        <w:t xml:space="preserve">Prisma-Middleware erzwingt tenantId-Filter (kann nicht umgangen werden)</w:t>
      </w:r>
    </w:p>
    <w:p>
      <w:pPr>
        <w:numPr>
          <w:ilvl w:val="0"/>
          <w:numId w:val="1003"/>
        </w:numPr>
        <w:pStyle w:val="Compact"/>
      </w:pPr>
      <w:r>
        <w:t xml:space="preserve">Cross-Tenant-Zugriff ist nur für SYSADMIN erlaubt und wird protokolliert</w:t>
      </w:r>
    </w:p>
    <w:bookmarkEnd w:id="24"/>
    <w:bookmarkStart w:id="25" w:name="eingabevalidierung"/>
    <w:p>
      <w:pPr>
        <w:pStyle w:val="Heading3"/>
      </w:pPr>
      <w:r>
        <w:t xml:space="preserve">3.4 Eingabevalidierung</w:t>
      </w:r>
    </w:p>
    <w:p>
      <w:pPr>
        <w:numPr>
          <w:ilvl w:val="0"/>
          <w:numId w:val="1004"/>
        </w:numPr>
        <w:pStyle w:val="Compact"/>
      </w:pPr>
      <w:r>
        <w:t xml:space="preserve">Alle Inputs werden mit Zod validiert (client- und serverseitig)</w:t>
      </w:r>
    </w:p>
    <w:p>
      <w:pPr>
        <w:numPr>
          <w:ilvl w:val="0"/>
          <w:numId w:val="1004"/>
        </w:numPr>
        <w:pStyle w:val="Compact"/>
      </w:pPr>
      <w:r>
        <w:t xml:space="preserve">tRPC-Input-Schemas sind Teil der API-Kontrakte</w:t>
      </w:r>
    </w:p>
    <w:p>
      <w:pPr>
        <w:numPr>
          <w:ilvl w:val="0"/>
          <w:numId w:val="1004"/>
        </w:numPr>
        <w:pStyle w:val="Compact"/>
      </w:pPr>
      <w:r>
        <w:t xml:space="preserve">Maximale Feldlängen für alle String-Felder definiert</w:t>
      </w:r>
    </w:p>
    <w:p>
      <w:pPr>
        <w:numPr>
          <w:ilvl w:val="0"/>
          <w:numId w:val="1004"/>
        </w:numPr>
        <w:pStyle w:val="Compact"/>
      </w:pPr>
      <w:r>
        <w:t xml:space="preserve">Dateiuploads: Typ-Prüfung (MIME), Grösse-Limit, Virus-Scan-Vorbereitung</w:t>
      </w:r>
    </w:p>
    <w:bookmarkEnd w:id="25"/>
    <w:bookmarkStart w:id="26" w:name="owasp-top-10-schutzmassnahmen"/>
    <w:p>
      <w:pPr>
        <w:pStyle w:val="Heading3"/>
      </w:pPr>
      <w:r>
        <w:t xml:space="preserve">3.5 OWASP Top-10 Schutzmassnahmen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Serverseitiges RBAC, tenantId-Pflicht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erzwungen, AES-256 für sensible Felder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parametrierte Queries, Zod-Validierung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by Design, STRIDE-Modell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.env.example, keine Secrets im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 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Abhängigkeits-Audit via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 Auth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widerrufbar, bcrypt, MFA-Vorbereitung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 Integrity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Prüfsummen für Dokumente (SHA-256)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 Logging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 strukturiertes Logging, keine PII in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 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Adapter-Whitelist, kein direkter URL-Aufruf aus Input</w:t>
            </w:r>
          </w:p>
        </w:tc>
      </w:tr>
    </w:tbl>
    <w:bookmarkEnd w:id="26"/>
    <w:bookmarkStart w:id="27" w:name="rate-limiting"/>
    <w:p>
      <w:pPr>
        <w:pStyle w:val="Heading3"/>
      </w:pPr>
      <w:r>
        <w:t xml:space="preserve">3.6 Rate Limiting</w:t>
      </w:r>
    </w:p>
    <w:p>
      <w:pPr>
        <w:pStyle w:val="SourceCode"/>
      </w:pPr>
      <w:r>
        <w:rPr>
          <w:rStyle w:val="VerbatimChar"/>
        </w:rPr>
        <w:t xml:space="preserve">Endpunkt                   Limit</w:t>
      </w:r>
      <w:r>
        <w:br/>
      </w:r>
      <w:r>
        <w:rPr>
          <w:rStyle w:val="VerbatimChar"/>
        </w:rPr>
        <w:t xml:space="preserve">/api/auth/login            5 Versuche / 15 Min / IP</w:t>
      </w:r>
      <w:r>
        <w:br/>
      </w:r>
      <w:r>
        <w:rPr>
          <w:rStyle w:val="VerbatimChar"/>
        </w:rPr>
        <w:t xml:space="preserve">/api/auth/reset-password   3 Versuche / 1 Stunde / IP</w:t>
      </w:r>
      <w:r>
        <w:br/>
      </w:r>
      <w:r>
        <w:rPr>
          <w:rStyle w:val="VerbatimChar"/>
        </w:rPr>
        <w:t xml:space="preserve">Allgemeine API-Requests    200 Requests / 1 Min / Benutzer</w:t>
      </w:r>
      <w:r>
        <w:br/>
      </w:r>
      <w:r>
        <w:rPr>
          <w:rStyle w:val="VerbatimChar"/>
        </w:rPr>
        <w:t xml:space="preserve">Datei-Uploads              10 Uploads / 5 Min / Benutzer</w:t>
      </w:r>
    </w:p>
    <w:bookmarkEnd w:id="27"/>
    <w:bookmarkStart w:id="28" w:name="verschlüsselung"/>
    <w:p>
      <w:pPr>
        <w:pStyle w:val="Heading3"/>
      </w:pPr>
      <w:r>
        <w:t xml:space="preserve">3.7 Verschlüsselung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Transport:</w:t>
      </w:r>
      <w:r>
        <w:t xml:space="preserve"> </w:t>
      </w:r>
      <w:r>
        <w:t xml:space="preserve">TLS 1.3 (HTTPS erzwungen, HSTS)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Speicherung (Felder):</w:t>
      </w:r>
      <w:r>
        <w:t xml:space="preserve"> </w:t>
      </w:r>
      <w:r>
        <w:t xml:space="preserve">AES-256-GCM für sensible Felder (AHV, Telefon, MFA-Secret)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Speicherung (Datenbank):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oder externer KMS (vor Echtbetrieb)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Verschlüsselte Backups (AES-256), getrennte Schlüsselablage</w:t>
      </w:r>
    </w:p>
    <w:bookmarkEnd w:id="28"/>
    <w:bookmarkStart w:id="29" w:name="audit-protokoll-revisionsfähig"/>
    <w:p>
      <w:pPr>
        <w:pStyle w:val="Heading3"/>
      </w:pPr>
      <w:r>
        <w:t xml:space="preserve">3.8 Audit-Protokoll (revisionsfähig)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Was wird protokolliert:</w:t>
      </w:r>
      <w:r>
        <w:t xml:space="preserve"> </w:t>
      </w:r>
      <w:r>
        <w:t xml:space="preserve">Anmeldung, Abmeldung, Lesen (Patientendaten), Erstellen, Ändern, Löschen, Exportieren, Freigeben, Eskalation, privilegierter Zugriff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Inhalt:</w:t>
      </w:r>
      <w:r>
        <w:t xml:space="preserve"> </w:t>
      </w:r>
      <w:r>
        <w:t xml:space="preserve">Zeitstempel (UTC), Benutzer-ID, Aktion, Ressource, Ressourcen-ID, IP, Session-ID, Ergebnis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Was NICHT protokolliert wird:</w:t>
      </w:r>
      <w:r>
        <w:t xml:space="preserve"> </w:t>
      </w:r>
      <w:r>
        <w:t xml:space="preserve">Klartextdaten, Passwörter, medizinische Inhalte, PII in technischen Logs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Unveränderlichkeit:</w:t>
      </w:r>
      <w:r>
        <w:t xml:space="preserve"> </w:t>
      </w:r>
      <w:r>
        <w:t xml:space="preserve">Audit-Tabelle hat kein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 kein Soft-Delete; Schreib-only via Service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Aufbewahrung:</w:t>
      </w:r>
      <w:r>
        <w:t xml:space="preserve"> </w:t>
      </w:r>
      <w:r>
        <w:t xml:space="preserve">min. 10 Jahre (Schweizer Anforderung)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atenschutzkonzept-privacy-by-design"/>
    <w:p>
      <w:pPr>
        <w:pStyle w:val="Heading2"/>
      </w:pPr>
      <w:r>
        <w:t xml:space="preserve">4. Datenschutzkonzept (Privacy by Design)</w:t>
      </w:r>
    </w:p>
    <w:bookmarkStart w:id="31" w:name="grundsätze"/>
    <w:p>
      <w:pPr>
        <w:pStyle w:val="Heading3"/>
      </w:pPr>
      <w:r>
        <w:t xml:space="preserve">4.1 Grundsätze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Datenminimierung:</w:t>
      </w:r>
      <w:r>
        <w:t xml:space="preserve"> </w:t>
      </w:r>
      <w:r>
        <w:t xml:space="preserve">Nur notwendige Felder; keine Profilbildung ausserhalb des Praxiskontexts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Zweckbindung:</w:t>
      </w:r>
      <w:r>
        <w:t xml:space="preserve"> </w:t>
      </w:r>
      <w:r>
        <w:t xml:space="preserve">Daten werden nur für den dokumentierten Zweck verwendet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Transparenz:</w:t>
      </w:r>
      <w:r>
        <w:t xml:space="preserve"> </w:t>
      </w:r>
      <w:r>
        <w:t xml:space="preserve">Patienten können Auskunft, Berichtigung und Löschung verlangen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Privacy by Default:</w:t>
      </w:r>
      <w:r>
        <w:t xml:space="preserve"> </w:t>
      </w:r>
      <w:r>
        <w:t xml:space="preserve">Restriktivste Einstellungen sind der Standard</w:t>
      </w:r>
    </w:p>
    <w:bookmarkEnd w:id="31"/>
    <w:bookmarkStart w:id="32" w:name="rechtsgrundlagen-ch"/>
    <w:p>
      <w:pPr>
        <w:pStyle w:val="Heading3"/>
      </w:pPr>
      <w:r>
        <w:t xml:space="preserve">4.2 Rechtsgrundlagen (CH)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Rechtsgrundlage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Patientenstammdaten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Vertragsverhältnis / Behandlungsauftrag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Notwendigkeit für Behandlung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Berechtigtes Interesse (Sicherheit)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Kommunikation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Einwilligung oder Vertrag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Vor Echtbetrieb juristisch prüfen:</w:t>
      </w:r>
      <w:r>
        <w:t xml:space="preserve"> </w:t>
      </w:r>
      <w:r>
        <w:t xml:space="preserve">DSG (Schweiz), ggf. DSGVO (EU-Patientinnen und -Patienten), Kantonsrecht</w:t>
      </w:r>
    </w:p>
    <w:bookmarkEnd w:id="32"/>
    <w:bookmarkStart w:id="33" w:name="aufbewahrung-und-löschung"/>
    <w:p>
      <w:pPr>
        <w:pStyle w:val="Heading3"/>
      </w:pPr>
      <w:r>
        <w:t xml:space="preserve">4.3 Aufbewahrung und Löschung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Aufbewahrungsdauer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Patientendaten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Jahre nach letztem 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Art. 127 / Krankenkassenrecht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Unterlagen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Jahre (CH)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Kantonale Gesundheitsgesetze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Jahre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Sicherheitsanforderung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Technische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Betriebserfordernis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Tage rolling + 1 Jahres-Backup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Betriebsanforderung</w:t>
            </w:r>
          </w:p>
        </w:tc>
      </w:tr>
    </w:tbl>
    <w:bookmarkEnd w:id="33"/>
    <w:bookmarkStart w:id="34" w:name="ki-datenschutz"/>
    <w:p>
      <w:pPr>
        <w:pStyle w:val="Heading3"/>
      </w:pPr>
      <w:r>
        <w:t xml:space="preserve">4.4 KI-Datenschutz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Keine produktiven Patientendaten in KI-Prompts</w:t>
      </w:r>
      <w:r>
        <w:t xml:space="preserve"> </w:t>
      </w:r>
      <w:r>
        <w:t xml:space="preserve">– weder im Pilot noch in Produktion</w:t>
      </w:r>
    </w:p>
    <w:p>
      <w:pPr>
        <w:numPr>
          <w:ilvl w:val="0"/>
          <w:numId w:val="1008"/>
        </w:numPr>
        <w:pStyle w:val="Compact"/>
      </w:pPr>
      <w:r>
        <w:t xml:space="preserve">Im Pilot: Regelbasierte KI-Logik (kein LLM, kein externes API-Call)</w:t>
      </w:r>
    </w:p>
    <w:p>
      <w:pPr>
        <w:numPr>
          <w:ilvl w:val="0"/>
          <w:numId w:val="1008"/>
        </w:numPr>
        <w:pStyle w:val="Compact"/>
      </w:pPr>
      <w:r>
        <w:t xml:space="preserve">Für künftigen LLM-Einsatz: Pseudonymisierung vor Prompt-Übergabe, On-Premises oder CH/EU-Hosting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icherheits--und-datenschutz-checkliste"/>
    <w:p>
      <w:pPr>
        <w:pStyle w:val="Heading2"/>
      </w:pPr>
      <w:r>
        <w:t xml:space="preserve">5. Sicherheits- und Datenschutz-Checkliste</w:t>
      </w:r>
    </w:p>
    <w:bookmarkStart w:id="36" w:name="technische-massnahmen-pilot-v1"/>
    <w:p>
      <w:pPr>
        <w:pStyle w:val="Heading3"/>
      </w:pPr>
      <w:r>
        <w:t xml:space="preserve">5.1 Technische Massnahmen (Pilot v1)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Massnahme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Vor Echtbetrieb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erzwungen (TLS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HSTS-Header konfiguriert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HttpOnly/Secure/SameSite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Session-Widerruf in 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Passwort-Hashing (12 Runden)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Eingabevalidierung (server +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serverseitig auf jeder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tenantId-Pflichtfilter via Prisma-Middleware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Audit-Log unveränderlich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(Login,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Secrets im Code (.env)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.gitignore schützt 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parametrierte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Content-Security-Policy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X-Frame-Options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Strukturiertes Logging ohne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Dokumenten-Prüfsummen (SHA-256)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Datei-Upload Typ- und Grössenprüfung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Mock-Adapter klar als MOCK gekennzeichnet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für alle relevanten Entitäten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Geplant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 AHV, Telefon,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Vor Echtbetrieb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aktiviert und erzwungen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Vor Echtbetrieb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Penetrationstest (extern)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Vor Echtbetrieb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Virus-Scan für Dateiuploads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Vor Echtbetrieb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Backup-Verschlüsselung und 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Vor Echtbetrieb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6"/>
    <w:bookmarkStart w:id="37" w:name="X6060c0e2e848c4e22748fd790aec3f2969ceb99"/>
    <w:p>
      <w:pPr>
        <w:pStyle w:val="Heading3"/>
      </w:pPr>
      <w:r>
        <w:t xml:space="preserve">5.2 Organisatorische Massnahmen (⚠️ = Vor Echtbetrieb juristisch/organisatorisch prüfen)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Massnahme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Pflicht Echtbetrieb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Datenschutzbeauftragter benannt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Verzeichnis der Verarbeitungstätigkeiten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Datenschutz-Folgenabschätzung (DSFA)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Auftragsverarbeitungsvertrag (Hosting)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Mitarbeiter-Schulung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Passwort-Richtlinie dokumentiert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Incident-Response-Plan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Meldepflicht Datenpanne (EDÖB, 72h)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Betroffenenrechte-Prozess (Auskunft/Löschung)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&amp; Recovery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Outsourcing-Verträge (APIs,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Geheimhaltungsvereinbarungen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4-Augen-Prinzip für privilegierte Zugriffe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</w:tbl>
    <w:bookmarkEnd w:id="37"/>
    <w:bookmarkStart w:id="38" w:name="X8e475dcd06c0763bcc4464a06098cdc493fef65"/>
    <w:p>
      <w:pPr>
        <w:pStyle w:val="Heading3"/>
      </w:pPr>
      <w:r>
        <w:t xml:space="preserve">5.3 Vertraglich zu klärende Punkte (vor Echtbetrieb)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Zuständigkeit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Rockethealth: Datenschutz bei API-Anbindung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Praxisleitung + Rockethealth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OneDoc: Auftragsverarbeitung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Praxisleitung + OneDoc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HIN/BlueConnect: Zertifikatsvertrag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+ 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ESPAS: API-Nutzungsbedingungen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Praxisleitung + ESPAS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Hosting: Schweizer oder EU-Datencenter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IT-Leitung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LLM-API (optional): Datenschutzprüfung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Datenschutzbeauftragte/r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Krankenversicherungsgesetz-Konformität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Rechtsberatung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Kantonal: Datenschutz Basel-Landschaft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Rechtsberatung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incident-response-grundstruktur"/>
    <w:p>
      <w:pPr>
        <w:pStyle w:val="Heading2"/>
      </w:pPr>
      <w:r>
        <w:t xml:space="preserve">6. Incident-Response (Grundstruktur)</w:t>
      </w:r>
    </w:p>
    <w:p>
      <w:pPr>
        <w:pStyle w:val="SourceCode"/>
      </w:pPr>
      <w:r>
        <w:rPr>
          <w:rStyle w:val="VerbatimChar"/>
        </w:rPr>
        <w:t xml:space="preserve">Erkennung</w:t>
      </w:r>
      <w:r>
        <w:br/>
      </w:r>
      <w:r>
        <w:rPr>
          <w:rStyle w:val="VerbatimChar"/>
        </w:rPr>
        <w:t xml:space="preserve">  → Alarm in Monitoring</w:t>
      </w:r>
      <w:r>
        <w:br/>
      </w:r>
      <w:r>
        <w:rPr>
          <w:rStyle w:val="VerbatimChar"/>
        </w:rPr>
        <w:t xml:space="preserve">  → Manueller Bericht (Mitarbeiter/in)</w:t>
      </w:r>
      <w:r>
        <w:br/>
      </w:r>
      <w:r>
        <w:br/>
      </w:r>
      <w:r>
        <w:rPr>
          <w:rStyle w:val="VerbatimChar"/>
        </w:rPr>
        <w:t xml:space="preserve">Bewertung</w:t>
      </w:r>
      <w:r>
        <w:br/>
      </w:r>
      <w:r>
        <w:rPr>
          <w:rStyle w:val="VerbatimChar"/>
        </w:rPr>
        <w:t xml:space="preserve">  → Schweregrad: Kritisch / Hoch / Mittel / Niedrig</w:t>
      </w:r>
      <w:r>
        <w:br/>
      </w:r>
      <w:r>
        <w:rPr>
          <w:rStyle w:val="VerbatimChar"/>
        </w:rPr>
        <w:t xml:space="preserve">  → Betroffene Daten / Systeme identifizieren</w:t>
      </w:r>
      <w:r>
        <w:br/>
      </w:r>
      <w:r>
        <w:br/>
      </w:r>
      <w:r>
        <w:rPr>
          <w:rStyle w:val="VerbatimChar"/>
        </w:rPr>
        <w:t xml:space="preserve">Eindämmung</w:t>
      </w:r>
      <w:r>
        <w:br/>
      </w:r>
      <w:r>
        <w:rPr>
          <w:rStyle w:val="VerbatimChar"/>
        </w:rPr>
        <w:t xml:space="preserve">  → Betroffene Sessions widerrufen</w:t>
      </w:r>
      <w:r>
        <w:br/>
      </w:r>
      <w:r>
        <w:rPr>
          <w:rStyle w:val="VerbatimChar"/>
        </w:rPr>
        <w:t xml:space="preserve">  → Zugriff sperren</w:t>
      </w:r>
      <w:r>
        <w:br/>
      </w:r>
      <w:r>
        <w:rPr>
          <w:rStyle w:val="VerbatimChar"/>
        </w:rPr>
        <w:t xml:space="preserve">  → Systeme isolieren (wenn nötig)</w:t>
      </w:r>
      <w:r>
        <w:br/>
      </w:r>
      <w:r>
        <w:br/>
      </w:r>
      <w:r>
        <w:rPr>
          <w:rStyle w:val="VerbatimChar"/>
        </w:rPr>
        <w:t xml:space="preserve">Benachrichtigung</w:t>
      </w:r>
      <w:r>
        <w:br/>
      </w:r>
      <w:r>
        <w:rPr>
          <w:rStyle w:val="VerbatimChar"/>
        </w:rPr>
        <w:t xml:space="preserve">  → Praxisleitung sofort</w:t>
      </w:r>
      <w:r>
        <w:br/>
      </w:r>
      <w:r>
        <w:rPr>
          <w:rStyle w:val="VerbatimChar"/>
        </w:rPr>
        <w:t xml:space="preserve">  → Datenschutzbeauftragte/r</w:t>
      </w:r>
      <w:r>
        <w:br/>
      </w:r>
      <w:r>
        <w:rPr>
          <w:rStyle w:val="VerbatimChar"/>
        </w:rPr>
        <w:t xml:space="preserve">  → Bei Datenpanne: EDÖB innerhalb 72h (DSG nREV)</w:t>
      </w:r>
      <w:r>
        <w:br/>
      </w:r>
      <w:r>
        <w:rPr>
          <w:rStyle w:val="VerbatimChar"/>
        </w:rPr>
        <w:t xml:space="preserve">  → Betroffene Patientinnen und Patienten (wenn risikobehaftet)</w:t>
      </w:r>
      <w:r>
        <w:br/>
      </w:r>
      <w:r>
        <w:br/>
      </w:r>
      <w:r>
        <w:rPr>
          <w:rStyle w:val="VerbatimChar"/>
        </w:rPr>
        <w:t xml:space="preserve">Wiederherstellung</w:t>
      </w:r>
      <w:r>
        <w:br/>
      </w:r>
      <w:r>
        <w:rPr>
          <w:rStyle w:val="VerbatimChar"/>
        </w:rPr>
        <w:t xml:space="preserve">  → Backup einspielen</w:t>
      </w:r>
      <w:r>
        <w:br/>
      </w:r>
      <w:r>
        <w:rPr>
          <w:rStyle w:val="VerbatimChar"/>
        </w:rPr>
        <w:t xml:space="preserve">  → System prüfen</w:t>
      </w:r>
      <w:r>
        <w:br/>
      </w:r>
      <w:r>
        <w:rPr>
          <w:rStyle w:val="VerbatimChar"/>
        </w:rPr>
        <w:t xml:space="preserve">  → Freigabe</w:t>
      </w:r>
      <w:r>
        <w:br/>
      </w:r>
      <w:r>
        <w:br/>
      </w:r>
      <w:r>
        <w:rPr>
          <w:rStyle w:val="VerbatimChar"/>
        </w:rPr>
        <w:t xml:space="preserve">Nachbereitung</w:t>
      </w:r>
      <w:r>
        <w:br/>
      </w:r>
      <w:r>
        <w:rPr>
          <w:rStyle w:val="VerbatimChar"/>
        </w:rPr>
        <w:t xml:space="preserve">  → Root-Cause-Analyse</w:t>
      </w:r>
      <w:r>
        <w:br/>
      </w:r>
      <w:r>
        <w:rPr>
          <w:rStyle w:val="VerbatimChar"/>
        </w:rPr>
        <w:t xml:space="preserve">  → Massnahmenplan</w:t>
      </w:r>
      <w:r>
        <w:br/>
      </w:r>
      <w:r>
        <w:rPr>
          <w:rStyle w:val="VerbatimChar"/>
        </w:rPr>
        <w:t xml:space="preserve">  → Audit-Eintrag</w:t>
      </w:r>
      <w:r>
        <w:br/>
      </w:r>
      <w:r>
        <w:rPr>
          <w:rStyle w:val="VerbatimChar"/>
        </w:rPr>
        <w:t xml:space="preserve">  → Dokumentation</w:t>
      </w:r>
    </w:p>
    <w:p>
      <w:r>
        <w:pict>
          <v:rect style="width:0;height:1.5pt" o:hralign="center" o:hrstd="t" o:hr="t"/>
        </w:pict>
      </w:r>
    </w:p>
    <w:bookmarkEnd w:id="40"/>
    <w:bookmarkStart w:id="41" w:name="notizen-zum-pilotbetrieb"/>
    <w:p>
      <w:pPr>
        <w:pStyle w:val="Heading2"/>
      </w:pPr>
      <w:r>
        <w:t xml:space="preserve">7. Notizen zum Pilotbetrieb</w:t>
      </w:r>
    </w:p>
    <w:p>
      <w:pPr>
        <w:numPr>
          <w:ilvl w:val="0"/>
          <w:numId w:val="1009"/>
        </w:numPr>
        <w:pStyle w:val="Compact"/>
      </w:pPr>
      <w:r>
        <w:t xml:space="preserve">Synthetische Daten: Kein realer Schaden bei Datenverlust</w:t>
      </w:r>
    </w:p>
    <w:p>
      <w:pPr>
        <w:numPr>
          <w:ilvl w:val="0"/>
          <w:numId w:val="1009"/>
        </w:numPr>
        <w:pStyle w:val="Compact"/>
      </w:pPr>
      <w:r>
        <w:t xml:space="preserve">Pilot-Umgebung: Klar als PILOT/TESTUMGEBUNG gekennzeichnet (Banner in UI)</w:t>
      </w:r>
    </w:p>
    <w:p>
      <w:pPr>
        <w:numPr>
          <w:ilvl w:val="0"/>
          <w:numId w:val="1009"/>
        </w:numPr>
        <w:pStyle w:val="Compact"/>
      </w:pPr>
      <w:r>
        <w:t xml:space="preserve">Kein Zugriff auf produktive Praxissysteme</w:t>
      </w:r>
    </w:p>
    <w:p>
      <w:pPr>
        <w:numPr>
          <w:ilvl w:val="0"/>
          <w:numId w:val="1009"/>
        </w:numPr>
        <w:pStyle w:val="Compact"/>
      </w:pPr>
      <w:r>
        <w:t xml:space="preserve">Pilot-Accounts haben kein Zugriff auf echte Integrationen</w:t>
      </w:r>
    </w:p>
    <w:p>
      <w:pPr>
        <w:numPr>
          <w:ilvl w:val="0"/>
          <w:numId w:val="1009"/>
        </w:numPr>
        <w:pStyle w:val="Compact"/>
      </w:pPr>
      <w:r>
        <w:t xml:space="preserve">Alle Mock-Adapter sind als [MOCK] gekennzeichnet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2026-08-31T06:40:10Z</dcterms:created>
  <dcterms:modified xsi:type="dcterms:W3CDTF">2026-08-31T06:40:10Z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