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pPr>
        <w:pStyle w:val="Heading1"/>
      </w:pPr>
      <w:r>
        <w:rPr>
          <w:color w:val="0F172A"/>
        </w:rPr>
        <w:t>Before you start</w:t>
      </w:r>
    </w:p>
    <w:p>
      <w:r>
        <w:t xml:space="preserve">The system lives at the address you deployed it to. On the current VPS that is </w:t>
      </w:r>
      <w:r>
        <w:rPr>
          <w:b/>
        </w:rPr>
        <w:t>`https://103.51.129.98.sslip.io/`</w:t>
      </w:r>
      <w:r>
        <w:t xml:space="preserve"> — replace it with the client's real domain once it moves.</w:t>
      </w:r>
    </w:p>
    <w:p>
      <w:r>
        <w:rPr>
          <w:b/>
        </w:rPr>
        <w:t>You need one account per role</w:t>
      </w:r>
      <w:r>
        <w:t xml:space="preserve"> to run this walkthrough, because several steps ask you to sign in as a different job. The demo accounts described in older versions of this guide do </w:t>
      </w:r>
      <w:r>
        <w:rPr>
          <w:b/>
        </w:rPr>
        <w:t>not</w:t>
      </w:r>
      <w:r>
        <w:t xml:space="preserve"> exist on a production deployment (</w:t>
      </w:r>
      <w:r>
        <w:rPr>
          <w:rFonts w:ascii="Consolas" w:hAnsi="Consolas"/>
          <w:color w:val="1D4ED8"/>
          <w:sz w:val="19"/>
        </w:rPr>
        <w:t>RPCI_SEED_DEMO_USERS=false</w:t>
      </w:r>
      <w:r>
        <w:t>), so create them first:</w:t>
      </w:r>
    </w:p>
    <w:p>
      <w:pPr>
        <w:pStyle w:val="ListNumber"/>
        <w:spacing w:after="40"/>
      </w:pPr>
      <w:r>
        <w:t xml:space="preserve">Sign in as </w:t>
      </w:r>
      <w:r>
        <w:rPr>
          <w:b/>
        </w:rPr>
        <w:t>Admin</w:t>
      </w:r>
      <w:r>
        <w:t>.</w:t>
      </w:r>
    </w:p>
    <w:p>
      <w:pPr>
        <w:pStyle w:val="ListNumber"/>
        <w:spacing w:after="40"/>
      </w:pPr>
      <w:r>
        <w:t xml:space="preserve">Open </w:t>
      </w:r>
      <w:r>
        <w:rPr>
          <w:b/>
        </w:rPr>
        <w:t>Administration → Roles &amp; Access → User accounts</w:t>
      </w:r>
      <w:r>
        <w:t>.</w:t>
      </w:r>
    </w:p>
    <w:p>
      <w:pPr>
        <w:pStyle w:val="ListNumber"/>
        <w:spacing w:after="40"/>
      </w:pPr>
      <w:r>
        <w:t>Add one person per role, and note the generated password each time: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Suggested email</w:t>
            </w:r>
          </w:p>
        </w:tc>
      </w:tr>
      <w:tr>
        <w:tc>
          <w:tcPr>
            <w:tcW w:type="dxa" w:w="4320"/>
          </w:tcPr>
          <w:p>
            <w:r>
              <w:rPr>
                <w:sz w:val="19"/>
              </w:rPr>
            </w:r>
            <w:r>
              <w:rPr>
                <w:sz w:val="19"/>
              </w:rPr>
              <w:t>Accountant</w:t>
            </w:r>
          </w:p>
        </w:tc>
        <w:tc>
          <w:tcPr>
            <w:tcW w:type="dxa" w:w="4320"/>
          </w:tcPr>
          <w:p>
            <w:r>
              <w:rPr>
                <w:sz w:val="19"/>
              </w:rPr>
            </w:r>
            <w:r>
              <w:rPr>
                <w:rFonts w:ascii="Consolas" w:hAnsi="Consolas"/>
                <w:color w:val="1D4ED8"/>
                <w:sz w:val="19"/>
              </w:rPr>
              <w:t>accountant@resinovabd.com</w:t>
            </w:r>
          </w:p>
        </w:tc>
      </w:tr>
      <w:tr>
        <w:tc>
          <w:tcPr>
            <w:tcW w:type="dxa" w:w="4320"/>
          </w:tcPr>
          <w:p>
            <w:r>
              <w:rPr>
                <w:sz w:val="19"/>
              </w:rPr>
            </w:r>
            <w:r>
              <w:rPr>
                <w:sz w:val="19"/>
              </w:rPr>
              <w:t>Store/Production Staff</w:t>
            </w:r>
          </w:p>
        </w:tc>
        <w:tc>
          <w:tcPr>
            <w:tcW w:type="dxa" w:w="4320"/>
          </w:tcPr>
          <w:p>
            <w:r>
              <w:rPr>
                <w:sz w:val="19"/>
              </w:rPr>
            </w:r>
            <w:r>
              <w:rPr>
                <w:rFonts w:ascii="Consolas" w:hAnsi="Consolas"/>
                <w:color w:val="1D4ED8"/>
                <w:sz w:val="19"/>
              </w:rPr>
              <w:t>store@resinovabd.com</w:t>
            </w:r>
          </w:p>
        </w:tc>
      </w:tr>
      <w:tr>
        <w:tc>
          <w:tcPr>
            <w:tcW w:type="dxa" w:w="4320"/>
          </w:tcPr>
          <w:p>
            <w:r>
              <w:rPr>
                <w:sz w:val="19"/>
              </w:rPr>
            </w:r>
            <w:r>
              <w:rPr>
                <w:sz w:val="19"/>
              </w:rPr>
              <w:t>Sales Staff</w:t>
            </w:r>
          </w:p>
        </w:tc>
        <w:tc>
          <w:tcPr>
            <w:tcW w:type="dxa" w:w="4320"/>
          </w:tcPr>
          <w:p>
            <w:r>
              <w:rPr>
                <w:sz w:val="19"/>
              </w:rPr>
            </w:r>
            <w:r>
              <w:rPr>
                <w:rFonts w:ascii="Consolas" w:hAnsi="Consolas"/>
                <w:color w:val="1D4ED8"/>
                <w:sz w:val="19"/>
              </w:rPr>
              <w:t>sales@resinovabd.com</w:t>
            </w:r>
          </w:p>
        </w:tc>
      </w:tr>
      <w:tr>
        <w:tc>
          <w:tcPr>
            <w:tcW w:type="dxa" w:w="4320"/>
          </w:tcPr>
          <w:p>
            <w:r>
              <w:rPr>
                <w:sz w:val="19"/>
              </w:rPr>
            </w:r>
            <w:r>
              <w:rPr>
                <w:sz w:val="19"/>
              </w:rPr>
              <w:t>Owner/Viewer</w:t>
            </w:r>
          </w:p>
        </w:tc>
        <w:tc>
          <w:tcPr>
            <w:tcW w:type="dxa" w:w="4320"/>
          </w:tcPr>
          <w:p>
            <w:r>
              <w:rPr>
                <w:sz w:val="19"/>
              </w:rPr>
            </w:r>
            <w:r>
              <w:rPr>
                <w:rFonts w:ascii="Consolas" w:hAnsi="Consolas"/>
                <w:color w:val="1D4ED8"/>
                <w:sz w:val="19"/>
              </w:rPr>
              <w:t>owner@resinovabd.com</w:t>
            </w:r>
          </w:p>
        </w:tc>
      </w:tr>
    </w:tbl>
    <w:p/>
    <w:p>
      <w:r>
        <w:t xml:space="preserve">The walkthrough starts as </w:t>
      </w:r>
      <w:r>
        <w:rPr>
          <w:b/>
        </w:rPr>
        <w:t>Admin</w:t>
      </w:r>
      <w:r>
        <w:t xml:space="preserve">. Two later steps ask you to sign in as </w:t>
      </w:r>
      <w:r>
        <w:rPr>
          <w:b/>
        </w:rPr>
        <w:t>Sales Staff</w:t>
      </w:r>
      <w:r>
        <w:t xml:space="preserve"> and </w:t>
      </w:r>
      <w:r>
        <w:rPr>
          <w:b/>
        </w:rPr>
        <w:t>Store/Production Staff</w:t>
      </w:r>
      <w:r>
        <w:t>.</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sz w:val="19"/>
              </w:rPr>
              <w:t>The sample workbook to import</w:t>
            </w:r>
          </w:p>
        </w:tc>
      </w:tr>
      <w:tr>
        <w:tc>
          <w:tcPr>
            <w:tcW w:type="dxa" w:w="4320"/>
          </w:tcPr>
          <w:p>
            <w:r>
              <w:rPr>
                <w:sz w:val="19"/>
              </w:rPr>
            </w:r>
            <w:r>
              <w:rPr>
                <w:rFonts w:ascii="Consolas" w:hAnsi="Consolas"/>
                <w:color w:val="1D4ED8"/>
                <w:sz w:val="19"/>
              </w:rPr>
              <w:t>RPCI Accounts.xlsx</w:t>
            </w:r>
          </w:p>
        </w:tc>
        <w:tc>
          <w:tcPr>
            <w:tcW w:type="dxa" w:w="4320"/>
          </w:tcPr>
          <w:p>
            <w:r>
              <w:rPr>
                <w:sz w:val="19"/>
              </w:rPr>
            </w:r>
            <w:r>
              <w:rPr>
                <w:sz w:val="19"/>
              </w:rPr>
              <w:t>The client workbook (the same shape, real figures)</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sample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80" w:after="160"/>
        <w:ind w:left="240"/>
        <w:shd w:val="clear" w:color="auto" w:fill="F4F6F8"/>
      </w:pPr>
      <w:r>
        <w:rPr>
          <w:b/>
        </w:rPr>
        <w:t>A note on "Start over".</w:t>
      </w:r>
      <w:r>
        <w:t xml:space="preserve"> The production configuration sets </w:t>
      </w:r>
      <w:r>
        <w:rPr>
          <w:rFonts w:ascii="Consolas" w:hAnsi="Consolas"/>
          <w:color w:val="1D4ED8"/>
          <w:sz w:val="19"/>
        </w:rPr>
        <w:t>RPCI_ALLOW_DATA_RESET=false</w:t>
      </w:r>
      <w:r>
        <w:t xml:space="preserve">, so the </w:t>
      </w:r>
      <w:r>
        <w:rPr>
          <w:b/>
        </w:rPr>
        <w:t>Start over</w:t>
      </w:r>
      <w:r>
        <w:t xml:space="preserve"> card is not shown on the Data screen. That is deliberate — it stops a stray click wiping the books. To reload the sample data, use </w:t>
      </w:r>
      <w:r>
        <w:rPr>
          <w:b/>
        </w:rPr>
        <w:t>Import an existing workbook</w:t>
      </w:r>
      <w:r>
        <w:t xml:space="preserve"> instead: importing replaces the books and is always available.</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pPr>
        <w:spacing w:before="80" w:after="160"/>
        <w:ind w:left="240"/>
        <w:shd w:val="clear" w:color="auto" w:fill="F4F6F8"/>
      </w:pPr>
      <w:r>
        <w:rPr>
          <w:b/>
        </w:rPr>
        <w:t>First, create the supplier record.</w:t>
      </w:r>
      <w:r>
        <w:t xml:space="preserve"> Click </w:t>
      </w:r>
      <w:r>
        <w:rPr>
          <w:b/>
        </w:rPr>
        <w:t>Customers &amp; Suppliers → Add customer or supplier</w:t>
      </w:r>
      <w:r>
        <w:t xml:space="preserve">. Code </w:t>
      </w:r>
      <w:r>
        <w:rPr>
          <w:rFonts w:ascii="Consolas" w:hAnsi="Consolas"/>
          <w:color w:val="1D4ED8"/>
          <w:sz w:val="19"/>
        </w:rPr>
        <w:t>SUP-001</w:t>
      </w:r>
      <w:r>
        <w:t xml:space="preserve">, Name </w:t>
      </w:r>
      <w:r>
        <w:rPr>
          <w:rFonts w:ascii="Consolas" w:hAnsi="Consolas"/>
          <w:color w:val="1D4ED8"/>
          <w:sz w:val="19"/>
        </w:rPr>
        <w:t>Sample Supplier</w:t>
      </w:r>
      <w:r>
        <w:t xml:space="preserve">, Type </w:t>
      </w:r>
      <w:r>
        <w:rPr>
          <w:rFonts w:ascii="Consolas" w:hAnsi="Consolas"/>
          <w:color w:val="1D4ED8"/>
          <w:sz w:val="19"/>
        </w:rPr>
        <w:t>Supplier</w:t>
      </w:r>
      <w:r>
        <w:t xml:space="preserve">, then </w:t>
      </w:r>
      <w:r>
        <w:rPr>
          <w:b/>
        </w:rPr>
        <w:t>Add record</w:t>
      </w:r>
      <w:r>
        <w:t>. This matters: the Receipts &amp; Payments page settles invoices through their linked party record, and its dropdowns only list records — a name typed as free text on the purchase won't appear there, and the invoice shows "not linked to a record".</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sz w:val="19"/>
              </w:rPr>
              <w:t xml:space="preserve">Select </w:t>
            </w:r>
            <w:r>
              <w:rPr>
                <w:rFonts w:ascii="Consolas" w:hAnsi="Consolas"/>
                <w:color w:val="1D4ED8"/>
                <w:sz w:val="19"/>
              </w:rPr>
              <w:t>Sample Supplier</w:t>
            </w:r>
            <w:r>
              <w:rPr>
                <w:sz w:val="19"/>
              </w:rPr>
              <w:t xml:space="preserve"> from the dropdown</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pPr>
        <w:spacing w:before="80" w:after="160"/>
        <w:ind w:left="240"/>
        <w:shd w:val="clear" w:color="auto" w:fill="F4F6F8"/>
      </w:pPr>
      <w:r>
        <w:rPr>
          <w:b/>
        </w:rPr>
        <w:t>First, create the customer record.</w:t>
      </w:r>
      <w:r>
        <w:t xml:space="preserve"> Click </w:t>
      </w:r>
      <w:r>
        <w:rPr>
          <w:b/>
        </w:rPr>
        <w:t>Customers &amp; Suppliers → Add customer or supplier</w:t>
      </w:r>
      <w:r>
        <w:t xml:space="preserve">. Code </w:t>
      </w:r>
      <w:r>
        <w:rPr>
          <w:rFonts w:ascii="Consolas" w:hAnsi="Consolas"/>
          <w:color w:val="1D4ED8"/>
          <w:sz w:val="19"/>
        </w:rPr>
        <w:t>CUS-001</w:t>
      </w:r>
      <w:r>
        <w:t xml:space="preserve">, Name </w:t>
      </w:r>
      <w:r>
        <w:rPr>
          <w:rFonts w:ascii="Consolas" w:hAnsi="Consolas"/>
          <w:color w:val="1D4ED8"/>
          <w:sz w:val="19"/>
        </w:rPr>
        <w:t>Karim Enterprise</w:t>
      </w:r>
      <w:r>
        <w:t xml:space="preserve">, Type </w:t>
      </w:r>
      <w:r>
        <w:rPr>
          <w:rFonts w:ascii="Consolas" w:hAnsi="Consolas"/>
          <w:color w:val="1D4ED8"/>
          <w:sz w:val="19"/>
        </w:rPr>
        <w:t>Customer</w:t>
      </w:r>
      <w:r>
        <w:t xml:space="preserve">, then </w:t>
      </w:r>
      <w:r>
        <w:rPr>
          <w:b/>
        </w:rPr>
        <w:t>Add record</w:t>
      </w:r>
      <w:r>
        <w:t>. Same reason as Step 1: only a linked record can be settled later in Receipts &amp; Payments.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sz w:val="19"/>
              </w:rPr>
              <w:t xml:space="preserve">Select </w:t>
            </w:r>
            <w:r>
              <w:rPr>
                <w:rFonts w:ascii="Consolas" w:hAnsi="Consolas"/>
                <w:color w:val="1D4ED8"/>
                <w:sz w:val="19"/>
              </w:rPr>
              <w:t>Karim Enterprise</w:t>
            </w:r>
            <w:r>
              <w:rPr>
                <w:sz w:val="19"/>
              </w:rPr>
              <w:t xml:space="preserve"> from the dropdown</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pPr>
        <w:pStyle w:val="Heading2"/>
      </w:pPr>
      <w:r>
        <w:rPr>
          <w:color w:val="0F172A"/>
        </w:rPr>
        <w:t>Why a reversal is sometimes refused</w:t>
      </w:r>
    </w:p>
    <w:p>
      <w:r>
        <w:t>A reversal puts back exactly what a transaction took, or takes back exactly what it put in. The only things that can stop it are the stock, and whether the item has moved since:</w:t>
      </w:r>
    </w:p>
    <w:p>
      <w:pPr>
        <w:pStyle w:val="ListBullet"/>
        <w:spacing w:after="40"/>
      </w:pPr>
      <w:r>
        <w:t xml:space="preserve">A </w:t>
      </w:r>
      <w:r>
        <w:rPr>
          <w:b/>
        </w:rPr>
        <w:t>sale</w:t>
      </w:r>
      <w:r>
        <w:t xml:space="preserve"> gives goods </w:t>
      </w:r>
      <w:r>
        <w:rPr>
          <w:b/>
        </w:rPr>
        <w:t>back</w:t>
      </w:r>
      <w:r>
        <w:t xml:space="preserve"> to you, so it can never run short. It can always</w:t>
      </w:r>
    </w:p>
    <w:p>
      <w:r>
        <w:t>be reversed.</w:t>
      </w:r>
    </w:p>
    <w:p>
      <w:pPr>
        <w:pStyle w:val="ListBullet"/>
        <w:spacing w:after="40"/>
      </w:pPr>
      <w:r>
        <w:t xml:space="preserve">A </w:t>
      </w:r>
      <w:r>
        <w:rPr>
          <w:b/>
        </w:rPr>
        <w:t>purchase</w:t>
      </w:r>
      <w:r>
        <w:t xml:space="preserve"> takes goods </w:t>
      </w:r>
      <w:r>
        <w:rPr>
          <w:b/>
        </w:rPr>
        <w:t>out</w:t>
      </w:r>
      <w:r>
        <w:t xml:space="preserve"> of stock, and can only be reversed while</w:t>
      </w:r>
    </w:p>
    <w:p>
      <w:r>
        <w:rPr>
          <w:b/>
        </w:rPr>
        <w:t>nothing has touched the item since the purchase</w:t>
      </w:r>
      <w:r>
        <w:t xml:space="preserve"> — no sale, no production, not even a second purchase of the same item.</w:t>
      </w:r>
    </w:p>
    <w:p>
      <w:pPr>
        <w:pStyle w:val="ListBullet"/>
        <w:spacing w:after="40"/>
      </w:pPr>
      <w:r>
        <w:t xml:space="preserve">A </w:t>
      </w:r>
      <w:r>
        <w:rPr>
          <w:b/>
        </w:rPr>
        <w:t>production run</w:t>
      </w:r>
      <w:r>
        <w:t xml:space="preserve"> takes the </w:t>
      </w:r>
      <w:r>
        <w:rPr>
          <w:b/>
        </w:rPr>
        <w:t>output</w:t>
      </w:r>
      <w:r>
        <w:t xml:space="preserve"> out first, so it can only be reversed</w:t>
      </w:r>
    </w:p>
    <w:p>
      <w:r>
        <w:t>while the output is still on hand — that is, while none of it has been sold. Its components always come back freely.</w:t>
      </w:r>
    </w:p>
    <w:p>
      <w:pPr>
        <w:pStyle w:val="Heading2"/>
      </w:pPr>
      <w:r>
        <w:rPr>
          <w:color w:val="0F172A"/>
        </w:rPr>
        <w:t>See a refusal for yourself</w:t>
      </w:r>
    </w:p>
    <w:p>
      <w:r>
        <w:t xml:space="preserve">In this walkthrough the purchase from Step 1 is </w:t>
      </w:r>
      <w:r>
        <w:rPr>
          <w:b/>
        </w:rPr>
        <w:t>refused</w:t>
      </w:r>
      <w:r>
        <w:t>, because the production run has used some of it:</w:t>
      </w:r>
    </w:p>
    <w:p>
      <w:pPr>
        <w:pStyle w:val="ListNumber"/>
        <w:spacing w:after="40"/>
      </w:pPr>
      <w:r>
        <w:t xml:space="preserve">In </w:t>
      </w:r>
      <w:r>
        <w:rPr>
          <w:b/>
        </w:rPr>
        <w:t>Posted purchases</w:t>
      </w:r>
      <w:r>
        <w:t xml:space="preserve">, click </w:t>
      </w:r>
      <w:r>
        <w:rPr>
          <w:b/>
        </w:rPr>
        <w:t>Reverse</w:t>
      </w:r>
      <w:r>
        <w:t xml:space="preserve"> on the purchase from Step 1.</w:t>
      </w:r>
    </w:p>
    <w:p>
      <w:pPr>
        <w:pStyle w:val="ListNumber"/>
        <w:spacing w:after="40"/>
      </w:pPr>
      <w:r>
        <w:t xml:space="preserve">Type a reason and click </w:t>
      </w:r>
      <w:r>
        <w:rPr>
          <w:b/>
        </w:rPr>
        <w:t>Confirm reversal</w:t>
      </w:r>
      <w:r>
        <w:t>.</w:t>
      </w:r>
    </w:p>
    <w:p>
      <w:pPr>
        <w:pStyle w:val="ListNumber"/>
        <w:spacing w:after="40"/>
      </w:pPr>
      <w:r>
        <w:t>It is refused with *"RM-100 has moved since this purchase (200.0000 on hand</w:t>
      </w:r>
    </w:p>
    <w:p>
      <w:r>
        <w:t>then, 140.0000 now). Reverse the later transactions first."* Nothing changes.</w:t>
      </w:r>
    </w:p>
    <w:p>
      <w:r>
        <w:t xml:space="preserve">The same happens to the </w:t>
      </w:r>
      <w:r>
        <w:rPr>
          <w:b/>
        </w:rPr>
        <w:t>production run</w:t>
      </w:r>
      <w:r>
        <w:t xml:space="preserve"> while its output is still sold — try it before reversing the sale and you get *"Cannot take 30 of FG-100: only 20 on hand."*</w:t>
      </w:r>
    </w:p>
    <w:p>
      <w:pPr>
        <w:pStyle w:val="Heading2"/>
      </w:pPr>
      <w:r>
        <w:rPr>
          <w:color w:val="0F172A"/>
        </w:rPr>
        <w:t>The order to reverse in</w:t>
      </w:r>
    </w:p>
    <w:p>
      <w:r>
        <w:t xml:space="preserve">Undo things in the </w:t>
      </w:r>
      <w:r>
        <w:rPr>
          <w:b/>
        </w:rPr>
        <w:t>reverse order you did them</w:t>
      </w:r>
      <w:r>
        <w:t>: the sale first, then the production run, then the purchase.</w:t>
      </w:r>
    </w:p>
    <w:p>
      <w:pPr>
        <w:pStyle w:val="ListNumber"/>
        <w:spacing w:after="40"/>
      </w:pPr>
      <w:r>
        <w:t xml:space="preserve">Reverse the </w:t>
      </w:r>
      <w:r>
        <w:rPr>
          <w:b/>
        </w:rPr>
        <w:t>sale</w:t>
      </w:r>
      <w:r>
        <w:t xml:space="preserve"> (as above). </w:t>
      </w:r>
      <w:r>
        <w:rPr>
          <w:rFonts w:ascii="Consolas" w:hAnsi="Consolas"/>
          <w:color w:val="1D4ED8"/>
          <w:sz w:val="19"/>
        </w:rPr>
        <w:t>FG-100</w:t>
      </w:r>
      <w:r>
        <w:t xml:space="preserve"> returns to 30 units.</w:t>
      </w:r>
    </w:p>
    <w:p>
      <w:pPr>
        <w:pStyle w:val="ListNumber"/>
        <w:spacing w:after="40"/>
      </w:pPr>
      <w:r>
        <w:t xml:space="preserve">Reverse the </w:t>
      </w:r>
      <w:r>
        <w:rPr>
          <w:b/>
        </w:rPr>
        <w:t>production run</w:t>
      </w:r>
      <w:r>
        <w:t>. It is now allowed, because the output is back.</w:t>
      </w:r>
    </w:p>
    <w:p>
      <w:r>
        <w:t>The components return.</w:t>
      </w:r>
    </w:p>
    <w:p>
      <w:pPr>
        <w:pStyle w:val="ListNumber"/>
        <w:spacing w:after="40"/>
      </w:pPr>
      <w:r>
        <w:t xml:space="preserve">Reverse the </w:t>
      </w:r>
      <w:r>
        <w:rPr>
          <w:b/>
        </w:rPr>
        <w:t>purchase</w:t>
      </w:r>
      <w:r>
        <w:t>. Now allowed too, because nothing has touched the items</w:t>
      </w:r>
    </w:p>
    <w:p>
      <w:r>
        <w:t xml:space="preserve">since it was posted. </w:t>
      </w:r>
      <w:r>
        <w:rPr>
          <w:rFonts w:ascii="Consolas" w:hAnsi="Consolas"/>
          <w:color w:val="1D4ED8"/>
          <w:sz w:val="19"/>
        </w:rPr>
        <w:t>RM-100</w:t>
      </w:r>
      <w:r>
        <w:t xml:space="preserve"> is back to 100 kg at 20.</w:t>
      </w:r>
    </w:p>
    <w:p>
      <w:r>
        <w:t>Done in that order, every reversal is exact and the stock returns to precisely where it started.</w:t>
      </w:r>
    </w:p>
    <w:p>
      <w:pPr>
        <w:spacing w:before="80" w:after="160"/>
        <w:ind w:left="240"/>
        <w:shd w:val="clear" w:color="auto" w:fill="F4F6F8"/>
      </w:pPr>
      <w:r>
        <w:t>Reversals are recorded in the order you make them, however old the transaction they correct. The stock ledger lists them that way, so the running balance always reads correctly.</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p>
      <w:pPr>
        <w:spacing w:before="80" w:after="160"/>
        <w:ind w:left="240"/>
        <w:shd w:val="clear" w:color="auto" w:fill="F4F6F8"/>
      </w:pPr>
      <w:r>
        <w:rPr>
          <w:b/>
        </w:rPr>
        <w:t>Department</w:t>
      </w:r>
      <w:r>
        <w:t xml:space="preserve"> and </w:t>
      </w:r>
      <w:r>
        <w:rPr>
          <w:b/>
        </w:rPr>
        <w:t>Designation</w:t>
      </w:r>
      <w:r>
        <w:t xml:space="preserve"> are dropdowns, not free text. Their options are managed from the </w:t>
      </w:r>
      <w:r>
        <w:rPr>
          <w:b/>
        </w:rPr>
        <w:t>Manage options</w:t>
      </w:r>
      <w:r>
        <w:t xml:space="preserve"> button on this page (admin and accountant): add, rename, or remove entries. Each department also carries the salary account its pay is charged to — Office → 6010, Factory → 5011 by default, which is why the journal entry below splits the way it does. A department still used by active staff cannot be removed until those people are moved.</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80" w:after="160"/>
        <w:ind w:left="240"/>
        <w:shd w:val="clear" w:color="auto" w:fill="F4F6F8"/>
      </w:pPr>
      <w:r>
        <w:t xml:space="preserve">If you did the optional Step 4 and reversed the sale, expect Total assets </w:t>
      </w:r>
      <w:r>
        <w:rPr>
          <w:rFonts w:ascii="Consolas" w:hAnsi="Consolas"/>
          <w:color w:val="1D4ED8"/>
          <w:sz w:val="19"/>
        </w:rPr>
        <w:t>403,400.00</w:t>
      </w:r>
      <w:r>
        <w:t xml:space="preserve"> instead. The 580 difference is that sale's gross profit (1,500 − 920), undone by the reversal — your books are correct either way.</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Import an existing workbook</w:t>
      </w:r>
      <w:r>
        <w:t>) or your own file.</w:t>
      </w:r>
    </w:p>
    <w:p>
      <w:pPr>
        <w:pStyle w:val="Heading1"/>
      </w:pPr>
      <w:r>
        <w:rPr>
          <w:color w:val="0F172A"/>
        </w:rPr>
        <w:t>Resetting between runs</w:t>
      </w:r>
    </w:p>
    <w:p>
      <w:r>
        <w:t>To start the walkthrough again from a clean slate:</w:t>
      </w:r>
    </w:p>
    <w:p>
      <w:pPr>
        <w:pStyle w:val="ListBullet"/>
        <w:spacing w:after="40"/>
      </w:pPr>
      <w:r>
        <w:rPr>
          <w:b/>
        </w:rPr>
        <w:t>Data → Import an existing workbook</w:t>
      </w:r>
      <w:r>
        <w:t xml:space="preserve">, with </w:t>
      </w:r>
      <w:r>
        <w:rPr>
          <w:b/>
        </w:rPr>
        <w:t>Replace the books</w:t>
      </w:r>
      <w:r>
        <w:t xml:space="preserve"> ticked. This</w:t>
      </w:r>
    </w:p>
    <w:p>
      <w:r>
        <w:t>reloads the sample workbook and is the only route on a production deployment.</w:t>
      </w:r>
    </w:p>
    <w:p>
      <w:pPr>
        <w:spacing w:before="80" w:after="160"/>
        <w:ind w:left="240"/>
        <w:shd w:val="clear" w:color="auto" w:fill="F4F6F8"/>
      </w:pPr>
      <w:r>
        <w:t xml:space="preserve">The production configuration sets </w:t>
      </w:r>
      <w:r>
        <w:rPr>
          <w:rFonts w:ascii="Consolas" w:hAnsi="Consolas"/>
          <w:color w:val="1D4ED8"/>
          <w:sz w:val="19"/>
        </w:rPr>
        <w:t>RPCI_ALLOW_DATA_RESET=false</w:t>
      </w:r>
      <w:r>
        <w:t xml:space="preserve">, so the </w:t>
      </w:r>
      <w:r>
        <w:rPr>
          <w:b/>
        </w:rPr>
        <w:t>Start over</w:t>
      </w:r>
      <w:r>
        <w:t xml:space="preserve"> card is </w:t>
      </w:r>
      <w:r>
        <w:rPr>
          <w:b/>
        </w:rPr>
        <w:t>not shown at all</w:t>
      </w:r>
      <w:r>
        <w:t xml:space="preserve"> on the Data screen — there is nothing to click and no error to see. That is deliberate: it stops a stray click wiping the client's books. Importing is deliberately not behind that switch, because importing *is* the supported way to load data, so it stays available. On a local development machine </w:t>
      </w:r>
      <w:r>
        <w:rPr>
          <w:rFonts w:ascii="Consolas" w:hAnsi="Consolas"/>
          <w:color w:val="1D4ED8"/>
          <w:sz w:val="19"/>
        </w:rPr>
        <w:t>RPCI_ALLOW_DATA_RESET</w:t>
      </w:r>
      <w:r>
        <w:t xml:space="preserve"> defaults to on, and the three </w:t>
      </w:r>
      <w:r>
        <w:rPr>
          <w:b/>
        </w:rPr>
        <w:t>Start over</w:t>
      </w:r>
      <w:r>
        <w:t xml:space="preserve"> buttons appear. To wipe and regenerate the hosted database from your own machine instead, use </w:t>
      </w:r>
      <w:r>
        <w:rPr>
          <w:rFonts w:ascii="Consolas" w:hAnsi="Consolas"/>
          <w:color w:val="1D4ED8"/>
          <w:sz w:val="19"/>
        </w:rPr>
        <w:t>scripts/generate_demo_data.py --wipe-first</w:t>
      </w:r>
      <w:r>
        <w:t xml:space="preserve"> (see </w:t>
      </w:r>
      <w:r>
        <w:rPr>
          <w:rFonts w:ascii="Consolas" w:hAnsi="Consolas"/>
          <w:color w:val="1D4ED8"/>
          <w:sz w:val="19"/>
        </w:rPr>
        <w:t>docs/map/OPERATIONS.md</w:t>
      </w:r>
      <w:r>
        <w:t>).</w:t>
      </w:r>
    </w:p>
    <w:p>
      <w:pPr>
        <w:spacing w:before="40" w:after="160"/>
        <w:pBdr>
          <w:bottom w:val="single" w:sz="6" w:space="1" w:color="D6DBE2"/>
        </w:pBdr>
      </w:pPr>
    </w:p>
    <w:p>
      <w:pPr>
        <w:pStyle w:val="Title"/>
      </w:pPr>
      <w:r>
        <w:rPr>
          <w:color w:val="0F172A"/>
        </w:rPr>
        <w:t>Part 2 — Reports, money in and out, and people</w:t>
      </w:r>
    </w:p>
    <w:p>
      <w:r>
        <w:t>Part 1 walked the core loop: buy → make → sell, plus payroll. Part 2 covers everything around it: following the cash, reading the reports, correcting the books by hand, and who gets to do what.</w:t>
      </w:r>
    </w:p>
    <w:p>
      <w:r>
        <w:rPr>
          <w:b/>
        </w:rPr>
        <w:t>Starting position.</w:t>
      </w:r>
      <w:r>
        <w:t xml:space="preserve"> Part 2 assumes Steps 0–5 are done (skip the optional Steps 4, 6 and 7):</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Figure</w:t>
            </w:r>
          </w:p>
        </w:tc>
        <w:tc>
          <w:tcPr>
            <w:tcW w:type="dxa" w:w="4320"/>
            <w:shd w:val="clear" w:color="auto" w:fill="F1F5F9"/>
          </w:tcPr>
          <w:p>
            <w:r>
              <w:rPr>
                <w:b/>
                <w:sz w:val="19"/>
              </w:rPr>
            </w:r>
            <w:r>
              <w:rPr>
                <w:b/>
                <w:sz w:val="19"/>
              </w:rPr>
              <w:t>Value</w:t>
            </w:r>
          </w:p>
        </w:tc>
      </w:tr>
      <w:tr>
        <w:tc>
          <w:tcPr>
            <w:tcW w:type="dxa" w:w="4320"/>
          </w:tcPr>
          <w:p>
            <w:r>
              <w:rPr>
                <w:sz w:val="19"/>
              </w:rPr>
            </w:r>
            <w:r>
              <w:rPr>
                <w:sz w:val="19"/>
              </w:rPr>
              <w:t>Bank — Cash and Bank (1010)</w:t>
            </w:r>
          </w:p>
        </w:tc>
        <w:tc>
          <w:tcPr>
            <w:tcW w:type="dxa" w:w="4320"/>
          </w:tcPr>
          <w:p>
            <w:r>
              <w:rPr>
                <w:sz w:val="19"/>
              </w:rPr>
            </w:r>
            <w:r>
              <w:rPr>
                <w:sz w:val="19"/>
              </w:rPr>
              <w:t>392,900.00</w:t>
            </w:r>
          </w:p>
        </w:tc>
      </w:tr>
      <w:tr>
        <w:tc>
          <w:tcPr>
            <w:tcW w:type="dxa" w:w="4320"/>
          </w:tcPr>
          <w:p>
            <w:r>
              <w:rPr>
                <w:sz w:val="19"/>
              </w:rPr>
            </w:r>
            <w:r>
              <w:rPr>
                <w:sz w:val="19"/>
              </w:rPr>
              <w:t>Receivable — Karim Enterprise</w:t>
            </w:r>
          </w:p>
        </w:tc>
        <w:tc>
          <w:tcPr>
            <w:tcW w:type="dxa" w:w="4320"/>
          </w:tcPr>
          <w:p>
            <w:r>
              <w:rPr>
                <w:sz w:val="19"/>
              </w:rPr>
            </w:r>
            <w:r>
              <w:rPr>
                <w:sz w:val="19"/>
              </w:rPr>
              <w:t>1,500.00</w:t>
            </w:r>
          </w:p>
        </w:tc>
      </w:tr>
      <w:tr>
        <w:tc>
          <w:tcPr>
            <w:tcW w:type="dxa" w:w="4320"/>
          </w:tcPr>
          <w:p>
            <w:r>
              <w:rPr>
                <w:sz w:val="19"/>
              </w:rPr>
            </w:r>
            <w:r>
              <w:rPr>
                <w:sz w:val="19"/>
              </w:rPr>
              <w:t>Payable — Sample Supplier</w:t>
            </w:r>
          </w:p>
        </w:tc>
        <w:tc>
          <w:tcPr>
            <w:tcW w:type="dxa" w:w="4320"/>
          </w:tcPr>
          <w:p>
            <w:r>
              <w:rPr>
                <w:sz w:val="19"/>
              </w:rPr>
            </w:r>
            <w:r>
              <w:rPr>
                <w:sz w:val="19"/>
              </w:rPr>
              <w:t>4,200.00</w:t>
            </w:r>
          </w:p>
        </w:tc>
      </w:tr>
      <w:tr>
        <w:tc>
          <w:tcPr>
            <w:tcW w:type="dxa" w:w="4320"/>
          </w:tcPr>
          <w:p>
            <w:r>
              <w:rPr>
                <w:sz w:val="19"/>
              </w:rPr>
            </w:r>
            <w:r>
              <w:rPr>
                <w:sz w:val="19"/>
              </w:rPr>
              <w:t>TDS Payable</w:t>
            </w:r>
          </w:p>
        </w:tc>
        <w:tc>
          <w:tcPr>
            <w:tcW w:type="dxa" w:w="4320"/>
          </w:tcPr>
          <w:p>
            <w:r>
              <w:rPr>
                <w:sz w:val="19"/>
              </w:rPr>
            </w:r>
            <w:r>
              <w:rPr>
                <w:sz w:val="19"/>
              </w:rPr>
              <w:t>11,200.00</w:t>
            </w:r>
          </w:p>
        </w:tc>
      </w:tr>
      <w:tr>
        <w:tc>
          <w:tcPr>
            <w:tcW w:type="dxa" w:w="4320"/>
          </w:tcPr>
          <w:p>
            <w:r>
              <w:rPr>
                <w:sz w:val="19"/>
              </w:rPr>
            </w:r>
            <w:r>
              <w:rPr>
                <w:sz w:val="19"/>
              </w:rPr>
              <w:t>Trial Balance difference</w:t>
            </w:r>
          </w:p>
        </w:tc>
        <w:tc>
          <w:tcPr>
            <w:tcW w:type="dxa" w:w="4320"/>
          </w:tcPr>
          <w:p>
            <w:r>
              <w:rPr>
                <w:sz w:val="19"/>
              </w:rPr>
            </w:r>
            <w:r>
              <w:rPr>
                <w:sz w:val="19"/>
              </w:rPr>
              <w:t>0.0000</w:t>
            </w:r>
          </w:p>
        </w:tc>
      </w:tr>
      <w:tr>
        <w:tc>
          <w:tcPr>
            <w:tcW w:type="dxa" w:w="4320"/>
          </w:tcPr>
          <w:p>
            <w:r>
              <w:rPr>
                <w:sz w:val="19"/>
              </w:rPr>
            </w:r>
            <w:r>
              <w:rPr>
                <w:sz w:val="19"/>
              </w:rPr>
              <w:t>Total assets</w:t>
            </w:r>
          </w:p>
        </w:tc>
        <w:tc>
          <w:tcPr>
            <w:tcW w:type="dxa" w:w="4320"/>
          </w:tcPr>
          <w:p>
            <w:r>
              <w:rPr>
                <w:sz w:val="19"/>
              </w:rPr>
            </w:r>
            <w:r>
              <w:rPr>
                <w:sz w:val="19"/>
              </w:rPr>
              <w:t>403,980.00</w:t>
            </w:r>
          </w:p>
        </w:tc>
      </w:tr>
    </w:tbl>
    <w:p/>
    <w:p>
      <w:pPr>
        <w:pStyle w:val="Heading1"/>
      </w:pPr>
      <w:r>
        <w:rPr>
          <w:color w:val="0F172A"/>
        </w:rPr>
        <w:t>Step 8 — Receipts &amp; Payments: follow the money</w:t>
      </w:r>
    </w:p>
    <w:p>
      <w:r>
        <w:t xml:space="preserve">The Step 3 sale put 1,500 on Karim Enterprise's tab; the Step 1 purchase put 4,200 on yours. Nothing has been paid yet. </w:t>
      </w:r>
      <w:r>
        <w:rPr>
          <w:b/>
        </w:rPr>
        <w:t>Receipts &amp; Payments</w:t>
      </w:r>
      <w:r>
        <w:t xml:space="preserve"> settles those tabs.</w:t>
      </w:r>
    </w:p>
    <w:p>
      <w:pPr>
        <w:pStyle w:val="Heading2"/>
      </w:pPr>
      <w:r>
        <w:rPr>
          <w:color w:val="0F172A"/>
        </w:rPr>
        <w:t>8a — Record the receipt</w:t>
      </w:r>
    </w:p>
    <w:p>
      <w:pPr>
        <w:pStyle w:val="ListNumber"/>
        <w:spacing w:after="40"/>
      </w:pPr>
      <w:r>
        <w:t xml:space="preserve">Open </w:t>
      </w:r>
      <w:r>
        <w:rPr>
          <w:b/>
        </w:rPr>
        <w:t>Receipts &amp; Payments</w:t>
      </w:r>
      <w:r>
        <w:t xml:space="preserve"> and click </w:t>
      </w:r>
      <w:r>
        <w:rPr>
          <w:b/>
        </w:rPr>
        <w:t>Receive money</w:t>
      </w:r>
      <w:r>
        <w:t>. A **New receipt or</w:t>
      </w:r>
    </w:p>
    <w:p>
      <w:r>
        <w:t>payment** form opens with Type set to *Receipt — money in*.</w:t>
      </w:r>
    </w:p>
    <w:p>
      <w:pPr>
        <w:pStyle w:val="ListNumber"/>
        <w:spacing w:after="40"/>
      </w:pPr>
      <w:r>
        <w:rPr>
          <w:b/>
        </w:rPr>
        <w:t>Customer:</w:t>
      </w:r>
      <w:r>
        <w:t xml:space="preserve"> select </w:t>
      </w:r>
      <w:r>
        <w:rPr>
          <w:rFonts w:ascii="Consolas" w:hAnsi="Consolas"/>
          <w:color w:val="1D4ED8"/>
          <w:sz w:val="19"/>
        </w:rPr>
        <w:t>Karim Enterprise</w:t>
      </w:r>
      <w:r>
        <w:t xml:space="preserve"> — the </w:t>
      </w:r>
      <w:r>
        <w:rPr>
          <w:b/>
        </w:rPr>
        <w:t>Invoices this settles</w:t>
      </w:r>
    </w:p>
    <w:p>
      <w:r>
        <w:t xml:space="preserve">section now lists the Step 3 sale with </w:t>
      </w:r>
      <w:r>
        <w:rPr>
          <w:b/>
        </w:rPr>
        <w:t>1,500.00 outstanding</w:t>
      </w:r>
      <w:r>
        <w:t>, because the sale was linked to that party record back in Step 3.</w:t>
      </w:r>
    </w:p>
    <w:p>
      <w:pPr>
        <w:pStyle w:val="ListNumber"/>
        <w:spacing w:after="40"/>
      </w:pPr>
      <w:r>
        <w:rPr>
          <w:b/>
        </w:rPr>
        <w:t>Date:</w:t>
      </w:r>
      <w:r>
        <w:t xml:space="preserve"> </w:t>
      </w:r>
      <w:r>
        <w:rPr>
          <w:rFonts w:ascii="Consolas" w:hAnsi="Consolas"/>
          <w:color w:val="1D4ED8"/>
          <w:sz w:val="19"/>
        </w:rPr>
        <w:t>2026-02-10</w:t>
      </w:r>
      <w:r>
        <w:t xml:space="preserve">. </w:t>
      </w:r>
      <w:r>
        <w:rPr>
          <w:b/>
        </w:rPr>
        <w:t>Amount:</w:t>
      </w:r>
      <w:r>
        <w:t xml:space="preserve"> </w:t>
      </w:r>
      <w:r>
        <w:rPr>
          <w:rFonts w:ascii="Consolas" w:hAnsi="Consolas"/>
          <w:color w:val="1D4ED8"/>
          <w:sz w:val="19"/>
        </w:rPr>
        <w:t>1500</w:t>
      </w:r>
      <w:r>
        <w:t xml:space="preserve">. Leave the account as </w:t>
      </w:r>
      <w:r>
        <w:rPr>
          <w:b/>
        </w:rPr>
        <w:t>1010</w:t>
      </w:r>
      <w:r>
        <w:t>.</w:t>
      </w:r>
    </w:p>
    <w:p>
      <w:pPr>
        <w:pStyle w:val="ListNumber"/>
        <w:spacing w:after="40"/>
      </w:pPr>
      <w:r>
        <w:t xml:space="preserve">The amount allocates itself to the invoice. Click </w:t>
      </w:r>
      <w:r>
        <w:rPr>
          <w:b/>
        </w:rPr>
        <w:t>Record</w:t>
      </w:r>
      <w:r>
        <w:t>.</w:t>
      </w:r>
    </w:p>
    <w:p>
      <w:r>
        <w:rPr>
          <w:b/>
        </w:rPr>
        <w:t>Expected.</w:t>
      </w:r>
      <w:r>
        <w:t xml:space="preserve"> A message such as *"RCV-001 recorded against Karim Enterprise."* The 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Cash and Bank (1010)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Accounts Receivable (1100)</w:t>
            </w:r>
          </w:p>
        </w:tc>
        <w:tc>
          <w:tcPr>
            <w:tcW w:type="dxa" w:w="2880"/>
          </w:tcPr>
          <w:p>
            <w:r>
              <w:rPr>
                <w:sz w:val="19"/>
              </w:rPr>
            </w:r>
            <w:r>
              <w:rPr>
                <w:sz w:val="19"/>
              </w:rPr>
              <w:t>—</w:t>
            </w:r>
          </w:p>
        </w:tc>
        <w:tc>
          <w:tcPr>
            <w:tcW w:type="dxa" w:w="2880"/>
          </w:tcPr>
          <w:p>
            <w:r>
              <w:rPr>
                <w:sz w:val="19"/>
              </w:rPr>
            </w:r>
            <w:r>
              <w:rPr>
                <w:sz w:val="19"/>
              </w:rPr>
              <w:t>1,500</w:t>
            </w:r>
          </w:p>
        </w:tc>
      </w:tr>
    </w:tbl>
    <w:p/>
    <w:p>
      <w:r>
        <w:rPr>
          <w:b/>
        </w:rPr>
        <w:t>Checkpoint:</w:t>
      </w:r>
      <w:r>
        <w:t xml:space="preserve"> Bank is now </w:t>
      </w:r>
      <w:r>
        <w:rPr>
          <w:b/>
        </w:rPr>
        <w:t>394,400.00</w:t>
      </w:r>
      <w:r>
        <w:t xml:space="preserve">; the receivable is </w:t>
      </w:r>
      <w:r>
        <w:rPr>
          <w:b/>
        </w:rPr>
        <w:t>0</w:t>
      </w:r>
      <w:r>
        <w:t>. Total assets are unchanged at 403,980.00 — cash simply replaced the IOU.</w:t>
      </w:r>
    </w:p>
    <w:p>
      <w:pPr>
        <w:pStyle w:val="Heading2"/>
      </w:pPr>
      <w:r>
        <w:rPr>
          <w:color w:val="0F172A"/>
        </w:rPr>
        <w:t>8b — Record the payment</w:t>
      </w:r>
    </w:p>
    <w:p>
      <w:pPr>
        <w:pStyle w:val="ListNumber"/>
        <w:spacing w:after="40"/>
      </w:pPr>
      <w:r>
        <w:t xml:space="preserve">Click </w:t>
      </w:r>
      <w:r>
        <w:rPr>
          <w:b/>
        </w:rPr>
        <w:t>Pay supplier</w:t>
      </w:r>
      <w:r>
        <w:t>. Type is now *Payment — money out*.</w:t>
      </w:r>
    </w:p>
    <w:p>
      <w:pPr>
        <w:pStyle w:val="ListNumber"/>
        <w:spacing w:after="40"/>
      </w:pPr>
      <w:r>
        <w:rPr>
          <w:b/>
        </w:rPr>
        <w:t>Supplier:</w:t>
      </w:r>
      <w:r>
        <w:t xml:space="preserve"> select </w:t>
      </w:r>
      <w:r>
        <w:rPr>
          <w:rFonts w:ascii="Consolas" w:hAnsi="Consolas"/>
          <w:color w:val="1D4ED8"/>
          <w:sz w:val="19"/>
        </w:rPr>
        <w:t>Sample Supplier</w:t>
      </w:r>
      <w:r>
        <w:t xml:space="preserve"> — outstanding </w:t>
      </w:r>
      <w:r>
        <w:rPr>
          <w:b/>
        </w:rPr>
        <w:t>4,200.00</w:t>
      </w:r>
      <w:r>
        <w:t>.</w:t>
      </w:r>
    </w:p>
    <w:p>
      <w:pPr>
        <w:pStyle w:val="ListNumber"/>
        <w:spacing w:after="40"/>
      </w:pPr>
      <w:r>
        <w:rPr>
          <w:b/>
        </w:rPr>
        <w:t>Date:</w:t>
      </w:r>
      <w:r>
        <w:t xml:space="preserve"> </w:t>
      </w:r>
      <w:r>
        <w:rPr>
          <w:rFonts w:ascii="Consolas" w:hAnsi="Consolas"/>
          <w:color w:val="1D4ED8"/>
          <w:sz w:val="19"/>
        </w:rPr>
        <w:t>2026-02-12</w:t>
      </w:r>
      <w:r>
        <w:t xml:space="preserve">. </w:t>
      </w:r>
      <w:r>
        <w:rPr>
          <w:b/>
        </w:rPr>
        <w:t>Amount:</w:t>
      </w:r>
      <w:r>
        <w:t xml:space="preserve"> </w:t>
      </w:r>
      <w:r>
        <w:rPr>
          <w:rFonts w:ascii="Consolas" w:hAnsi="Consolas"/>
          <w:color w:val="1D4ED8"/>
          <w:sz w:val="19"/>
        </w:rPr>
        <w:t>4200</w:t>
      </w:r>
      <w:r>
        <w:t xml:space="preserve">. Click </w:t>
      </w:r>
      <w:r>
        <w:rPr>
          <w:b/>
        </w:rPr>
        <w:t>Record</w:t>
      </w:r>
      <w:r>
        <w:t>.</w:t>
      </w:r>
    </w:p>
    <w:p>
      <w:r>
        <w:rPr>
          <w:b/>
        </w:rPr>
        <w:t>Expected.</w:t>
      </w:r>
      <w:r>
        <w:t xml:space="preserve"> *"PMT-001 recorded against Sample Supplier."*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Payable — Local (2010)</w:t>
            </w:r>
          </w:p>
        </w:tc>
        <w:tc>
          <w:tcPr>
            <w:tcW w:type="dxa" w:w="2880"/>
          </w:tcPr>
          <w:p>
            <w:r>
              <w:rPr>
                <w:sz w:val="19"/>
              </w:rPr>
            </w:r>
            <w:r>
              <w:rPr>
                <w:sz w:val="19"/>
              </w:rPr>
              <w:t>4,200</w:t>
            </w:r>
          </w:p>
        </w:tc>
        <w:tc>
          <w:tcPr>
            <w:tcW w:type="dxa" w:w="2880"/>
          </w:tcPr>
          <w:p>
            <w:r>
              <w:rPr>
                <w:sz w:val="19"/>
              </w:rPr>
            </w:r>
            <w:r>
              <w:rPr>
                <w:sz w:val="19"/>
              </w:rPr>
              <w:t>—</w:t>
            </w:r>
          </w:p>
        </w:tc>
      </w:tr>
      <w:tr>
        <w:tc>
          <w:tcPr>
            <w:tcW w:type="dxa" w:w="2880"/>
          </w:tcPr>
          <w:p>
            <w:r>
              <w:rPr>
                <w:sz w:val="19"/>
              </w:rPr>
            </w:r>
            <w:r>
              <w:rPr>
                <w:sz w:val="19"/>
              </w:rPr>
              <w:t>Cash and Bank (1010)</w:t>
            </w:r>
          </w:p>
        </w:tc>
        <w:tc>
          <w:tcPr>
            <w:tcW w:type="dxa" w:w="2880"/>
          </w:tcPr>
          <w:p>
            <w:r>
              <w:rPr>
                <w:sz w:val="19"/>
              </w:rPr>
            </w:r>
            <w:r>
              <w:rPr>
                <w:sz w:val="19"/>
              </w:rPr>
              <w:t>—</w:t>
            </w:r>
          </w:p>
        </w:tc>
        <w:tc>
          <w:tcPr>
            <w:tcW w:type="dxa" w:w="2880"/>
          </w:tcPr>
          <w:p>
            <w:r>
              <w:rPr>
                <w:sz w:val="19"/>
              </w:rPr>
            </w:r>
            <w:r>
              <w:rPr>
                <w:sz w:val="19"/>
              </w:rPr>
              <w:t>4,200</w:t>
            </w:r>
          </w:p>
        </w:tc>
      </w:tr>
    </w:tbl>
    <w:p/>
    <w:p>
      <w:r>
        <w:rPr>
          <w:b/>
        </w:rPr>
        <w:t>Checkpoint:</w:t>
      </w:r>
      <w:r>
        <w:t xml:space="preserve"> Bank is now </w:t>
      </w:r>
      <w:r>
        <w:rPr>
          <w:b/>
        </w:rPr>
        <w:t>390,200.00</w:t>
      </w:r>
      <w:r>
        <w:t xml:space="preserve">; the payable is </w:t>
      </w:r>
      <w:r>
        <w:rPr>
          <w:b/>
        </w:rPr>
        <w:t>0</w:t>
      </w:r>
      <w:r>
        <w:t xml:space="preserve">. Total assets are </w:t>
      </w:r>
      <w:r>
        <w:rPr>
          <w:b/>
        </w:rPr>
        <w:t>399,780.00</w:t>
      </w:r>
      <w:r>
        <w:t xml:space="preserve"> (money left the business); trial balance still </w:t>
      </w:r>
      <w:r>
        <w:rPr>
          <w:rFonts w:ascii="Consolas" w:hAnsi="Consolas"/>
          <w:color w:val="1D4ED8"/>
          <w:sz w:val="19"/>
        </w:rPr>
        <w:t>0.0000</w:t>
      </w:r>
      <w:r>
        <w:t>.</w:t>
      </w:r>
    </w:p>
    <w:p>
      <w:pPr>
        <w:spacing w:before="80" w:after="160"/>
        <w:ind w:left="240"/>
        <w:shd w:val="clear" w:color="auto" w:fill="F4F6F8"/>
      </w:pPr>
      <w:r>
        <w:t xml:space="preserve">If you enter more than the outstanding invoices, the extra is </w:t>
      </w:r>
      <w:r>
        <w:rPr>
          <w:b/>
        </w:rPr>
        <w:t>held on account</w:t>
      </w:r>
      <w:r>
        <w:t xml:space="preserve"> for that party — the message tells you how much. It is not lost; the next invoice picks it up.</w:t>
      </w:r>
    </w:p>
    <w:p>
      <w:pPr>
        <w:pStyle w:val="Heading1"/>
      </w:pPr>
      <w:r>
        <w:rPr>
          <w:color w:val="0F172A"/>
        </w:rPr>
        <w:t>Step 9 — Read the reports</w:t>
      </w:r>
    </w:p>
    <w:p>
      <w:r>
        <w:t xml:space="preserve">With the money moved, walk the reports. Keep the </w:t>
      </w:r>
      <w:r>
        <w:rPr>
          <w:b/>
        </w:rPr>
        <w:t>As of</w:t>
      </w:r>
      <w:r>
        <w:t xml:space="preserve"> date at </w:t>
      </w:r>
      <w:r>
        <w:rPr>
          <w:rFonts w:ascii="Consolas" w:hAnsi="Consolas"/>
          <w:color w:val="1D4ED8"/>
          <w:sz w:val="19"/>
        </w:rPr>
        <w:t>28/02/2026</w:t>
      </w:r>
      <w:r>
        <w:t xml:space="preserve"> unless a step says otherwise.</w:t>
      </w:r>
    </w:p>
    <w:p>
      <w:pPr>
        <w:pStyle w:val="Heading2"/>
      </w:pPr>
      <w:r>
        <w:rPr>
          <w:color w:val="0F172A"/>
        </w:rPr>
        <w:t>Dashboard</w:t>
      </w:r>
    </w:p>
    <w:p>
      <w:r>
        <w:rPr>
          <w:b/>
        </w:rPr>
        <w:t>Position at a glance</w:t>
      </w:r>
      <w:r>
        <w:t xml:space="preserve"> should read: Total assets 399,780.00, Total liabilities 11,200.00 (only TDS now), Owner's equity 500,000.00, Current period profit −111,420.00. Yes, negative — one small sale against a full month's payroll. The books are honest even when the news isn't. The </w:t>
      </w:r>
      <w:r>
        <w:rPr>
          <w:b/>
        </w:rPr>
        <w:t>Data integrity</w:t>
      </w:r>
      <w:r>
        <w:t xml:space="preserve"> card shows four ticks.</w:t>
      </w:r>
    </w:p>
    <w:p>
      <w:pPr>
        <w:pStyle w:val="Heading2"/>
      </w:pPr>
      <w:r>
        <w:rPr>
          <w:color w:val="0F172A"/>
        </w:rPr>
        <w:t>Trial Balance → General Ledger</w:t>
      </w:r>
    </w:p>
    <w:p>
      <w:r>
        <w:t xml:space="preserve">Open </w:t>
      </w:r>
      <w:r>
        <w:rPr>
          <w:b/>
        </w:rPr>
        <w:t>Reports → Trial Balance</w:t>
      </w:r>
      <w:r>
        <w:t xml:space="preserve">, then open account </w:t>
      </w:r>
      <w:r>
        <w:rPr>
          <w:b/>
        </w:rPr>
        <w:t>1010</w:t>
      </w:r>
      <w:r>
        <w:t xml:space="preserve"> in </w:t>
      </w:r>
      <w:r>
        <w:rPr>
          <w:b/>
        </w:rPr>
        <w:t>General Ledger</w:t>
      </w:r>
      <w:r>
        <w:t>. Every bank movement from Steps 1–8 is there as its own line: the 300 of production labour, the 100,800 of payroll, the 1,500 receipt, the 4,200 payment. The ledger is the journal entries, flattened — this is where you come when a figure looks wrong and you want to see exactly what posted it.</w:t>
      </w:r>
    </w:p>
    <w:p>
      <w:pPr>
        <w:pStyle w:val="Heading2"/>
      </w:pPr>
      <w:r>
        <w:rPr>
          <w:color w:val="0F172A"/>
        </w:rPr>
        <w:t>Balance Sheet</w:t>
      </w:r>
    </w:p>
    <w:p>
      <w:r>
        <w:rPr>
          <w:b/>
        </w:rPr>
        <w:t>Reports → Balance Sheet.</w:t>
      </w:r>
      <w:r>
        <w:t xml:space="preserve"> The check reads </w:t>
      </w:r>
      <w:r>
        <w:rPr>
          <w:rFonts w:ascii="Consolas" w:hAnsi="Consolas"/>
          <w:color w:val="1D4ED8"/>
          <w:sz w:val="19"/>
        </w:rPr>
        <w:t>0.00</w:t>
      </w:r>
      <w:r>
        <w:t xml:space="preserve">. Note the </w:t>
      </w:r>
      <w:r>
        <w:rPr>
          <w:b/>
        </w:rPr>
        <w:t>Retained earnings</w:t>
      </w:r>
      <w:r>
        <w:t xml:space="preserve"> line: </w:t>
      </w:r>
      <w:r>
        <w:rPr>
          <w:rFonts w:ascii="Consolas" w:hAnsi="Consolas"/>
          <w:color w:val="1D4ED8"/>
          <w:sz w:val="19"/>
        </w:rPr>
        <w:t>0.00</w:t>
      </w:r>
      <w:r>
        <w:t>, because everything happened in 2026 and there is no earlier profit to carry. If you ever see this sheet out of balance, look here first — profit earned before the current year lives in that line.</w:t>
      </w:r>
    </w:p>
    <w:p>
      <w:pPr>
        <w:pStyle w:val="Heading2"/>
      </w:pPr>
      <w:r>
        <w:rPr>
          <w:color w:val="0F172A"/>
        </w:rPr>
        <w:t>Period Comparison</w:t>
      </w:r>
    </w:p>
    <w:p>
      <w:r>
        <w:rPr>
          <w:b/>
        </w:rPr>
        <w:t>Reports → Period Comparison.</w:t>
      </w:r>
      <w:r>
        <w:t xml:space="preserve"> Compare </w:t>
      </w:r>
      <w:r>
        <w:rPr>
          <w:b/>
        </w:rPr>
        <w:t>Jan 2026</w:t>
      </w:r>
      <w:r>
        <w:t xml:space="preserve"> against </w:t>
      </w:r>
      <w:r>
        <w:rPr>
          <w:b/>
        </w:rPr>
        <w:t>Feb 2026</w:t>
      </w:r>
      <w:r>
        <w:t xml:space="preserve">. January shows the sale (revenue 1,500, COGS 920, gross profit 580); February is quiet — and the payroll expense appears in *neither*, because it posts on its </w:t>
      </w:r>
      <w:r>
        <w:rPr>
          <w:b/>
        </w:rPr>
        <w:t>pay date</w:t>
      </w:r>
      <w:r>
        <w:t xml:space="preserve"> (5 March), not in the month the work was done. Worth knowing: in this system, an expense hits the books when it is paid.</w:t>
      </w:r>
    </w:p>
    <w:p>
      <w:pPr>
        <w:pStyle w:val="Heading2"/>
      </w:pPr>
      <w:r>
        <w:rPr>
          <w:color w:val="0F172A"/>
        </w:rPr>
        <w:t>Low Stock</w:t>
      </w:r>
    </w:p>
    <w:p>
      <w:r>
        <w:rPr>
          <w:b/>
        </w:rPr>
        <w:t>Reports → Low Stock</w:t>
      </w:r>
      <w:r>
        <w:t xml:space="preserve"> is empty — nothing is being watched yet. Open </w:t>
      </w:r>
      <w:r>
        <w:rPr>
          <w:b/>
        </w:rPr>
        <w:t>Inventory &amp; BOM</w:t>
      </w:r>
      <w:r>
        <w:t xml:space="preserve">, edit </w:t>
      </w:r>
      <w:r>
        <w:rPr>
          <w:rFonts w:ascii="Consolas" w:hAnsi="Consolas"/>
          <w:color w:val="1D4ED8"/>
          <w:sz w:val="19"/>
        </w:rPr>
        <w:t>RM-100</w:t>
      </w:r>
      <w:r>
        <w:t xml:space="preserve">, and set its </w:t>
      </w:r>
      <w:r>
        <w:rPr>
          <w:b/>
        </w:rPr>
        <w:t>reorder level</w:t>
      </w:r>
      <w:r>
        <w:t xml:space="preserve"> to </w:t>
      </w:r>
      <w:r>
        <w:rPr>
          <w:rFonts w:ascii="Consolas" w:hAnsi="Consolas"/>
          <w:color w:val="1D4ED8"/>
          <w:sz w:val="19"/>
        </w:rPr>
        <w:t>500</w:t>
      </w:r>
      <w:r>
        <w:t xml:space="preserve">. Back on Low Stock, </w:t>
      </w:r>
      <w:r>
        <w:rPr>
          <w:rFonts w:ascii="Consolas" w:hAnsi="Consolas"/>
          <w:color w:val="1D4ED8"/>
          <w:sz w:val="19"/>
        </w:rPr>
        <w:t>RM-100</w:t>
      </w:r>
      <w:r>
        <w:t xml:space="preserve"> appears: 140 on hand against a 500 level. A blank level means "not watched".</w:t>
      </w:r>
    </w:p>
    <w:p>
      <w:pPr>
        <w:pStyle w:val="Heading1"/>
      </w:pPr>
      <w:r>
        <w:rPr>
          <w:color w:val="0F172A"/>
        </w:rPr>
        <w:t>Step 10 — A manual journal entry (via the API)</w:t>
      </w:r>
    </w:p>
    <w:p>
      <w:r>
        <w:t>Everything so far was posted by an entry screen. Sometimes the books need a hand-written adjustment — say 800 of office stationery bought for cash, with no purchase invoice. The Journal page lists entries but has no entry form, so adjustments go through the API. Replace the address and the credentials with your own:</w:t>
      </w:r>
    </w:p>
    <w:p>
      <w:pPr>
        <w:spacing w:before="120" w:after="200"/>
        <w:ind w:left="160"/>
        <w:shd w:val="clear" w:color="auto" w:fill="F4F6F8"/>
      </w:pPr>
      <w:r>
        <w:rPr>
          <w:rFonts w:ascii="Consolas" w:hAnsi="Consolas"/>
          <w:sz w:val="18"/>
        </w:rPr>
        <w:t>SITE=https://103.51.129.98.sslip.io</w:t>
      </w:r>
      <w:r>
        <w:br/>
      </w:r>
      <w:r>
        <w:rPr>
          <w:rFonts w:ascii="Consolas" w:hAnsi="Consolas"/>
          <w:sz w:val="18"/>
        </w:rPr>
      </w:r>
      <w:r>
        <w:br/>
      </w:r>
      <w:r>
        <w:rPr>
          <w:rFonts w:ascii="Consolas" w:hAnsi="Consolas"/>
          <w:sz w:val="18"/>
        </w:rPr>
        <w:t>TOKEN=$(curl -s -X POST $SITE/api/auth/login \</w:t>
      </w:r>
      <w:r>
        <w:br/>
      </w:r>
      <w:r>
        <w:rPr>
          <w:rFonts w:ascii="Consolas" w:hAnsi="Consolas"/>
          <w:sz w:val="18"/>
        </w:rPr>
        <w:t xml:space="preserve">  -H "Content-Type: application/json" \</w:t>
      </w:r>
      <w:r>
        <w:br/>
      </w:r>
      <w:r>
        <w:rPr>
          <w:rFonts w:ascii="Consolas" w:hAnsi="Consolas"/>
          <w:sz w:val="18"/>
        </w:rPr>
        <w:t xml:space="preserve">  -d '{"email":"admin@example.com","password":"YOUR-PASSWORD"}' \</w:t>
      </w:r>
      <w:r>
        <w:br/>
      </w:r>
      <w:r>
        <w:rPr>
          <w:rFonts w:ascii="Consolas" w:hAnsi="Consolas"/>
          <w:sz w:val="18"/>
        </w:rPr>
        <w:t xml:space="preserve">  | python3 -c "import sys,json; print(json.load(sys.stdin)['access_token'])")</w:t>
      </w:r>
      <w:r>
        <w:br/>
      </w:r>
      <w:r>
        <w:rPr>
          <w:rFonts w:ascii="Consolas" w:hAnsi="Consolas"/>
          <w:sz w:val="18"/>
        </w:rPr>
      </w:r>
      <w:r>
        <w:br/>
      </w:r>
      <w:r>
        <w:rPr>
          <w:rFonts w:ascii="Consolas" w:hAnsi="Consolas"/>
          <w:sz w:val="18"/>
        </w:rPr>
        <w:t>curl -s -X POST $SITE/api/journal-entries \</w:t>
      </w:r>
      <w:r>
        <w:br/>
      </w:r>
      <w:r>
        <w:rPr>
          <w:rFonts w:ascii="Consolas" w:hAnsi="Consolas"/>
          <w:sz w:val="18"/>
        </w:rPr>
        <w:t xml:space="preserve">  -H "Authorization: Bearer $TOKEN" -H "Content-Type: application/json" -d '{</w:t>
      </w:r>
      <w:r>
        <w:br/>
      </w:r>
      <w:r>
        <w:rPr>
          <w:rFonts w:ascii="Consolas" w:hAnsi="Consolas"/>
          <w:sz w:val="18"/>
        </w:rPr>
        <w:t xml:space="preserve">    "voucher_no": "JRN-001",</w:t>
      </w:r>
      <w:r>
        <w:br/>
      </w:r>
      <w:r>
        <w:rPr>
          <w:rFonts w:ascii="Consolas" w:hAnsi="Consolas"/>
          <w:sz w:val="18"/>
        </w:rPr>
        <w:t xml:space="preserve">    "entry_date": "2026-03-15",</w:t>
      </w:r>
      <w:r>
        <w:br/>
      </w:r>
      <w:r>
        <w:rPr>
          <w:rFonts w:ascii="Consolas" w:hAnsi="Consolas"/>
          <w:sz w:val="18"/>
        </w:rPr>
        <w:t xml:space="preserve">    "narration": "Office stationery, paid in cash",</w:t>
      </w:r>
      <w:r>
        <w:br/>
      </w:r>
      <w:r>
        <w:rPr>
          <w:rFonts w:ascii="Consolas" w:hAnsi="Consolas"/>
          <w:sz w:val="18"/>
        </w:rPr>
        <w:t xml:space="preserve">    "lines": [</w:t>
      </w:r>
      <w:r>
        <w:br/>
      </w:r>
      <w:r>
        <w:rPr>
          <w:rFonts w:ascii="Consolas" w:hAnsi="Consolas"/>
          <w:sz w:val="18"/>
        </w:rPr>
        <w:t xml:space="preserve">      {"account_code": "6000", "segment": "Shared", "debit": "800"},</w:t>
      </w:r>
      <w:r>
        <w:br/>
      </w:r>
      <w:r>
        <w:rPr>
          <w:rFonts w:ascii="Consolas" w:hAnsi="Consolas"/>
          <w:sz w:val="18"/>
        </w:rPr>
        <w:t xml:space="preserve">      {"account_code": "1010", "segment": "Shared", "credit": "800"}</w:t>
      </w:r>
      <w:r>
        <w:br/>
      </w:r>
      <w:r>
        <w:rPr>
          <w:rFonts w:ascii="Consolas" w:hAnsi="Consolas"/>
          <w:sz w:val="18"/>
        </w:rPr>
        <w:t xml:space="preserve">    ]</w:t>
      </w:r>
      <w:r>
        <w:br/>
      </w:r>
      <w:r>
        <w:rPr>
          <w:rFonts w:ascii="Consolas" w:hAnsi="Consolas"/>
          <w:sz w:val="18"/>
        </w:rPr>
        <w:t xml:space="preserve">  }'</w:t>
      </w:r>
    </w:p>
    <w:p>
      <w:pPr>
        <w:spacing w:before="80" w:after="160"/>
        <w:ind w:left="240"/>
        <w:shd w:val="clear" w:color="auto" w:fill="F4F6F8"/>
      </w:pPr>
      <w:r>
        <w:t xml:space="preserve">This step needs a network path to the API. On a deployment with </w:t>
      </w:r>
      <w:r>
        <w:rPr>
          <w:rFonts w:ascii="Consolas" w:hAnsi="Consolas"/>
          <w:color w:val="1D4ED8"/>
          <w:sz w:val="19"/>
        </w:rPr>
        <w:t>RPCI_DOCS_ENABLED=false</w:t>
      </w:r>
      <w:r>
        <w:t xml:space="preserve"> the interactive docs pages are gone, but the API itself works normally — the </w:t>
      </w:r>
      <w:r>
        <w:rPr>
          <w:rFonts w:ascii="Consolas" w:hAnsi="Consolas"/>
          <w:color w:val="1D4ED8"/>
          <w:sz w:val="19"/>
        </w:rPr>
        <w:t>curl</w:t>
      </w:r>
      <w:r>
        <w:t xml:space="preserve"> commands above are unaffected.</w:t>
      </w:r>
    </w:p>
    <w:p>
      <w:r>
        <w:rPr>
          <w:b/>
        </w:rPr>
        <w:t>Expected.</w:t>
      </w:r>
      <w:r>
        <w:t xml:space="preserve"> A </w:t>
      </w:r>
      <w:r>
        <w:rPr>
          <w:rFonts w:ascii="Consolas" w:hAnsi="Consolas"/>
          <w:color w:val="1D4ED8"/>
          <w:sz w:val="19"/>
        </w:rPr>
        <w:t>201</w:t>
      </w:r>
      <w:r>
        <w:t xml:space="preserve">, and the entry appears in </w:t>
      </w:r>
      <w:r>
        <w:rPr>
          <w:b/>
        </w:rPr>
        <w:t>Journal Entries</w:t>
      </w:r>
      <w:r>
        <w:t xml:space="preserve"> as </w:t>
      </w:r>
      <w:r>
        <w:rPr>
          <w:rFonts w:ascii="Consolas" w:hAnsi="Consolas"/>
          <w:color w:val="1D4ED8"/>
          <w:sz w:val="19"/>
        </w:rPr>
        <w:t>JRN-001</w:t>
      </w:r>
      <w:r>
        <w:t>. The same rules apply as everywhere else: debits must equal credits, the voucher number must be unique, and the date must fall in an open period — break any of them and the API refuses with a plain message.</w:t>
      </w:r>
    </w:p>
    <w:p>
      <w:r>
        <w:rPr>
          <w:b/>
        </w:rPr>
        <w:t>Checkpoint:</w:t>
      </w:r>
      <w:r>
        <w:t xml:space="preserve"> Bank </w:t>
      </w:r>
      <w:r>
        <w:rPr>
          <w:b/>
        </w:rPr>
        <w:t>389,400.00</w:t>
      </w:r>
      <w:r>
        <w:t xml:space="preserve">; trial balance </w:t>
      </w:r>
      <w:r>
        <w:rPr>
          <w:rFonts w:ascii="Consolas" w:hAnsi="Consolas"/>
          <w:color w:val="1D4ED8"/>
          <w:sz w:val="19"/>
        </w:rPr>
        <w:t>0.0000</w:t>
      </w:r>
      <w:r>
        <w:t>. On the Dashboard, operating expenses for the period rise by 800.</w:t>
      </w:r>
    </w:p>
    <w:p>
      <w:pPr>
        <w:pStyle w:val="Heading1"/>
      </w:pPr>
      <w:r>
        <w:rPr>
          <w:color w:val="0F172A"/>
        </w:rPr>
        <w:t>Step 11 — Who gets to do what: the roles tour</w:t>
      </w:r>
    </w:p>
    <w:p>
      <w:r>
        <w:t xml:space="preserve">Sign out and sign in as each of the accounts you created in </w:t>
      </w:r>
      <w:r>
        <w:rPr>
          <w:b/>
        </w:rPr>
        <w:t>Before you start</w:t>
      </w:r>
      <w:r>
        <w:t>. What changes is the menu — and the server enforces it too, so a hidden screen stays closed even if you type its address.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Sign in as</w:t>
            </w:r>
          </w:p>
        </w:tc>
        <w:tc>
          <w:tcPr>
            <w:tcW w:type="dxa" w:w="4320"/>
            <w:shd w:val="clear" w:color="auto" w:fill="F1F5F9"/>
          </w:tcPr>
          <w:p>
            <w:r>
              <w:rPr>
                <w:b/>
                <w:sz w:val="19"/>
              </w:rPr>
            </w:r>
            <w:r>
              <w:rPr>
                <w:b/>
                <w:sz w:val="19"/>
              </w:rPr>
              <w:t>What you get</w:t>
            </w:r>
          </w:p>
        </w:tc>
      </w:tr>
      <w:tr>
        <w:tc>
          <w:tcPr>
            <w:tcW w:type="dxa" w:w="4320"/>
          </w:tcPr>
          <w:p>
            <w:r>
              <w:rPr>
                <w:sz w:val="19"/>
              </w:rPr>
            </w:r>
            <w:r>
              <w:rPr>
                <w:b/>
                <w:sz w:val="19"/>
              </w:rPr>
              <w:t>Accountant</w:t>
            </w:r>
          </w:p>
        </w:tc>
        <w:tc>
          <w:tcPr>
            <w:tcW w:type="dxa" w:w="4320"/>
          </w:tcPr>
          <w:p>
            <w:r>
              <w:rPr>
                <w:sz w:val="19"/>
              </w:rPr>
            </w:r>
            <w:r>
              <w:rPr>
                <w:sz w:val="19"/>
              </w:rPr>
              <w:t>No Administration group at all. Journal Entries, Parties, Receipts &amp; Payments, Payroll and Reports work fully; Chart of Accounts, Inventory &amp; BOM, Production and Purchase/Sales entries open read-only with a "View only for your role" banner.</w:t>
            </w:r>
          </w:p>
        </w:tc>
      </w:tr>
      <w:tr>
        <w:tc>
          <w:tcPr>
            <w:tcW w:type="dxa" w:w="4320"/>
          </w:tcPr>
          <w:p>
            <w:r>
              <w:rPr>
                <w:sz w:val="19"/>
              </w:rPr>
            </w:r>
            <w:r>
              <w:rPr>
                <w:b/>
                <w:sz w:val="19"/>
              </w:rPr>
              <w:t>Store/Production Staff</w:t>
            </w:r>
          </w:p>
        </w:tc>
        <w:tc>
          <w:tcPr>
            <w:tcW w:type="dxa" w:w="4320"/>
          </w:tcPr>
          <w:p>
            <w:r>
              <w:rPr>
                <w:sz w:val="19"/>
              </w:rPr>
            </w:r>
            <w:r>
              <w:rPr>
                <w:sz w:val="19"/>
              </w:rPr>
              <w:t>Inventory &amp; BOM and Production Entry fully; Parties fully; Receipts &amp; Payments view-only. No journal, no sales, no payroll, no reports, no administration.</w:t>
            </w:r>
          </w:p>
        </w:tc>
      </w:tr>
      <w:tr>
        <w:tc>
          <w:tcPr>
            <w:tcW w:type="dxa" w:w="4320"/>
          </w:tcPr>
          <w:p>
            <w:r>
              <w:rPr>
                <w:sz w:val="19"/>
              </w:rPr>
            </w:r>
            <w:r>
              <w:rPr>
                <w:b/>
                <w:sz w:val="19"/>
              </w:rPr>
              <w:t>Sales Staff</w:t>
            </w:r>
          </w:p>
        </w:tc>
        <w:tc>
          <w:tcPr>
            <w:tcW w:type="dxa" w:w="4320"/>
          </w:tcPr>
          <w:p>
            <w:r>
              <w:rPr>
                <w:sz w:val="19"/>
              </w:rPr>
            </w:r>
            <w:r>
              <w:rPr>
                <w:sz w:val="19"/>
              </w:rPr>
              <w:t>Parties and Purchase/Sales Entry fully; Inventory view-only; Receipts &amp; Payments view-only. Nothing else.</w:t>
            </w:r>
          </w:p>
        </w:tc>
      </w:tr>
      <w:tr>
        <w:tc>
          <w:tcPr>
            <w:tcW w:type="dxa" w:w="4320"/>
          </w:tcPr>
          <w:p>
            <w:r>
              <w:rPr>
                <w:sz w:val="19"/>
              </w:rPr>
            </w:r>
            <w:r>
              <w:rPr>
                <w:b/>
                <w:sz w:val="19"/>
              </w:rPr>
              <w:t>Owner/Viewer</w:t>
            </w:r>
          </w:p>
        </w:tc>
        <w:tc>
          <w:tcPr>
            <w:tcW w:type="dxa" w:w="4320"/>
          </w:tcPr>
          <w:p>
            <w:r>
              <w:rPr>
                <w:sz w:val="19"/>
              </w:rPr>
            </w:r>
            <w:r>
              <w:rPr>
                <w:sz w:val="19"/>
              </w:rPr>
              <w:t>Everything view-only, except Reports which are full. Administration opens read-only.</w:t>
            </w:r>
          </w:p>
        </w:tc>
      </w:tr>
    </w:tbl>
    <w:p/>
    <w:p>
      <w:r>
        <w:t xml:space="preserve">Try it: as Sales Staff, open </w:t>
      </w:r>
      <w:r>
        <w:rPr>
          <w:b/>
        </w:rPr>
        <w:t>Journal Entries</w:t>
      </w:r>
      <w:r>
        <w:t xml:space="preserve"> directly by adding </w:t>
      </w:r>
      <w:r>
        <w:rPr>
          <w:rFonts w:ascii="Consolas" w:hAnsi="Consolas"/>
          <w:color w:val="1D4ED8"/>
          <w:sz w:val="19"/>
        </w:rPr>
        <w:t>/journal</w:t>
      </w:r>
      <w:r>
        <w:t xml:space="preserve"> to your site address. The screen loads but offers no actions — the menu is not the security; the signed token is.</w:t>
      </w:r>
    </w:p>
    <w:p>
      <w:pPr>
        <w:pStyle w:val="Heading1"/>
      </w:pPr>
      <w:r>
        <w:rPr>
          <w:color w:val="0F172A"/>
        </w:rPr>
        <w:t>Step 12 — Parties, people, and exports</w:t>
      </w:r>
    </w:p>
    <w:p>
      <w:pPr>
        <w:pStyle w:val="ListNumber"/>
        <w:spacing w:after="40"/>
      </w:pPr>
      <w:r>
        <w:rPr>
          <w:b/>
        </w:rPr>
        <w:t>Customers &amp; Suppliers.</w:t>
      </w:r>
      <w:r>
        <w:t xml:space="preserve"> You created </w:t>
      </w:r>
      <w:r>
        <w:rPr>
          <w:rFonts w:ascii="Consolas" w:hAnsi="Consolas"/>
          <w:color w:val="1D4ED8"/>
          <w:sz w:val="19"/>
        </w:rPr>
        <w:t>Sample Supplier</w:t>
      </w:r>
      <w:r>
        <w:t xml:space="preserve"> and</w:t>
      </w:r>
    </w:p>
    <w:p>
      <w:r>
        <w:rPr>
          <w:rFonts w:ascii="Consolas" w:hAnsi="Consolas"/>
          <w:color w:val="1D4ED8"/>
          <w:sz w:val="19"/>
        </w:rPr>
        <w:t>Karim Enterprise</w:t>
      </w:r>
      <w:r>
        <w:t xml:space="preserve"> as records back in Steps 1 and 3 — that is why their invoices are linked and settleable. Open each and fill in phone and email. (If you had typed the names as free text instead of selecting the records, the invoices would show "not linked to a record" and the Receipts &amp; Payments dropdowns would not list them.)</w:t>
      </w:r>
    </w:p>
    <w:p>
      <w:pPr>
        <w:pStyle w:val="ListNumber"/>
        <w:spacing w:after="40"/>
      </w:pPr>
      <w:r>
        <w:rPr>
          <w:b/>
        </w:rPr>
        <w:t>Roles &amp; Access</w:t>
      </w:r>
      <w:r>
        <w:t xml:space="preserve"> (Admin). The matrix shows every role against every</w:t>
      </w:r>
    </w:p>
    <w:p>
      <w:r>
        <w:t xml:space="preserve">screen — compare it with what you saw in Step 11. </w:t>
      </w:r>
      <w:r>
        <w:rPr>
          <w:b/>
        </w:rPr>
        <w:t>Add user</w:t>
      </w:r>
      <w:r>
        <w:t xml:space="preserve"> creates a login; it is admin-only.</w:t>
      </w:r>
    </w:p>
    <w:p>
      <w:pPr>
        <w:pStyle w:val="ListNumber"/>
        <w:spacing w:after="40"/>
      </w:pPr>
      <w:r>
        <w:rPr>
          <w:b/>
        </w:rPr>
        <w:t>Exports.</w:t>
      </w:r>
      <w:r>
        <w:t xml:space="preserve"> Every report page carries an </w:t>
      </w:r>
      <w:r>
        <w:rPr>
          <w:b/>
        </w:rPr>
        <w:t>Export CSV</w:t>
      </w:r>
      <w:r>
        <w:t xml:space="preserve"> button. Open</w:t>
      </w:r>
    </w:p>
    <w:p>
      <w:r>
        <w:rPr>
          <w:b/>
        </w:rPr>
        <w:t>Trial Balance</w:t>
      </w:r>
      <w:r>
        <w:t xml:space="preserve"> and export it — the file matches the screen exactly, and this is how the accountant gets figures into a spreadsheet.</w:t>
      </w:r>
    </w:p>
    <w:p>
      <w:pPr>
        <w:pStyle w:val="Heading1"/>
      </w:pPr>
      <w:r>
        <w:rPr>
          <w:color w:val="0F172A"/>
        </w:rPr>
        <w:t>Part 2 checkpoints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Step 8a (receipt)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Step 8b (payment)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399,780.00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Step 10 (manual entry)</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398,980.00</w:t>
            </w:r>
          </w:p>
        </w:tc>
        <w:tc>
          <w:tcPr>
            <w:tcW w:type="dxa" w:w="2160"/>
          </w:tcPr>
          <w:p>
            <w:r>
              <w:rPr>
                <w:sz w:val="19"/>
              </w:rPr>
            </w:r>
            <w:r>
              <w:rPr>
                <w:rFonts w:ascii="Consolas" w:hAnsi="Consolas"/>
                <w:color w:val="1D4ED8"/>
                <w:sz w:val="19"/>
              </w:rPr>
              <w:t>0.0000</w:t>
            </w:r>
          </w:p>
        </w:tc>
      </w:tr>
    </w:tbl>
    <w:p/>
    <w:p>
      <w:r>
        <w:t>(The manual entry swaps 800 of cash for 800 of expense: assets fall, equity falls by the same 800, and the sheet never notices.)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