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Signing in</w:t>
      </w:r>
    </w:p>
    <w:p>
      <w:r>
        <w:t>The software asks for an email and password before it shows anything.</w:t>
      </w:r>
    </w:p>
    <w:p>
      <w:r>
        <w:t xml:space="preserve">The sign-in screen lists the demo accounts, and clicking a row fills the form. They all use the same password: </w:t>
      </w:r>
      <w:r>
        <w:rPr>
          <w:b/>
        </w:rPr>
        <w:t>`rpci`</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Email</w:t>
            </w:r>
          </w:p>
        </w:tc>
        <w:tc>
          <w:tcPr>
            <w:tcW w:type="dxa" w:w="4320"/>
            <w:shd w:val="clear" w:color="auto" w:fill="F1F5F9"/>
          </w:tcPr>
          <w:p>
            <w:r>
              <w:rPr>
                <w:b/>
                <w:sz w:val="19"/>
              </w:rPr>
            </w:r>
            <w:r>
              <w:rPr>
                <w:b/>
                <w:sz w:val="19"/>
              </w:rPr>
              <w:t>Role</w:t>
            </w:r>
          </w:p>
        </w:tc>
      </w:tr>
      <w:tr>
        <w:tc>
          <w:tcPr>
            <w:tcW w:type="dxa" w:w="4320"/>
          </w:tcPr>
          <w:p>
            <w:r>
              <w:rPr>
                <w:sz w:val="19"/>
              </w:rPr>
            </w:r>
            <w:r>
              <w:rPr>
                <w:rFonts w:ascii="Consolas" w:hAnsi="Consolas"/>
                <w:color w:val="1D4ED8"/>
                <w:sz w:val="19"/>
              </w:rPr>
              <w:t>admin@rpci.demo</w:t>
            </w:r>
          </w:p>
        </w:tc>
        <w:tc>
          <w:tcPr>
            <w:tcW w:type="dxa" w:w="4320"/>
          </w:tcPr>
          <w:p>
            <w:r>
              <w:rPr>
                <w:sz w:val="19"/>
              </w:rPr>
            </w:r>
            <w:r>
              <w:rPr>
                <w:sz w:val="19"/>
              </w:rPr>
              <w:t>Admin</w:t>
            </w:r>
          </w:p>
        </w:tc>
      </w:tr>
      <w:tr>
        <w:tc>
          <w:tcPr>
            <w:tcW w:type="dxa" w:w="4320"/>
          </w:tcPr>
          <w:p>
            <w:r>
              <w:rPr>
                <w:sz w:val="19"/>
              </w:rPr>
            </w:r>
            <w:r>
              <w:rPr>
                <w:rFonts w:ascii="Consolas" w:hAnsi="Consolas"/>
                <w:color w:val="1D4ED8"/>
                <w:sz w:val="19"/>
              </w:rPr>
              <w:t>accountant@rpci.demo</w:t>
            </w:r>
          </w:p>
        </w:tc>
        <w:tc>
          <w:tcPr>
            <w:tcW w:type="dxa" w:w="4320"/>
          </w:tcPr>
          <w:p>
            <w:r>
              <w:rPr>
                <w:sz w:val="19"/>
              </w:rPr>
            </w:r>
            <w:r>
              <w:rPr>
                <w:sz w:val="19"/>
              </w:rPr>
              <w:t>Accountant</w:t>
            </w:r>
          </w:p>
        </w:tc>
      </w:tr>
      <w:tr>
        <w:tc>
          <w:tcPr>
            <w:tcW w:type="dxa" w:w="4320"/>
          </w:tcPr>
          <w:p>
            <w:r>
              <w:rPr>
                <w:sz w:val="19"/>
              </w:rPr>
            </w:r>
            <w:r>
              <w:rPr>
                <w:rFonts w:ascii="Consolas" w:hAnsi="Consolas"/>
                <w:color w:val="1D4ED8"/>
                <w:sz w:val="19"/>
              </w:rPr>
              <w:t>store@rpci.demo</w:t>
            </w:r>
          </w:p>
        </w:tc>
        <w:tc>
          <w:tcPr>
            <w:tcW w:type="dxa" w:w="4320"/>
          </w:tcPr>
          <w:p>
            <w:r>
              <w:rPr>
                <w:sz w:val="19"/>
              </w:rPr>
            </w:r>
            <w:r>
              <w:rPr>
                <w:sz w:val="19"/>
              </w:rPr>
              <w:t>Store / Production</w:t>
            </w:r>
          </w:p>
        </w:tc>
      </w:tr>
      <w:tr>
        <w:tc>
          <w:tcPr>
            <w:tcW w:type="dxa" w:w="4320"/>
          </w:tcPr>
          <w:p>
            <w:r>
              <w:rPr>
                <w:sz w:val="19"/>
              </w:rPr>
            </w:r>
            <w:r>
              <w:rPr>
                <w:rFonts w:ascii="Consolas" w:hAnsi="Consolas"/>
                <w:color w:val="1D4ED8"/>
                <w:sz w:val="19"/>
              </w:rPr>
              <w:t>sales@rpci.demo</w:t>
            </w:r>
          </w:p>
        </w:tc>
        <w:tc>
          <w:tcPr>
            <w:tcW w:type="dxa" w:w="4320"/>
          </w:tcPr>
          <w:p>
            <w:r>
              <w:rPr>
                <w:sz w:val="19"/>
              </w:rPr>
            </w:r>
            <w:r>
              <w:rPr>
                <w:sz w:val="19"/>
              </w:rPr>
              <w:t>Sales Staff</w:t>
            </w:r>
          </w:p>
        </w:tc>
      </w:tr>
      <w:tr>
        <w:tc>
          <w:tcPr>
            <w:tcW w:type="dxa" w:w="4320"/>
          </w:tcPr>
          <w:p>
            <w:r>
              <w:rPr>
                <w:sz w:val="19"/>
              </w:rPr>
            </w:r>
            <w:r>
              <w:rPr>
                <w:rFonts w:ascii="Consolas" w:hAnsi="Consolas"/>
                <w:color w:val="1D4ED8"/>
                <w:sz w:val="19"/>
              </w:rPr>
              <w:t>owner@rpci.demo</w:t>
            </w:r>
          </w:p>
        </w:tc>
        <w:tc>
          <w:tcPr>
            <w:tcW w:type="dxa" w:w="4320"/>
          </w:tcPr>
          <w:p>
            <w:r>
              <w:rPr>
                <w:sz w:val="19"/>
              </w:rPr>
            </w:r>
            <w:r>
              <w:rPr>
                <w:sz w:val="19"/>
              </w:rPr>
              <w:t>Owner / Viewer</w:t>
            </w:r>
          </w:p>
        </w:tc>
      </w:tr>
    </w:tbl>
    <w:p/>
    <w:p>
      <w:r>
        <w:t>Signing in as different people is how you see the permission rules at work. What you are allowed to do comes from the account you signed in with, and the server checks it every time — not the screen.</w:t>
      </w:r>
    </w:p>
    <w:p>
      <w:r>
        <w:t xml:space="preserve">To change who you are, press </w:t>
      </w:r>
      <w:r>
        <w:rPr>
          <w:b/>
        </w:rPr>
        <w:t>Sign out</w:t>
      </w:r>
      <w:r>
        <w:t xml:space="preserve"> in the top right and sign in again.</w:t>
      </w:r>
    </w:p>
    <w:p>
      <w:pPr>
        <w:pStyle w:val="Heading2"/>
      </w:pPr>
      <w:r>
        <w:rPr>
          <w:color w:val="0F172A"/>
        </w:rPr>
        <w:t>If your account has two-factor authentication</w:t>
      </w:r>
    </w:p>
    <w:p>
      <w:r>
        <w:t>Some accounts are protected by a second step. After your password, you will be asked for a six-digit code from an authenticator app on your phone.</w:t>
      </w:r>
    </w:p>
    <w:p>
      <w:r>
        <w:t>You can use a recovery code instead if you do not have the phone with you. Those codes are given to you once when two-factor is switched on — keep them somewhere safe.</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reports.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restrictions appear</w:t>
      </w:r>
    </w:p>
    <w:p>
      <w:r>
        <w:rPr>
          <w:b/>
        </w:rPr>
        <w:t>Screens you may not read are not in the menu.</w:t>
      </w:r>
      <w:r>
        <w:t xml:space="preserve"> Signed in as Store staff, you will not see Chart of Accounts or Journal Entries at all.</w:t>
      </w:r>
    </w:p>
    <w:p>
      <w:r>
        <w:rPr>
          <w:b/>
        </w:rPr>
        <w:t>Screens you may read but not change open without their form.</w:t>
      </w:r>
      <w:r>
        <w:t xml:space="preserve"> Purchase Entry, Production Entry and Sales Entry are like this for an Accountant: the screen opens, the list of what has already been posted is there, and the form for adding something new is replaced by a short note explaining the position. There is nothing to fill in that cannot be submitted.</w:t>
      </w:r>
    </w:p>
    <w:p>
      <w:r>
        <w:t>If you reach a screen you are not allowed to see — by typing its address, for example — you get a plain explanation rather than an error.</w:t>
      </w:r>
    </w:p>
    <w:p>
      <w:r>
        <w:rPr>
          <w:b/>
        </w:rPr>
        <w:t>The menu is not the security.</w:t>
      </w:r>
      <w:r>
        <w:t xml:space="preserve"> Your permissions travel with your signed-in session, and the server checks them on every request. Nobody can reach a screen by typing its address, and nobody can grant themselves access by changing what the browser sends.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Security</w:t>
      </w:r>
      <w:r>
        <w:t xml:space="preserve"> — your password and two-factor authentication.</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rPr>
          <w:b/>
        </w:rPr>
        <w:t>Top right — Reset demo data:</w:t>
      </w:r>
    </w:p>
    <w:p>
      <w:r>
        <w:t>A button in the top right of the page. Press it to put everything back to the original workbook figures. Anything you have entered is removed, and the demo looks exactly as it did the first time you opened it.</w:t>
      </w:r>
    </w:p>
    <w:p>
      <w:r>
        <w:t>Nothing is permanently lost by exploring. If you are unsure whether something on screen is your doing or the original data, press this and start again.</w:t>
      </w:r>
    </w:p>
    <w:p>
      <w:r>
        <w:t xml:space="preserve">Only an </w:t>
      </w:r>
      <w:r>
        <w:rPr>
          <w:b/>
        </w:rPr>
        <w:t>Admin</w:t>
      </w:r>
      <w:r>
        <w:t xml:space="preserve"> can press it, because it erases everyone's entries.</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When you pick an item, the sale price box fills in with that item's average cost — what it cost you. Change it to the price you are actually charging. This way you are never left with a price from a different product.</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pPr>
        <w:pStyle w:val="ListBullet"/>
        <w:spacing w:after="40"/>
      </w:pPr>
      <w:r>
        <w:t xml:space="preserve">A red </w:t>
      </w:r>
      <w:r>
        <w:rPr>
          <w:b/>
        </w:rPr>
        <w:t>below cost</w:t>
      </w:r>
      <w:r>
        <w:t xml:space="preserve"> badge if your price is lower than the cost</w:t>
      </w:r>
    </w:p>
    <w:p>
      <w:r>
        <w:t>You cannot sell stock you do not have. The Post button is disabled if any line is short.</w:t>
      </w:r>
    </w:p>
    <w:p>
      <w:r>
        <w:rPr>
          <w:b/>
        </w:rPr>
        <w:t>If you price something below cost</w:t>
      </w:r>
    </w:p>
    <w:p>
      <w:r>
        <w:t>The software will not stop you. Selling at a loss is sometimes the right thing to do — clearing old stock, for example. But it will tell you plainly, in a yellow box under the form:</w:t>
      </w:r>
    </w:p>
    <w:p>
      <w:r>
        <w:t>&gt; TRD-018 is priced below cost (5 against a cost of 336.86047000), a loss of &gt; 1327.4419 on this line</w:t>
      </w:r>
    </w:p>
    <w:p>
      <w:r>
        <w:t>Check your price before posting when you see this. If the loss is not what you intended, the price box usually still holds a value from the item you selected before.</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r>
        <w:rPr>
          <w:b/>
        </w:rPr>
        <w:t>Printing a receipt</w:t>
      </w:r>
    </w:p>
    <w:p>
      <w:r>
        <w:t xml:space="preserve">Every posted sale has a </w:t>
      </w:r>
      <w:r>
        <w:rPr>
          <w:b/>
        </w:rPr>
        <w:t>Receipt</w:t>
      </w:r>
      <w:r>
        <w:t xml:space="preserve"> button in the list at the bottom of this screen. It opens a printable document showing the company name, the receipt number and date, the customer, and each item with its quantity, rate and amount.</w:t>
      </w:r>
    </w:p>
    <w:p>
      <w:r>
        <w:t xml:space="preserve">Press </w:t>
      </w:r>
      <w:r>
        <w:rPr>
          <w:b/>
        </w:rPr>
        <w:t>Print</w:t>
      </w:r>
      <w:r>
        <w:t xml:space="preserve"> to print it or save it as a PDF. The document is built from what was actually posted, so it can never disagree with the accounts.</w:t>
      </w:r>
    </w:p>
    <w:p>
      <w:r>
        <w:t>This is a plain sales receipt, not a VAT tax invoice, and it says so at the bottom. If the client needs a VAT-compliant invoice — which has a prescribed format and must carry the VAT registration number — that is a separate piece of work.</w:t>
      </w:r>
    </w:p>
    <w:p>
      <w:r>
        <w:t xml:space="preserve">The company name, address, phone number and VAT registration number printed at the top come from </w:t>
      </w:r>
      <w:r>
        <w:rPr>
          <w:b/>
        </w:rPr>
        <w:t>Configuration</w:t>
      </w:r>
      <w:r>
        <w:t>. They are placeholders until the client provides their real details, so the address currently reads "to be confirmed".</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It also has a </w:t>
      </w:r>
      <w:r>
        <w:rPr>
          <w:b/>
        </w:rPr>
        <w:t>Live permission probe</w:t>
      </w:r>
      <w:r>
        <w:t>. Press the button and the screen calls the server as whoever you are currently acting as.</w:t>
      </w:r>
    </w:p>
    <w:p>
      <w:pPr>
        <w:pStyle w:val="ListBullet"/>
        <w:spacing w:after="40"/>
      </w:pPr>
      <w:r>
        <w:t>If you are Admin, Accountant, or Owner, you will see a green message.</w:t>
      </w:r>
    </w:p>
    <w:p>
      <w:pPr>
        <w:pStyle w:val="ListBullet"/>
        <w:spacing w:after="40"/>
      </w:pPr>
      <w:r>
        <w:t>If you are Store or Sales staff, you will see a red message with the word</w:t>
      </w:r>
    </w:p>
    <w:p>
      <w:r>
        <w:rPr>
          <w:rFonts w:ascii="Consolas" w:hAnsi="Consolas"/>
          <w:color w:val="1D4ED8"/>
          <w:sz w:val="19"/>
        </w:rPr>
        <w:t>403</w:t>
      </w:r>
      <w:r>
        <w:t>.</w:t>
      </w:r>
    </w:p>
    <w:p>
      <w:r>
        <w:t>403 is the standard code for "you are not allowed". Seeing it proves the block is real.</w:t>
      </w:r>
    </w:p>
    <w:p>
      <w:r>
        <w:t xml:space="preserve">Try it: sign out, sign in as </w:t>
      </w:r>
      <w:r>
        <w:rPr>
          <w:b/>
        </w:rPr>
        <w:t>`sales@rpci.demo`</w:t>
      </w:r>
      <w:r>
        <w:t xml:space="preserve">. The Ledger menu is gone, because that role may not read the accounts. Then sign in as </w:t>
      </w:r>
      <w:r>
        <w:rPr>
          <w:b/>
        </w:rPr>
        <w:t>`accountant@rpci.demo`</w:t>
      </w:r>
      <w:r>
        <w:t xml:space="preserve"> and open Purchase Entry — the screen opens for reading, with the form replaced by a note explaining that the role cannot post.</w:t>
      </w:r>
    </w:p>
    <w:p>
      <w:pPr>
        <w:spacing w:before="40" w:after="160"/>
        <w:pBdr>
          <w:bottom w:val="single" w:sz="6" w:space="1" w:color="D6DBE2"/>
        </w:pBdr>
      </w:pPr>
    </w:p>
    <w:p>
      <w:pPr>
        <w:pStyle w:val="Heading2"/>
      </w:pPr>
      <w:r>
        <w:rPr>
          <w:color w:val="0F172A"/>
        </w:rPr>
        <w:t>6.12 Security</w:t>
      </w:r>
    </w:p>
    <w:p>
      <w:r>
        <w:t>Your own account. Three things live here.</w:t>
      </w:r>
    </w:p>
    <w:p>
      <w:r>
        <w:rPr>
          <w:b/>
        </w:rPr>
        <w:t>Two-factor authentication.</w:t>
      </w:r>
      <w:r>
        <w:t xml:space="preserve"> A second step at sign-in, using an authenticator app on your phone. Press </w:t>
      </w:r>
      <w:r>
        <w:rPr>
          <w:b/>
        </w:rPr>
        <w:t>Set up two-factor authentication</w:t>
      </w:r>
      <w:r>
        <w:t>, scan the QR code with the app, then type the six-digit code it shows. That last step matters: the app has to prove it works before the protection is switched on, so you cannot lock yourself out by accident.</w:t>
      </w:r>
    </w:p>
    <w:p>
      <w:r>
        <w:t xml:space="preserve">When it is on you are given </w:t>
      </w:r>
      <w:r>
        <w:rPr>
          <w:b/>
        </w:rPr>
        <w:t>eight recovery codes</w:t>
      </w:r>
      <w:r>
        <w:t>. They are shown once. Print them or save them somewhere safe — they are the only way back in if you lose your phone.</w:t>
      </w:r>
    </w:p>
    <w:p>
      <w:r>
        <w:t>To turn it off, you must type your password again. Being signed in is not enough, in case someone finds your laptop unlocked.</w:t>
      </w:r>
    </w:p>
    <w:p>
      <w:r>
        <w:rPr>
          <w:b/>
        </w:rPr>
        <w:t>Change password.</w:t>
      </w:r>
      <w:r>
        <w:t xml:space="preserve"> Type your current password, then the new one. At least eight characters.</w:t>
      </w:r>
    </w:p>
    <w:p>
      <w:pPr>
        <w:spacing w:before="40" w:after="160"/>
        <w:pBdr>
          <w:bottom w:val="single" w:sz="6" w:space="1" w:color="D6DBE2"/>
        </w:pBdr>
      </w:pPr>
    </w:p>
    <w:p>
      <w:pPr>
        <w:pStyle w:val="Heading2"/>
      </w:pPr>
      <w:r>
        <w:rPr>
          <w:color w:val="0F172A"/>
        </w:rPr>
        <w:t>6.13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All three steps are done. Now look at what changed. The figures are spread over three screens, so this last step says which screen to open.</w:t>
      </w:r>
    </w:p>
    <w:p>
      <w:r>
        <w:rPr>
          <w:b/>
        </w:rPr>
        <w:t>On the Dashboard: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Unchanged — this came from the original workbook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Your sale: 2,400.00 revenue less 1,347.44 cost</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from 801,600.00 — see the note below</w:t>
            </w:r>
          </w:p>
        </w:tc>
      </w:tr>
      <w:tr>
        <w:tc>
          <w:tcPr>
            <w:tcW w:type="dxa" w:w="2880"/>
          </w:tcPr>
          <w:p>
            <w:r>
              <w:rPr>
                <w:sz w:val="19"/>
              </w:rPr>
            </w:r>
            <w:r>
              <w:rPr>
                <w:sz w:val="19"/>
              </w:rPr>
              <w:t>Total liabilities</w:t>
            </w:r>
          </w:p>
        </w:tc>
        <w:tc>
          <w:tcPr>
            <w:tcW w:type="dxa" w:w="2880"/>
          </w:tcPr>
          <w:p>
            <w:r>
              <w:rPr>
                <w:sz w:val="19"/>
              </w:rPr>
            </w:r>
            <w:r>
              <w:rPr>
                <w:sz w:val="19"/>
              </w:rPr>
              <w:t>28,000.00</w:t>
            </w:r>
          </w:p>
        </w:tc>
        <w:tc>
          <w:tcPr>
            <w:tcW w:type="dxa" w:w="2880"/>
          </w:tcPr>
          <w:p>
            <w:r>
              <w:rPr>
                <w:sz w:val="19"/>
              </w:rPr>
            </w:r>
            <w:r>
              <w:rPr>
                <w:sz w:val="19"/>
              </w:rPr>
              <w:t>The purchase was on credit, so you now owe the supplier</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bl>
    <w:p/>
    <w:p>
      <w:r>
        <w:rPr>
          <w:b/>
        </w:rPr>
        <w:t>On Inventory &amp; BOM</w:t>
      </w:r>
      <w:r>
        <w:t xml:space="preserve"> (search for </w:t>
      </w:r>
      <w:r>
        <w:rPr>
          <w:rFonts w:ascii="Consolas" w:hAnsi="Consolas"/>
          <w:color w:val="1D4ED8"/>
          <w:sz w:val="19"/>
        </w:rPr>
        <w:t>TRD-018</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Quantity on hand</w:t>
            </w:r>
          </w:p>
        </w:tc>
        <w:tc>
          <w:tcPr>
            <w:tcW w:type="dxa" w:w="2880"/>
          </w:tcPr>
          <w:p>
            <w:r>
              <w:rPr>
                <w:sz w:val="19"/>
              </w:rPr>
            </w:r>
            <w:r>
              <w:rPr>
                <w:sz w:val="19"/>
              </w:rPr>
              <w:t>6</w:t>
            </w:r>
          </w:p>
        </w:tc>
        <w:tc>
          <w:tcPr>
            <w:tcW w:type="dxa" w:w="2880"/>
          </w:tcPr>
          <w:p>
            <w:r>
              <w:rPr>
                <w:sz w:val="19"/>
              </w:rPr>
            </w:r>
            <w:r>
              <w:rPr>
                <w:sz w:val="19"/>
              </w:rPr>
              <w:t>10 made, 4 sold</w:t>
            </w:r>
          </w:p>
        </w:tc>
      </w:tr>
      <w:tr>
        <w:tc>
          <w:tcPr>
            <w:tcW w:type="dxa" w:w="2880"/>
          </w:tcPr>
          <w:p>
            <w:r>
              <w:rPr>
                <w:sz w:val="19"/>
              </w:rPr>
            </w:r>
            <w:r>
              <w:rPr>
                <w:sz w:val="19"/>
              </w:rPr>
              <w:t>Average cost</w:t>
            </w:r>
          </w:p>
        </w:tc>
        <w:tc>
          <w:tcPr>
            <w:tcW w:type="dxa" w:w="2880"/>
          </w:tcPr>
          <w:p>
            <w:r>
              <w:rPr>
                <w:sz w:val="19"/>
              </w:rPr>
            </w:r>
            <w:r>
              <w:rPr>
                <w:sz w:val="19"/>
              </w:rPr>
              <w:t>336.86046667</w:t>
            </w:r>
          </w:p>
        </w:tc>
        <w:tc>
          <w:tcPr>
            <w:tcW w:type="dxa" w:w="2880"/>
          </w:tcPr>
          <w:p>
            <w:r>
              <w:rPr>
                <w:sz w:val="19"/>
              </w:rPr>
            </w:r>
            <w:r>
              <w:rPr>
                <w:sz w:val="19"/>
              </w:rPr>
              <w:t>The unit cost worked out in step 2</w:t>
            </w:r>
          </w:p>
        </w:tc>
      </w:tr>
    </w:tbl>
    <w:p/>
    <w:p>
      <w:r>
        <w:rPr>
          <w:b/>
        </w:rPr>
        <w:t>On Trial Balance</w:t>
      </w:r>
      <w:r>
        <w:t xml:space="preserve"> (Reports → Trial Balance):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Difference</w:t>
            </w:r>
          </w:p>
        </w:tc>
        <w:tc>
          <w:tcPr>
            <w:tcW w:type="dxa" w:w="2880"/>
          </w:tcPr>
          <w:p>
            <w:r>
              <w:rPr>
                <w:sz w:val="19"/>
              </w:rPr>
            </w:r>
            <w:r>
              <w:rPr>
                <w:sz w:val="19"/>
              </w:rPr>
              <w:t>0.00</w:t>
            </w:r>
          </w:p>
        </w:tc>
        <w:tc>
          <w:tcPr>
            <w:tcW w:type="dxa" w:w="2880"/>
          </w:tcPr>
          <w:p>
            <w:r>
              <w:rPr>
                <w:sz w:val="19"/>
              </w:rPr>
            </w:r>
            <w:r>
              <w:rPr>
                <w:sz w:val="19"/>
              </w:rPr>
              <w:t>The books still net to zero</w:t>
            </w:r>
          </w:p>
        </w:tc>
      </w:tr>
    </w:tbl>
    <w:p/>
    <w:p>
      <w:r>
        <w:rPr>
          <w:b/>
        </w:rPr>
        <w:t>Why total assets rose by more than the profit</w:t>
      </w:r>
    </w:p>
    <w:p>
      <w:r>
        <w:t>Total assets went from 801,600.00 to 830,652.56, an increase of 29,052.56. That is more than the profit, and it is worth understanding why. It is two things:</w:t>
      </w:r>
    </w:p>
    <w:p>
      <w:pPr>
        <w:pStyle w:val="ListBullet"/>
        <w:spacing w:after="40"/>
      </w:pPr>
      <w:r>
        <w:rPr>
          <w:b/>
        </w:rPr>
        <w:t>28,000.00 of new stock</w:t>
      </w:r>
      <w:r>
        <w:t>, bought in step 1. The goods arrived, so an asset</w:t>
      </w:r>
    </w:p>
    <w:p>
      <w:r>
        <w:t>went up.</w:t>
      </w:r>
    </w:p>
    <w:p>
      <w:pPr>
        <w:pStyle w:val="ListBullet"/>
        <w:spacing w:after="40"/>
      </w:pPr>
      <w:r>
        <w:rPr>
          <w:b/>
        </w:rPr>
        <w:t>1,052.56 of profit</w:t>
      </w:r>
      <w:r>
        <w:t xml:space="preserve"> from the sale in step 3.</w:t>
      </w:r>
    </w:p>
    <w:p>
      <w:r>
        <w:t>The purchase was on credit. That is why total liabilities now read 28,000.00: you gained the stock, and you owe the supplier for it. Both sides moved together, which is why the balance sheet still balances:</w:t>
      </w:r>
    </w:p>
    <w:p>
      <w:pPr>
        <w:spacing w:before="120" w:after="200"/>
        <w:ind w:left="160"/>
        <w:shd w:val="clear" w:color="auto" w:fill="F4F6F8"/>
      </w:pPr>
      <w:r>
        <w:rPr>
          <w:rFonts w:ascii="Consolas" w:hAnsi="Consolas"/>
          <w:sz w:val="18"/>
        </w:rPr>
        <w:t>Assets 830,652.56  =  Liabilities 28,000.00  +  Equity 802,652.56</w:t>
      </w:r>
    </w:p>
    <w:p>
      <w:r>
        <w:t>Equity is the 800,000.00 you started with, plus the 2,652.56 of profit.</w:t>
      </w:r>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Those two figures change as you buy and sell, so you may see different ones from the example above. </w:t>
      </w:r>
      <w:r>
        <w:rPr>
          <w:b/>
        </w:rPr>
        <w:t>The 474,100 gap between them does not change</w:t>
      </w:r>
      <w:r>
        <w:t xml:space="preserve"> — that is the size of the problem in the workbook, and it stays put.</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Check which account you are signed in as — it is shown in the top right. You may be signed in as the wrong person, in which case sign out and sign in again.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Press </w:t>
      </w:r>
      <w:r>
        <w:rPr>
          <w:b/>
        </w:rPr>
        <w:t>Reset demo data</w:t>
      </w:r>
      <w:r>
        <w:t xml:space="preserve"> on the Dashboard. Everything goes back to the original workbook figures and anything you entered is removed.</w:t>
      </w:r>
    </w:p>
    <w:p>
      <w:r>
        <w:t xml:space="preserve">If you are running the software yourself on your own computer, and it is keeping its data in a file, you can instead delete the </w:t>
      </w:r>
      <w:r>
        <w:rPr>
          <w:rFonts w:ascii="Consolas" w:hAnsi="Consolas"/>
          <w:color w:val="1D4ED8"/>
          <w:sz w:val="19"/>
        </w:rPr>
        <w:t>rpci_demo.db</w:t>
      </w:r>
      <w:r>
        <w:t xml:space="preserve"> file in the project folder and restart. On a hosted copy there is no file for you to delete — use the button.</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Print a receipt for a sale</w:t>
            </w:r>
          </w:p>
        </w:tc>
        <w:tc>
          <w:tcPr>
            <w:tcW w:type="dxa" w:w="2880"/>
          </w:tcPr>
          <w:p>
            <w:r>
              <w:rPr>
                <w:sz w:val="19"/>
              </w:rPr>
            </w:r>
            <w:r>
              <w:rPr>
                <w:sz w:val="19"/>
              </w:rPr>
              <w:t>Sales Entry → Receipt</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Set up two-factor or change password</w:t>
            </w:r>
          </w:p>
        </w:tc>
        <w:tc>
          <w:tcPr>
            <w:tcW w:type="dxa" w:w="2880"/>
          </w:tcPr>
          <w:p>
            <w:r>
              <w:rPr>
                <w:sz w:val="19"/>
              </w:rPr>
            </w:r>
            <w:r>
              <w:rPr>
                <w:sz w:val="19"/>
              </w:rPr>
              <w:t>Security</w:t>
            </w:r>
          </w:p>
        </w:tc>
        <w:tc>
          <w:tcPr>
            <w:tcW w:type="dxa" w:w="2880"/>
          </w:tcPr>
          <w:p>
            <w:r>
              <w:rPr>
                <w:sz w:val="19"/>
              </w:rPr>
            </w:r>
            <w:r>
              <w:rPr>
                <w:sz w:val="19"/>
              </w:rPr>
              <w:t>Everyone (your own account)</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