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pPr>
      <w:r>
        <w:rPr>
          <w:rFonts w:ascii="Helvetica" w:cs="Helvetica" w:eastAsia="Helvetica" w:hAnsi="Helvetica"/>
          <w:b/>
          <w:bCs/>
          <w:color w:val="0E2841"/>
          <w:sz w:val="36"/>
          <w:szCs w:val="36"/>
        </w:rPr>
        <w:t xml:space="preserve">Donovan Legal PLLC — Website Redesign Meeting Brief</w:t>
      </w:r>
    </w:p>
    <w:p>
      <w:pPr>
        <w:spacing w:after="40"/>
      </w:pPr>
      <w:r>
        <w:rPr>
          <w:rFonts w:ascii="Helvetica" w:cs="Helvetica" w:eastAsia="Helvetica" w:hAnsi="Helvetica"/>
          <w:color w:val="808080"/>
          <w:sz w:val="18"/>
          <w:szCs w:val="18"/>
        </w:rPr>
        <w:t xml:space="preserve">May 13, 2026</w:t>
      </w:r>
    </w:p>
    <w:p>
      <w:pPr>
        <w:spacing w:after="200"/>
      </w:pPr>
      <w:r>
        <w:rPr>
          <w:rFonts w:ascii="Helvetica" w:cs="Helvetica" w:eastAsia="Helvetica" w:hAnsi="Helvetica"/>
          <w:color w:val="808080"/>
          <w:sz w:val="18"/>
          <w:szCs w:val="18"/>
        </w:rPr>
        <w:t xml:space="preserve">Prepared by: </w:t>
      </w:r>
      <w:r>
        <w:rPr>
          <w:rFonts w:ascii="Helvetica" w:cs="Helvetica" w:eastAsia="Helvetica" w:hAnsi="Helvetica"/>
          <w:color w:val="808080"/>
          <w:sz w:val="18"/>
          <w:szCs w:val="18"/>
        </w:rPr>
        <w:t xml:space="preserve">Walter White, Liaison to David Pierce</w:t>
      </w:r>
    </w:p>
    <w:p>
      <w:pPr>
        <w:pBdr>
          <w:bottom w:val="single" w:color="E8E8E9" w:sz="2" w:space="4"/>
        </w:pBdr>
        <w:spacing w:after="300"/>
      </w:pPr>
    </w:p>
    <w:p>
      <w:pPr>
        <w:spacing w:after="200" w:line="276"/>
      </w:pPr>
      <w:r>
        <w:rPr>
          <w:rFonts w:ascii="Helvetica" w:cs="Helvetica" w:eastAsia="Helvetica" w:hAnsi="Helvetica"/>
          <w:color w:val="404040"/>
          <w:sz w:val="22"/>
          <w:szCs w:val="22"/>
        </w:rPr>
        <w:t xml:space="preserve">Prepared for the meeting between Paul Donovan, CPA, Esq. (Donovan Legal PLLC) and David Pierce (ConnexUS AI) on May 13, 2026. This brief is a working walk-through of the proposed redesign for donovan.law — a one-sitting review of strategy, design direction, page-by-page structure, and the specific decisions we need from Paul to begin building.</w:t>
      </w:r>
    </w:p>
    <w:p>
      <w:pPr>
        <w:pStyle w:val="Heading1"/>
        <w:spacing w:after="140" w:before="280"/>
      </w:pPr>
      <w:r>
        <w:rPr>
          <w:rFonts w:ascii="Helvetica" w:cs="Helvetica" w:eastAsia="Helvetica" w:hAnsi="Helvetica"/>
          <w:b/>
          <w:bCs/>
          <w:color w:val="0E2841"/>
          <w:sz w:val="36"/>
          <w:szCs w:val="36"/>
        </w:rPr>
        <w:t xml:space="preserve">Meeting Agenda</w:t>
      </w:r>
    </w:p>
    <w:p>
      <w:pPr>
        <w:pStyle w:val="ListParagraph"/>
        <w:numPr>
          <w:ilvl w:val="0"/>
          <w:numId w:val="2"/>
        </w:numPr>
        <w:spacing w:after="80"/>
      </w:pPr>
      <w:r>
        <w:rPr>
          <w:rFonts w:ascii="Helvetica" w:cs="Helvetica" w:eastAsia="Helvetica" w:hAnsi="Helvetica"/>
          <w:color w:val="404040"/>
          <w:sz w:val="22"/>
          <w:szCs w:val="22"/>
        </w:rPr>
        <w:t xml:space="preserve">Approved Positioning Statement — read aloud, confirm tone (5 min)</w:t>
      </w:r>
    </w:p>
    <w:p>
      <w:pPr>
        <w:pStyle w:val="ListParagraph"/>
        <w:numPr>
          <w:ilvl w:val="0"/>
          <w:numId w:val="2"/>
        </w:numPr>
        <w:spacing w:after="80"/>
      </w:pPr>
      <w:r>
        <w:rPr>
          <w:rFonts w:ascii="Helvetica" w:cs="Helvetica" w:eastAsia="Helvetica" w:hAnsi="Helvetica"/>
          <w:color w:val="404040"/>
          <w:sz w:val="22"/>
          <w:szCs w:val="22"/>
        </w:rPr>
        <w:t xml:space="preserve">Design direction — colors, type, reference sites NJP Legal + Neil Jesani (10 min)</w:t>
      </w:r>
    </w:p>
    <w:p>
      <w:pPr>
        <w:pStyle w:val="ListParagraph"/>
        <w:numPr>
          <w:ilvl w:val="0"/>
          <w:numId w:val="2"/>
        </w:numPr>
        <w:spacing w:after="80"/>
      </w:pPr>
      <w:r>
        <w:rPr>
          <w:rFonts w:ascii="Helvetica" w:cs="Helvetica" w:eastAsia="Helvetica" w:hAnsi="Helvetica"/>
          <w:color w:val="404040"/>
          <w:sz w:val="22"/>
          <w:szCs w:val="22"/>
        </w:rPr>
        <w:t xml:space="preserve">Page-by-page walk-through — Homepage, Profile, Firm, three practice contexts, Experience, Contact, Clients (25 min)</w:t>
      </w:r>
    </w:p>
    <w:p>
      <w:pPr>
        <w:pStyle w:val="ListParagraph"/>
        <w:numPr>
          <w:ilvl w:val="0"/>
          <w:numId w:val="2"/>
        </w:numPr>
        <w:spacing w:after="80"/>
      </w:pPr>
      <w:r>
        <w:rPr>
          <w:rFonts w:ascii="Helvetica" w:cs="Helvetica" w:eastAsia="Helvetica" w:hAnsi="Helvetica"/>
          <w:color w:val="404040"/>
          <w:sz w:val="22"/>
          <w:szCs w:val="22"/>
        </w:rPr>
        <w:t xml:space="preserve">Photography, artwork, and asset needs (10 min)</w:t>
      </w:r>
    </w:p>
    <w:p>
      <w:pPr>
        <w:pStyle w:val="ListParagraph"/>
        <w:numPr>
          <w:ilvl w:val="0"/>
          <w:numId w:val="2"/>
        </w:numPr>
        <w:spacing w:after="80"/>
      </w:pPr>
      <w:r>
        <w:rPr>
          <w:rFonts w:ascii="Helvetica" w:cs="Helvetica" w:eastAsia="Helvetica" w:hAnsi="Helvetica"/>
          <w:color w:val="404040"/>
          <w:sz w:val="22"/>
          <w:szCs w:val="22"/>
        </w:rPr>
        <w:t xml:space="preserve">Content checklist — bio, credentials, matters, stats (15 min)</w:t>
      </w:r>
    </w:p>
    <w:p>
      <w:pPr>
        <w:pStyle w:val="ListParagraph"/>
        <w:numPr>
          <w:ilvl w:val="0"/>
          <w:numId w:val="2"/>
        </w:numPr>
        <w:spacing w:after="80"/>
      </w:pPr>
      <w:r>
        <w:rPr>
          <w:rFonts w:ascii="Helvetica" w:cs="Helvetica" w:eastAsia="Helvetica" w:hAnsi="Helvetica"/>
          <w:color w:val="404040"/>
          <w:sz w:val="22"/>
          <w:szCs w:val="22"/>
        </w:rPr>
        <w:t xml:space="preserve">Phased build plan — Phase 1 launch scope, timeline, and approval to proceed (10 min)</w:t>
      </w:r>
    </w:p>
    <w:p>
      <w:pPr>
        <w:pStyle w:val="ListParagraph"/>
        <w:numPr>
          <w:ilvl w:val="0"/>
          <w:numId w:val="2"/>
        </w:numPr>
        <w:spacing w:after="80"/>
      </w:pPr>
      <w:r>
        <w:rPr>
          <w:rFonts w:ascii="Helvetica" w:cs="Helvetica" w:eastAsia="Helvetica" w:hAnsi="Helvetica"/>
          <w:color w:val="404040"/>
          <w:sz w:val="22"/>
          <w:szCs w:val="22"/>
        </w:rPr>
        <w:t xml:space="preserve">Open questions and next steps (5 min)</w:t>
      </w:r>
    </w:p>
    <w:p>
      <w:r>
        <w:br w:type="page"/>
      </w:r>
    </w:p>
    <w:p>
      <w:pPr>
        <w:pStyle w:val="Heading1"/>
        <w:spacing w:after="140" w:before="280"/>
      </w:pPr>
      <w:r>
        <w:rPr>
          <w:rFonts w:ascii="Helvetica" w:cs="Helvetica" w:eastAsia="Helvetica" w:hAnsi="Helvetica"/>
          <w:b/>
          <w:bCs/>
          <w:color w:val="0E2841"/>
          <w:sz w:val="36"/>
          <w:szCs w:val="36"/>
        </w:rPr>
        <w:t xml:space="preserve">1. Positioning Statement (Approved)</w:t>
      </w:r>
    </w:p>
    <w:p>
      <w:pPr>
        <w:spacing w:after="200" w:line="276"/>
      </w:pPr>
      <w:r>
        <w:rPr>
          <w:rFonts w:ascii="Helvetica" w:cs="Helvetica" w:eastAsia="Helvetica" w:hAnsi="Helvetica"/>
          <w:color w:val="404040"/>
          <w:sz w:val="22"/>
          <w:szCs w:val="22"/>
        </w:rPr>
        <w:t xml:space="preserve">Donovan Legal PLLC advises real estate developers, investors, funds, operating businesses, and the high-net-worth families behind them on the federal, state, and international tax issues that drive the economics of their structures — and represents those same clients when those structures, returns, or positions come under examination. The firm is built around a simple integration: planning, compliance, and controversy under one practitioner who is both a Certified Public Accountant and an attorney admitted to practice law in Florida and Massachusetts.</w:t>
      </w:r>
    </w:p>
    <w:p>
      <w:pPr>
        <w:pStyle w:val="Heading2"/>
        <w:spacing w:after="140" w:before="280"/>
      </w:pPr>
      <w:r>
        <w:rPr>
          <w:rFonts w:ascii="Helvetica" w:cs="Helvetica" w:eastAsia="Helvetica" w:hAnsi="Helvetica"/>
          <w:b/>
          <w:bCs/>
          <w:color w:val="0E2841"/>
          <w:sz w:val="28"/>
          <w:szCs w:val="28"/>
        </w:rPr>
        <w:t xml:space="preserve">What This Positioning Means for the Site</w:t>
      </w:r>
    </w:p>
    <w:p>
      <w:pPr>
        <w:pStyle w:val="ListParagraph"/>
        <w:numPr>
          <w:ilvl w:val="0"/>
          <w:numId w:val="3"/>
        </w:numPr>
        <w:spacing w:after="80"/>
      </w:pPr>
      <w:r>
        <w:rPr>
          <w:rFonts w:ascii="Helvetica" w:cs="Helvetica" w:eastAsia="Helvetica" w:hAnsi="Helvetica"/>
          <w:color w:val="404040"/>
          <w:sz w:val="22"/>
          <w:szCs w:val="22"/>
        </w:rPr>
        <w:t xml:space="preserve">Tax is the spine. Real Estate and Business work are the contexts in which tax-driven counsel operates — not three coequal silos.</w:t>
      </w:r>
    </w:p>
    <w:p>
      <w:pPr>
        <w:pStyle w:val="ListParagraph"/>
        <w:numPr>
          <w:ilvl w:val="0"/>
          <w:numId w:val="3"/>
        </w:numPr>
        <w:spacing w:after="80"/>
      </w:pPr>
      <w:r>
        <w:rPr>
          <w:rFonts w:ascii="Helvetica" w:cs="Helvetica" w:eastAsia="Helvetica" w:hAnsi="Helvetica"/>
          <w:color w:val="404040"/>
          <w:sz w:val="22"/>
          <w:szCs w:val="22"/>
        </w:rPr>
        <w:t xml:space="preserve">CPA + JD is the single most differentiating credential. It belongs in the hero eyebrow, the stats strip, the profile subtitle, the footer, and the schema markup.</w:t>
      </w:r>
    </w:p>
    <w:p>
      <w:pPr>
        <w:pStyle w:val="ListParagraph"/>
        <w:numPr>
          <w:ilvl w:val="0"/>
          <w:numId w:val="3"/>
        </w:numPr>
        <w:spacing w:after="80"/>
      </w:pPr>
      <w:r>
        <w:rPr>
          <w:rFonts w:ascii="Helvetica" w:cs="Helvetica" w:eastAsia="Helvetica" w:hAnsi="Helvetica"/>
          <w:color w:val="404040"/>
          <w:sz w:val="22"/>
          <w:szCs w:val="22"/>
        </w:rPr>
        <w:t xml:space="preserve">Planning · Compliance · Controversy becomes the firm's organizing triad — replacing the generic three-practice grid on the homepage.</w:t>
      </w:r>
    </w:p>
    <w:p>
      <w:pPr>
        <w:pStyle w:val="ListParagraph"/>
        <w:numPr>
          <w:ilvl w:val="0"/>
          <w:numId w:val="3"/>
        </w:numPr>
        <w:spacing w:after="80"/>
      </w:pPr>
      <w:r>
        <w:rPr>
          <w:rFonts w:ascii="Helvetica" w:cs="Helvetica" w:eastAsia="Helvetica" w:hAnsi="Helvetica"/>
          <w:color w:val="404040"/>
          <w:sz w:val="22"/>
          <w:szCs w:val="22"/>
        </w:rPr>
        <w:t xml:space="preserve">Federal · State · International becomes the tax-scope signal — a small label pattern on the Taxation page and in case-result eyebrows.</w:t>
      </w:r>
    </w:p>
    <w:p>
      <w:pPr>
        <w:pStyle w:val="ListParagraph"/>
        <w:numPr>
          <w:ilvl w:val="0"/>
          <w:numId w:val="3"/>
        </w:numPr>
        <w:spacing w:after="80"/>
      </w:pPr>
      <w:r>
        <w:rPr>
          <w:rFonts w:ascii="Helvetica" w:cs="Helvetica" w:eastAsia="Helvetica" w:hAnsi="Helvetica"/>
          <w:color w:val="404040"/>
          <w:sz w:val="22"/>
          <w:szCs w:val="22"/>
        </w:rPr>
        <w:t xml:space="preserve">Audience hierarchy reorders: real estate developers → investors → funds → operating businesses → HNW families.</w:t>
      </w:r>
    </w:p>
    <w:p>
      <w:pPr>
        <w:pStyle w:val="ListParagraph"/>
        <w:numPr>
          <w:ilvl w:val="0"/>
          <w:numId w:val="3"/>
        </w:numPr>
        <w:spacing w:after="80"/>
      </w:pPr>
      <w:r>
        <w:rPr>
          <w:rFonts w:ascii="Helvetica" w:cs="Helvetica" w:eastAsia="Helvetica" w:hAnsi="Helvetica"/>
          <w:color w:val="404040"/>
          <w:sz w:val="22"/>
          <w:szCs w:val="22"/>
        </w:rPr>
        <w:t xml:space="preserve">Two-state practice (Florida + Massachusetts) is a material multi-jurisdictional credential, well aligned with the Delray Beach northeast-migration HNW story.</w:t>
      </w:r>
    </w:p>
    <w:p>
      <w:r>
        <w:br w:type="page"/>
      </w:r>
    </w:p>
    <w:p>
      <w:pPr>
        <w:pStyle w:val="Heading1"/>
        <w:spacing w:after="140" w:before="280"/>
      </w:pPr>
      <w:r>
        <w:rPr>
          <w:rFonts w:ascii="Helvetica" w:cs="Helvetica" w:eastAsia="Helvetica" w:hAnsi="Helvetica"/>
          <w:b/>
          <w:bCs/>
          <w:color w:val="0E2841"/>
          <w:sz w:val="36"/>
          <w:szCs w:val="36"/>
        </w:rPr>
        <w:t xml:space="preserve">2. Design Direction Summary</w:t>
      </w:r>
    </w:p>
    <w:p>
      <w:pPr>
        <w:pStyle w:val="Heading2"/>
        <w:spacing w:after="140" w:before="280"/>
      </w:pPr>
      <w:r>
        <w:rPr>
          <w:rFonts w:ascii="Helvetica" w:cs="Helvetica" w:eastAsia="Helvetica" w:hAnsi="Helvetica"/>
          <w:b/>
          <w:bCs/>
          <w:color w:val="0E2841"/>
          <w:sz w:val="28"/>
          <w:szCs w:val="28"/>
        </w:rPr>
        <w:t xml:space="preserve">Reference Sites</w:t>
      </w:r>
    </w:p>
    <w:p>
      <w:pPr>
        <w:pStyle w:val="ListParagraph"/>
        <w:numPr>
          <w:ilvl w:val="0"/>
          <w:numId w:val="3"/>
        </w:numPr>
        <w:spacing w:after="80"/>
      </w:pPr>
      <w:r>
        <w:rPr>
          <w:rFonts w:ascii="Helvetica" w:cs="Helvetica" w:eastAsia="Helvetica" w:hAnsi="Helvetica"/>
          <w:color w:val="404040"/>
          <w:sz w:val="22"/>
          <w:szCs w:val="22"/>
        </w:rPr>
        <w:t xml:space="preserve">njplegal.com (NJP Law Group) — architectural gravitas, city skyline heroes, floating consultation card, Playfair Display headings.</w:t>
      </w:r>
    </w:p>
    <w:p>
      <w:pPr>
        <w:pStyle w:val="ListParagraph"/>
        <w:numPr>
          <w:ilvl w:val="0"/>
          <w:numId w:val="3"/>
        </w:numPr>
        <w:spacing w:after="80"/>
      </w:pPr>
      <w:r>
        <w:rPr>
          <w:rFonts w:ascii="Helvetica" w:cs="Helvetica" w:eastAsia="Helvetica" w:hAnsi="Helvetica"/>
          <w:color w:val="404040"/>
          <w:sz w:val="22"/>
          <w:szCs w:val="22"/>
        </w:rPr>
        <w:t xml:space="preserve">neiljesanitaxresolution.com (Neil Jesani Tax Resolution) — warmth and human credibility signals, alternating cream and sage sections, case results with dollar amounts.</w:t>
      </w:r>
    </w:p>
    <w:p>
      <w:pPr>
        <w:pStyle w:val="Heading2"/>
        <w:spacing w:after="140" w:before="280"/>
      </w:pPr>
      <w:r>
        <w:rPr>
          <w:rFonts w:ascii="Helvetica" w:cs="Helvetica" w:eastAsia="Helvetica" w:hAnsi="Helvetica"/>
          <w:b/>
          <w:bCs/>
          <w:color w:val="0E2841"/>
          <w:sz w:val="28"/>
          <w:szCs w:val="28"/>
        </w:rPr>
        <w:t xml:space="preserve">Color Palette (Evolved from Paul's Existing Brand)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Role</w:t>
            </w:r>
          </w:p>
        </w:tc>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Name</w:t>
            </w:r>
          </w:p>
        </w:tc>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Hex</w:t>
            </w:r>
          </w:p>
        </w:tc>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Use</w:t>
            </w:r>
          </w:p>
        </w:tc>
      </w:tr>
      <w:tr>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Primary</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Deep Hunter Green</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#0D3D21</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Hero overlays, footer, CTA banners</w:t>
            </w:r>
          </w:p>
        </w:tc>
      </w:tr>
      <w:tr>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Primary Hover</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Forest Green</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#164F2C</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Interactive state for primary</w:t>
            </w:r>
          </w:p>
        </w:tc>
      </w:tr>
      <w:tr>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Accent</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Antique Gold</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#B8942A</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CTAs, eyebrows, stat numbers, phone links</w:t>
            </w:r>
          </w:p>
        </w:tc>
      </w:tr>
      <w:tr>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Section Alt (warm)</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Cream</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#F7F3EC</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Alternating section background</w:t>
            </w:r>
          </w:p>
        </w:tc>
      </w:tr>
      <w:tr>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Section Alt (cool)</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Light Sage</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#E5EDE5</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Secondary alternating section</w:t>
            </w:r>
          </w:p>
        </w:tc>
      </w:tr>
      <w:tr>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Text</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Near-Black</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#1C1C1C</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Body copy on light backgrounds</w:t>
            </w:r>
          </w:p>
        </w:tc>
      </w:tr>
    </w:tbl>
    <w:p>
      <w:pPr>
        <w:spacing w:after="200"/>
      </w:pPr>
    </w:p>
    <w:p>
      <w:pPr>
        <w:spacing w:after="200" w:line="276"/>
      </w:pPr>
      <w:r>
        <w:rPr>
          <w:rFonts w:ascii="Helvetica" w:cs="Helvetica" w:eastAsia="Helvetica" w:hAnsi="Helvetica"/>
          <w:color w:val="404040"/>
          <w:sz w:val="22"/>
          <w:szCs w:val="22"/>
        </w:rPr>
        <w:t xml:space="preserve">These are a modernization of Paul's existing green and gold — the green is slightly lighter and richer, the gold is warmer and less yellow. The change brings the brand closer to the institutional, wealth-management aesthetic both reference sites use.</w:t>
      </w:r>
    </w:p>
    <w:p>
      <w:pPr>
        <w:pStyle w:val="Heading2"/>
        <w:spacing w:after="140" w:before="280"/>
      </w:pPr>
      <w:r>
        <w:rPr>
          <w:rFonts w:ascii="Helvetica" w:cs="Helvetica" w:eastAsia="Helvetica" w:hAnsi="Helvetica"/>
          <w:b/>
          <w:bCs/>
          <w:color w:val="0E2841"/>
          <w:sz w:val="28"/>
          <w:szCs w:val="28"/>
        </w:rPr>
        <w:t xml:space="preserve">Typography</w:t>
      </w:r>
    </w:p>
    <w:p>
      <w:pPr>
        <w:spacing w:after="200" w:line="276"/>
      </w:pPr>
      <w:r>
        <w:rPr>
          <w:rFonts w:ascii="Helvetica" w:cs="Helvetica" w:eastAsia="Helvetica" w:hAnsi="Helvetica"/>
          <w:color w:val="404040"/>
          <w:sz w:val="22"/>
          <w:szCs w:val="22"/>
        </w:rPr>
        <w:t xml:space="preserve">Playfair Display (headlines, editorial authority) paired with Inter (body and UI, maximum readability). This is the exact pairing used by NJP Legal. Hero headlines use Playfair Display italic on one accent word to create the signature typographic accent.</w:t>
      </w:r>
    </w:p>
    <w:p>
      <w:pPr>
        <w:pStyle w:val="Heading2"/>
        <w:spacing w:after="140" w:before="280"/>
      </w:pPr>
      <w:r>
        <w:rPr>
          <w:rFonts w:ascii="Helvetica" w:cs="Helvetica" w:eastAsia="Helvetica" w:hAnsi="Helvetica"/>
          <w:b/>
          <w:bCs/>
          <w:color w:val="0E2841"/>
          <w:sz w:val="28"/>
          <w:szCs w:val="28"/>
        </w:rPr>
        <w:t xml:space="preserve">Layout Pattern Library</w:t>
      </w:r>
    </w:p>
    <w:p>
      <w:pPr>
        <w:pStyle w:val="ListParagraph"/>
        <w:numPr>
          <w:ilvl w:val="0"/>
          <w:numId w:val="3"/>
        </w:numPr>
        <w:spacing w:after="80"/>
      </w:pPr>
      <w:r>
        <w:rPr>
          <w:rFonts w:ascii="Helvetica" w:cs="Helvetica" w:eastAsia="Helvetica" w:hAnsi="Helvetica"/>
          <w:color w:val="404040"/>
          <w:sz w:val="22"/>
          <w:szCs w:val="22"/>
        </w:rPr>
        <w:t xml:space="preserve">Hero sections — full-bleed photography with dark green overlay, eyebrow label, large Playfair Display H1.</w:t>
      </w:r>
    </w:p>
    <w:p>
      <w:pPr>
        <w:pStyle w:val="ListParagraph"/>
        <w:numPr>
          <w:ilvl w:val="0"/>
          <w:numId w:val="3"/>
        </w:numPr>
        <w:spacing w:after="80"/>
      </w:pPr>
      <w:r>
        <w:rPr>
          <w:rFonts w:ascii="Helvetica" w:cs="Helvetica" w:eastAsia="Helvetica" w:hAnsi="Helvetica"/>
          <w:color w:val="404040"/>
          <w:sz w:val="22"/>
          <w:szCs w:val="22"/>
        </w:rPr>
        <w:t xml:space="preserve">Floating consultation card — dark semi-transparent panel on the right side of the homepage hero with gold primary CTA.</w:t>
      </w:r>
    </w:p>
    <w:p>
      <w:pPr>
        <w:pStyle w:val="ListParagraph"/>
        <w:numPr>
          <w:ilvl w:val="0"/>
          <w:numId w:val="3"/>
        </w:numPr>
        <w:spacing w:after="80"/>
      </w:pPr>
      <w:r>
        <w:rPr>
          <w:rFonts w:ascii="Helvetica" w:cs="Helvetica" w:eastAsia="Helvetica" w:hAnsi="Helvetica"/>
          <w:color w:val="404040"/>
          <w:sz w:val="22"/>
          <w:szCs w:val="22"/>
        </w:rPr>
        <w:t xml:space="preserve">Stats strip — dark green band below hero with four horizontal stats in gold.</w:t>
      </w:r>
    </w:p>
    <w:p>
      <w:pPr>
        <w:pStyle w:val="ListParagraph"/>
        <w:numPr>
          <w:ilvl w:val="0"/>
          <w:numId w:val="3"/>
        </w:numPr>
        <w:spacing w:after="80"/>
      </w:pPr>
      <w:r>
        <w:rPr>
          <w:rFonts w:ascii="Helvetica" w:cs="Helvetica" w:eastAsia="Helvetica" w:hAnsi="Helvetica"/>
          <w:color w:val="404040"/>
          <w:sz w:val="22"/>
          <w:szCs w:val="22"/>
        </w:rPr>
        <w:t xml:space="preserve">Card grids — practice cards, case-result cards, philosophy cards on alternating cream and sage backgrounds.</w:t>
      </w:r>
    </w:p>
    <w:p>
      <w:pPr>
        <w:pStyle w:val="ListParagraph"/>
        <w:numPr>
          <w:ilvl w:val="0"/>
          <w:numId w:val="3"/>
        </w:numPr>
        <w:spacing w:after="80"/>
      </w:pPr>
      <w:r>
        <w:rPr>
          <w:rFonts w:ascii="Helvetica" w:cs="Helvetica" w:eastAsia="Helvetica" w:hAnsi="Helvetica"/>
          <w:color w:val="404040"/>
          <w:sz w:val="22"/>
          <w:szCs w:val="22"/>
        </w:rPr>
        <w:t xml:space="preserve">Full-width CTA banner — deep green, two-column headline-and-action pattern between sections.</w:t>
      </w:r>
    </w:p>
    <w:p>
      <w:pPr>
        <w:pStyle w:val="ListParagraph"/>
        <w:numPr>
          <w:ilvl w:val="0"/>
          <w:numId w:val="3"/>
        </w:numPr>
        <w:spacing w:after="80"/>
      </w:pPr>
      <w:r>
        <w:rPr>
          <w:rFonts w:ascii="Helvetica" w:cs="Helvetica" w:eastAsia="Helvetica" w:hAnsi="Helvetica"/>
          <w:color w:val="404040"/>
          <w:sz w:val="22"/>
          <w:szCs w:val="22"/>
        </w:rPr>
        <w:t xml:space="preserve">Footer — deep green, four-column layout with gold section headings.</w:t>
      </w:r>
    </w:p>
    <w:p>
      <w:r>
        <w:br w:type="page"/>
      </w:r>
    </w:p>
    <w:p>
      <w:pPr>
        <w:pStyle w:val="Heading1"/>
        <w:spacing w:after="140" w:before="280"/>
      </w:pPr>
      <w:r>
        <w:rPr>
          <w:rFonts w:ascii="Helvetica" w:cs="Helvetica" w:eastAsia="Helvetica" w:hAnsi="Helvetica"/>
          <w:b/>
          <w:bCs/>
          <w:color w:val="0E2841"/>
          <w:sz w:val="36"/>
          <w:szCs w:val="36"/>
        </w:rPr>
        <w:t xml:space="preserve">3. Page-by-Page Walk-Through</w:t>
      </w:r>
    </w:p>
    <w:p>
      <w:pPr>
        <w:pStyle w:val="Heading2"/>
        <w:spacing w:after="140" w:before="280"/>
      </w:pPr>
      <w:r>
        <w:rPr>
          <w:rFonts w:ascii="Helvetica" w:cs="Helvetica" w:eastAsia="Helvetica" w:hAnsi="Helvetica"/>
          <w:b/>
          <w:bCs/>
          <w:color w:val="0E2841"/>
          <w:sz w:val="28"/>
          <w:szCs w:val="28"/>
        </w:rPr>
        <w:t xml:space="preserve">3.1 Homepage</w:t>
      </w:r>
    </w:p>
    <w:p>
      <w:pPr>
        <w:pStyle w:val="ListParagraph"/>
        <w:numPr>
          <w:ilvl w:val="0"/>
          <w:numId w:val="3"/>
        </w:numPr>
        <w:spacing w:after="80"/>
      </w:pPr>
      <w:r>
        <w:rPr>
          <w:rFonts w:ascii="Helvetica" w:cs="Helvetica" w:eastAsia="Helvetica" w:hAnsi="Helvetica"/>
          <w:color w:val="404040"/>
          <w:sz w:val="22"/>
          <w:szCs w:val="22"/>
        </w:rPr>
        <w:t xml:space="preserve">Hero — Eyebrow: CPA · ATTORNEY · FLORIDA &amp; MASSACHUSETTS. H1: Tax-Driven Legal Counsel for Real Estate, Operating Businesses, and the Families Behind Them. Subheadline reinforces the planning–compliance–controversy integration.</w:t>
      </w:r>
    </w:p>
    <w:p>
      <w:pPr>
        <w:pStyle w:val="ListParagraph"/>
        <w:numPr>
          <w:ilvl w:val="0"/>
          <w:numId w:val="3"/>
        </w:numPr>
        <w:spacing w:after="80"/>
      </w:pPr>
      <w:r>
        <w:rPr>
          <w:rFonts w:ascii="Helvetica" w:cs="Helvetica" w:eastAsia="Helvetica" w:hAnsi="Helvetica"/>
          <w:color w:val="404040"/>
          <w:sz w:val="22"/>
          <w:szCs w:val="22"/>
        </w:rPr>
        <w:t xml:space="preserve">Stats strip — CPA + JD · FL + MA · 25+ Years · Federal/State/International tax scope. (Alt: numeric configuration if Paul prefers.)</w:t>
      </w:r>
    </w:p>
    <w:p>
      <w:pPr>
        <w:pStyle w:val="ListParagraph"/>
        <w:numPr>
          <w:ilvl w:val="0"/>
          <w:numId w:val="3"/>
        </w:numPr>
        <w:spacing w:after="80"/>
      </w:pPr>
      <w:r>
        <w:rPr>
          <w:rFonts w:ascii="Helvetica" w:cs="Helvetica" w:eastAsia="Helvetica" w:hAnsi="Helvetica"/>
          <w:color w:val="404040"/>
          <w:sz w:val="22"/>
          <w:szCs w:val="22"/>
        </w:rPr>
        <w:t xml:space="preserve">Three-pillar section — Planning · Compliance · Controversy as three cards (replacing the old Real Estate / Business / Tax grid).</w:t>
      </w:r>
    </w:p>
    <w:p>
      <w:pPr>
        <w:pStyle w:val="ListParagraph"/>
        <w:numPr>
          <w:ilvl w:val="0"/>
          <w:numId w:val="3"/>
        </w:numPr>
        <w:spacing w:after="80"/>
      </w:pPr>
      <w:r>
        <w:rPr>
          <w:rFonts w:ascii="Helvetica" w:cs="Helvetica" w:eastAsia="Helvetica" w:hAnsi="Helvetica"/>
          <w:color w:val="404040"/>
          <w:sz w:val="22"/>
          <w:szCs w:val="22"/>
        </w:rPr>
        <w:t xml:space="preserve">Why Donovan Legal — two-column block: heading + six differentiator tiles (CPA + JD, two-state practice, integration, personal access, discretion, complex structures).</w:t>
      </w:r>
    </w:p>
    <w:p>
      <w:pPr>
        <w:pStyle w:val="ListParagraph"/>
        <w:numPr>
          <w:ilvl w:val="0"/>
          <w:numId w:val="3"/>
        </w:numPr>
        <w:spacing w:after="80"/>
      </w:pPr>
      <w:r>
        <w:rPr>
          <w:rFonts w:ascii="Helvetica" w:cs="Helvetica" w:eastAsia="Helvetica" w:hAnsi="Helvetica"/>
          <w:color w:val="404040"/>
          <w:sz w:val="22"/>
          <w:szCs w:val="22"/>
        </w:rPr>
        <w:t xml:space="preserve">Representative Matters preview — 4–6 case-result cards, mixed by context (real estate / business / tax controversy).</w:t>
      </w:r>
    </w:p>
    <w:p>
      <w:pPr>
        <w:pStyle w:val="ListParagraph"/>
        <w:numPr>
          <w:ilvl w:val="0"/>
          <w:numId w:val="3"/>
        </w:numPr>
        <w:spacing w:after="80"/>
      </w:pPr>
      <w:r>
        <w:rPr>
          <w:rFonts w:ascii="Helvetica" w:cs="Helvetica" w:eastAsia="Helvetica" w:hAnsi="Helvetica"/>
          <w:color w:val="404040"/>
          <w:sz w:val="22"/>
          <w:szCs w:val="22"/>
        </w:rPr>
        <w:t xml:space="preserve">CTA banner — Schedule a Confidential Consultation.</w:t>
      </w:r>
    </w:p>
    <w:p>
      <w:pPr>
        <w:pStyle w:val="ListParagraph"/>
        <w:numPr>
          <w:ilvl w:val="0"/>
          <w:numId w:val="3"/>
        </w:numPr>
        <w:spacing w:after="80"/>
      </w:pPr>
      <w:r>
        <w:rPr>
          <w:rFonts w:ascii="Helvetica" w:cs="Helvetica" w:eastAsia="Helvetica" w:hAnsi="Helvetica"/>
          <w:color w:val="404040"/>
          <w:sz w:val="22"/>
          <w:szCs w:val="22"/>
        </w:rPr>
        <w:t xml:space="preserve">Footer — deep green, four-column.</w:t>
      </w:r>
    </w:p>
    <w:p>
      <w:pPr>
        <w:pStyle w:val="Heading2"/>
        <w:spacing w:after="140" w:before="280"/>
      </w:pPr>
      <w:r>
        <w:rPr>
          <w:rFonts w:ascii="Helvetica" w:cs="Helvetica" w:eastAsia="Helvetica" w:hAnsi="Helvetica"/>
          <w:b/>
          <w:bCs/>
          <w:color w:val="0E2841"/>
          <w:sz w:val="28"/>
          <w:szCs w:val="28"/>
        </w:rPr>
        <w:t xml:space="preserve">3.2 Attorney Profile</w:t>
      </w:r>
    </w:p>
    <w:p>
      <w:pPr>
        <w:pStyle w:val="ListParagraph"/>
        <w:numPr>
          <w:ilvl w:val="0"/>
          <w:numId w:val="3"/>
        </w:numPr>
        <w:spacing w:after="80"/>
      </w:pPr>
      <w:r>
        <w:rPr>
          <w:rFonts w:ascii="Helvetica" w:cs="Helvetica" w:eastAsia="Helvetica" w:hAnsi="Helvetica"/>
          <w:color w:val="404040"/>
          <w:sz w:val="22"/>
          <w:szCs w:val="22"/>
        </w:rPr>
        <w:t xml:space="preserve">Hero — H1: Paul Donovan, CPA, Esq. Subtitle: Certified Public Accountant · Attorney admitted in Florida &amp; Massachusetts · Founder, Donovan Legal PLLC.</w:t>
      </w:r>
    </w:p>
    <w:p>
      <w:pPr>
        <w:pStyle w:val="ListParagraph"/>
        <w:numPr>
          <w:ilvl w:val="0"/>
          <w:numId w:val="3"/>
        </w:numPr>
        <w:spacing w:after="80"/>
      </w:pPr>
      <w:r>
        <w:rPr>
          <w:rFonts w:ascii="Helvetica" w:cs="Helvetica" w:eastAsia="Helvetica" w:hAnsi="Helvetica"/>
          <w:color w:val="404040"/>
          <w:sz w:val="22"/>
          <w:szCs w:val="22"/>
        </w:rPr>
        <w:t xml:space="preserve">Bio — three to four paragraphs, leading with the CPA + JD integration as Paul's defining professional identity.</w:t>
      </w:r>
    </w:p>
    <w:p>
      <w:pPr>
        <w:pStyle w:val="ListParagraph"/>
        <w:numPr>
          <w:ilvl w:val="0"/>
          <w:numId w:val="3"/>
        </w:numPr>
        <w:spacing w:after="80"/>
      </w:pPr>
      <w:r>
        <w:rPr>
          <w:rFonts w:ascii="Helvetica" w:cs="Helvetica" w:eastAsia="Helvetica" w:hAnsi="Helvetica"/>
          <w:color w:val="404040"/>
          <w:sz w:val="22"/>
          <w:szCs w:val="22"/>
        </w:rPr>
        <w:t xml:space="preserve">Credentials grid — Admissions (FL Bar, MA Bar, U.S. Tax Court if applicable), Education (J.D., LL.M., undergrad, CPA), Affiliations.</w:t>
      </w:r>
    </w:p>
    <w:p>
      <w:pPr>
        <w:pStyle w:val="ListParagraph"/>
        <w:numPr>
          <w:ilvl w:val="0"/>
          <w:numId w:val="3"/>
        </w:numPr>
        <w:spacing w:after="80"/>
      </w:pPr>
      <w:r>
        <w:rPr>
          <w:rFonts w:ascii="Helvetica" w:cs="Helvetica" w:eastAsia="Helvetica" w:hAnsi="Helvetica"/>
          <w:color w:val="404040"/>
          <w:sz w:val="22"/>
          <w:szCs w:val="22"/>
        </w:rPr>
        <w:t xml:space="preserve">Career highlights — Big Four / accounting origin, Massachusetts practice, Florida practice, notable matters.</w:t>
      </w:r>
    </w:p>
    <w:p>
      <w:pPr>
        <w:pStyle w:val="ListParagraph"/>
        <w:numPr>
          <w:ilvl w:val="0"/>
          <w:numId w:val="3"/>
        </w:numPr>
        <w:spacing w:after="80"/>
      </w:pPr>
      <w:r>
        <w:rPr>
          <w:rFonts w:ascii="Helvetica" w:cs="Helvetica" w:eastAsia="Helvetica" w:hAnsi="Helvetica"/>
          <w:color w:val="404040"/>
          <w:sz w:val="22"/>
          <w:szCs w:val="22"/>
        </w:rPr>
        <w:t xml:space="preserve">CTA banner — Work Directly with Paul Donovan.</w:t>
      </w:r>
    </w:p>
    <w:p>
      <w:pPr>
        <w:pStyle w:val="Heading2"/>
        <w:spacing w:after="140" w:before="280"/>
      </w:pPr>
      <w:r>
        <w:rPr>
          <w:rFonts w:ascii="Helvetica" w:cs="Helvetica" w:eastAsia="Helvetica" w:hAnsi="Helvetica"/>
          <w:b/>
          <w:bCs/>
          <w:color w:val="0E2841"/>
          <w:sz w:val="28"/>
          <w:szCs w:val="28"/>
        </w:rPr>
        <w:t xml:space="preserve">3.3 The Firm</w:t>
      </w:r>
    </w:p>
    <w:p>
      <w:pPr>
        <w:pStyle w:val="ListParagraph"/>
        <w:numPr>
          <w:ilvl w:val="0"/>
          <w:numId w:val="3"/>
        </w:numPr>
        <w:spacing w:after="80"/>
      </w:pPr>
      <w:r>
        <w:rPr>
          <w:rFonts w:ascii="Helvetica" w:cs="Helvetica" w:eastAsia="Helvetica" w:hAnsi="Helvetica"/>
          <w:color w:val="404040"/>
          <w:sz w:val="22"/>
          <w:szCs w:val="22"/>
        </w:rPr>
        <w:t xml:space="preserve">Hero — H1: The Firm Behind the Counsel.</w:t>
      </w:r>
    </w:p>
    <w:p>
      <w:pPr>
        <w:pStyle w:val="ListParagraph"/>
        <w:numPr>
          <w:ilvl w:val="0"/>
          <w:numId w:val="3"/>
        </w:numPr>
        <w:spacing w:after="80"/>
      </w:pPr>
      <w:r>
        <w:rPr>
          <w:rFonts w:ascii="Helvetica" w:cs="Helvetica" w:eastAsia="Helvetica" w:hAnsi="Helvetica"/>
          <w:color w:val="404040"/>
          <w:sz w:val="22"/>
          <w:szCs w:val="22"/>
        </w:rPr>
        <w:t xml:space="preserve">Firm overview — boutique, integrated, dual-credentialed, multi-jurisdictional.</w:t>
      </w:r>
    </w:p>
    <w:p>
      <w:pPr>
        <w:pStyle w:val="ListParagraph"/>
        <w:numPr>
          <w:ilvl w:val="0"/>
          <w:numId w:val="3"/>
        </w:numPr>
        <w:spacing w:after="80"/>
      </w:pPr>
      <w:r>
        <w:rPr>
          <w:rFonts w:ascii="Helvetica" w:cs="Helvetica" w:eastAsia="Helvetica" w:hAnsi="Helvetica"/>
          <w:color w:val="404040"/>
          <w:sz w:val="22"/>
          <w:szCs w:val="22"/>
        </w:rPr>
        <w:t xml:space="preserve">Practice philosophy — proactive, holistic, white-glove, absolute discretion.</w:t>
      </w:r>
    </w:p>
    <w:p>
      <w:pPr>
        <w:pStyle w:val="ListParagraph"/>
        <w:numPr>
          <w:ilvl w:val="0"/>
          <w:numId w:val="3"/>
        </w:numPr>
        <w:spacing w:after="80"/>
      </w:pPr>
      <w:r>
        <w:rPr>
          <w:rFonts w:ascii="Helvetica" w:cs="Helvetica" w:eastAsia="Helvetica" w:hAnsi="Helvetica"/>
          <w:color w:val="404040"/>
          <w:sz w:val="22"/>
          <w:szCs w:val="22"/>
        </w:rPr>
        <w:t xml:space="preserve">Client focus — Real Estate Developers / Investors / Funds · Operating Businesses · HNW Families (audience hierarchy reorder).</w:t>
      </w:r>
    </w:p>
    <w:p>
      <w:pPr>
        <w:pStyle w:val="ListParagraph"/>
        <w:numPr>
          <w:ilvl w:val="0"/>
          <w:numId w:val="3"/>
        </w:numPr>
        <w:spacing w:after="80"/>
      </w:pPr>
      <w:r>
        <w:rPr>
          <w:rFonts w:ascii="Helvetica" w:cs="Helvetica" w:eastAsia="Helvetica" w:hAnsi="Helvetica"/>
          <w:color w:val="404040"/>
          <w:sz w:val="22"/>
          <w:szCs w:val="22"/>
        </w:rPr>
        <w:t xml:space="preserve">Location — Delray Beach address, hours, embedded map.</w:t>
      </w:r>
    </w:p>
    <w:p>
      <w:pPr>
        <w:pStyle w:val="Heading2"/>
        <w:spacing w:after="140" w:before="280"/>
      </w:pPr>
      <w:r>
        <w:rPr>
          <w:rFonts w:ascii="Helvetica" w:cs="Helvetica" w:eastAsia="Helvetica" w:hAnsi="Helvetica"/>
          <w:b/>
          <w:bCs/>
          <w:color w:val="0E2841"/>
          <w:sz w:val="28"/>
          <w:szCs w:val="28"/>
        </w:rPr>
        <w:t xml:space="preserve">3.4 Practice Contexts</w:t>
      </w:r>
    </w:p>
    <w:p>
      <w:pPr>
        <w:spacing w:after="200" w:line="276"/>
      </w:pPr>
      <w:r>
        <w:rPr>
          <w:rFonts w:ascii="Helvetica" w:cs="Helvetica" w:eastAsia="Helvetica" w:hAnsi="Helvetica"/>
          <w:color w:val="404040"/>
          <w:sz w:val="22"/>
          <w:szCs w:val="22"/>
        </w:rPr>
        <w:t xml:space="preserve">Three dedicated pages, each framed as a context in which tax-driven counsel operates rather than as a separate practice silo:</w:t>
      </w:r>
    </w:p>
    <w:p>
      <w:pPr>
        <w:pStyle w:val="ListParagraph"/>
        <w:numPr>
          <w:ilvl w:val="0"/>
          <w:numId w:val="3"/>
        </w:numPr>
        <w:spacing w:after="80"/>
      </w:pPr>
      <w:r>
        <w:rPr>
          <w:rFonts w:ascii="Helvetica" w:cs="Helvetica" w:eastAsia="Helvetica" w:hAnsi="Helvetica"/>
          <w:color w:val="404040"/>
          <w:sz w:val="22"/>
          <w:szCs w:val="22"/>
        </w:rPr>
        <w:t xml:space="preserve">Real Estate — Developers, investors, funds. Acquisition, development, financing, 1031 exchanges, tax structuring of transactions.</w:t>
      </w:r>
    </w:p>
    <w:p>
      <w:pPr>
        <w:pStyle w:val="ListParagraph"/>
        <w:numPr>
          <w:ilvl w:val="0"/>
          <w:numId w:val="3"/>
        </w:numPr>
        <w:spacing w:after="80"/>
      </w:pPr>
      <w:r>
        <w:rPr>
          <w:rFonts w:ascii="Helvetica" w:cs="Helvetica" w:eastAsia="Helvetica" w:hAnsi="Helvetica"/>
          <w:color w:val="404040"/>
          <w:sz w:val="22"/>
          <w:szCs w:val="22"/>
        </w:rPr>
        <w:t xml:space="preserve">Operating Businesses — Entity structuring, M&amp;A, governance, partnership and JV agreements, tax-optimized transactions.</w:t>
      </w:r>
    </w:p>
    <w:p>
      <w:pPr>
        <w:pStyle w:val="ListParagraph"/>
        <w:numPr>
          <w:ilvl w:val="0"/>
          <w:numId w:val="3"/>
        </w:numPr>
        <w:spacing w:after="80"/>
      </w:pPr>
      <w:r>
        <w:rPr>
          <w:rFonts w:ascii="Helvetica" w:cs="Helvetica" w:eastAsia="Helvetica" w:hAnsi="Helvetica"/>
          <w:color w:val="404040"/>
          <w:sz w:val="22"/>
          <w:szCs w:val="22"/>
        </w:rPr>
        <w:t xml:space="preserve">Taxation — The integration page. Planning, compliance, and controversy across federal, state, and international issues for all client cohorts.</w:t>
      </w:r>
    </w:p>
    <w:p>
      <w:pPr>
        <w:pStyle w:val="Heading2"/>
        <w:spacing w:after="140" w:before="280"/>
      </w:pPr>
      <w:r>
        <w:rPr>
          <w:rFonts w:ascii="Helvetica" w:cs="Helvetica" w:eastAsia="Helvetica" w:hAnsi="Helvetica"/>
          <w:b/>
          <w:bCs/>
          <w:color w:val="0E2841"/>
          <w:sz w:val="28"/>
          <w:szCs w:val="28"/>
        </w:rPr>
        <w:t xml:space="preserve">3.5 Experience, Contact, Clients</w:t>
      </w:r>
    </w:p>
    <w:p>
      <w:pPr>
        <w:pStyle w:val="ListParagraph"/>
        <w:numPr>
          <w:ilvl w:val="0"/>
          <w:numId w:val="3"/>
        </w:numPr>
        <w:spacing w:after="80"/>
      </w:pPr>
      <w:r>
        <w:rPr>
          <w:rFonts w:ascii="Helvetica" w:cs="Helvetica" w:eastAsia="Helvetica" w:hAnsi="Helvetica"/>
          <w:color w:val="404040"/>
          <w:sz w:val="22"/>
          <w:szCs w:val="22"/>
        </w:rPr>
        <w:t xml:space="preserve">Experience — Full filterable grid of representative matters with case-result card design (gold eyebrow, large Playfair Display headline, brief narrative).</w:t>
      </w:r>
    </w:p>
    <w:p>
      <w:pPr>
        <w:pStyle w:val="ListParagraph"/>
        <w:numPr>
          <w:ilvl w:val="0"/>
          <w:numId w:val="3"/>
        </w:numPr>
        <w:spacing w:after="80"/>
      </w:pPr>
      <w:r>
        <w:rPr>
          <w:rFonts w:ascii="Helvetica" w:cs="Helvetica" w:eastAsia="Helvetica" w:hAnsi="Helvetica"/>
          <w:color w:val="404040"/>
          <w:sz w:val="22"/>
          <w:szCs w:val="22"/>
        </w:rPr>
        <w:t xml:space="preserve">Contact — Two-column: intake form with practice-area dropdown and matter description, sidebar with phone/email/hours and address. Embedded Google Map. TCPA-compliant SMS consent language.</w:t>
      </w:r>
    </w:p>
    <w:p>
      <w:pPr>
        <w:pStyle w:val="ListParagraph"/>
        <w:numPr>
          <w:ilvl w:val="0"/>
          <w:numId w:val="3"/>
        </w:numPr>
        <w:spacing w:after="80"/>
      </w:pPr>
      <w:r>
        <w:rPr>
          <w:rFonts w:ascii="Helvetica" w:cs="Helvetica" w:eastAsia="Helvetica" w:hAnsi="Helvetica"/>
          <w:color w:val="404040"/>
          <w:sz w:val="22"/>
          <w:szCs w:val="22"/>
        </w:rPr>
        <w:t xml:space="preserve">Clients — Who we serve (developer/investor/fund/business/family cards), industries served, optional testimonials section.</w:t>
      </w:r>
    </w:p>
    <w:p>
      <w:r>
        <w:br w:type="page"/>
      </w:r>
    </w:p>
    <w:p>
      <w:pPr>
        <w:pStyle w:val="Heading1"/>
        <w:spacing w:after="140" w:before="280"/>
      </w:pPr>
      <w:r>
        <w:rPr>
          <w:rFonts w:ascii="Helvetica" w:cs="Helvetica" w:eastAsia="Helvetica" w:hAnsi="Helvetica"/>
          <w:b/>
          <w:bCs/>
          <w:color w:val="0E2841"/>
          <w:sz w:val="36"/>
          <w:szCs w:val="36"/>
        </w:rPr>
        <w:t xml:space="preserve">4. Photography and Artwork Needs</w:t>
      </w:r>
    </w:p>
    <w:p>
      <w:pPr>
        <w:pStyle w:val="Heading2"/>
        <w:spacing w:after="140" w:before="280"/>
      </w:pPr>
      <w:r>
        <w:rPr>
          <w:rFonts w:ascii="Helvetica" w:cs="Helvetica" w:eastAsia="Helvetica" w:hAnsi="Helvetica"/>
          <w:b/>
          <w:bCs/>
          <w:color w:val="0E2841"/>
          <w:sz w:val="28"/>
          <w:szCs w:val="28"/>
        </w:rPr>
        <w:t xml:space="preserve">Must Schedule</w:t>
      </w:r>
    </w:p>
    <w:p>
      <w:pPr>
        <w:pStyle w:val="ListParagraph"/>
        <w:numPr>
          <w:ilvl w:val="0"/>
          <w:numId w:val="3"/>
        </w:numPr>
        <w:spacing w:after="80"/>
      </w:pPr>
      <w:r>
        <w:rPr>
          <w:rFonts w:ascii="Helvetica" w:cs="Helvetica" w:eastAsia="Helvetica" w:hAnsi="Helvetica"/>
          <w:color w:val="404040"/>
          <w:sz w:val="22"/>
          <w:szCs w:val="22"/>
        </w:rPr>
        <w:t xml:space="preserve">Professional studio portrait session for Paul — dark backdrop, conservative wardrobe, Rembrandt or split lighting. Four poses: primary headshot, relaxed ¾ turn, seated at desk, standing in office or library. Budget: $800–$1,500 for a proper session in Palm Beach/Boca area.</w:t>
      </w:r>
    </w:p>
    <w:p>
      <w:pPr>
        <w:pStyle w:val="ListParagraph"/>
        <w:numPr>
          <w:ilvl w:val="0"/>
          <w:numId w:val="3"/>
        </w:numPr>
        <w:spacing w:after="80"/>
      </w:pPr>
      <w:r>
        <w:rPr>
          <w:rFonts w:ascii="Helvetica" w:cs="Helvetica" w:eastAsia="Helvetica" w:hAnsi="Helvetica"/>
          <w:color w:val="404040"/>
          <w:sz w:val="22"/>
          <w:szCs w:val="22"/>
        </w:rPr>
        <w:t xml:space="preserve">Environmental portraits — Paul reviewing documents, in consultation pose, walking in office, outside a Delray Beach professional building.</w:t>
      </w:r>
    </w:p>
    <w:p>
      <w:pPr>
        <w:pStyle w:val="ListParagraph"/>
        <w:numPr>
          <w:ilvl w:val="0"/>
          <w:numId w:val="3"/>
        </w:numPr>
        <w:spacing w:after="80"/>
      </w:pPr>
      <w:r>
        <w:rPr>
          <w:rFonts w:ascii="Helvetica" w:cs="Helvetica" w:eastAsia="Helvetica" w:hAnsi="Helvetica"/>
          <w:color w:val="404040"/>
          <w:sz w:val="22"/>
          <w:szCs w:val="22"/>
        </w:rPr>
        <w:t xml:space="preserve">Office interior photography (optional) — reception, conference space, desk with windows, law library if available.</w:t>
      </w:r>
    </w:p>
    <w:p>
      <w:pPr>
        <w:pStyle w:val="Heading2"/>
        <w:spacing w:after="140" w:before="280"/>
      </w:pPr>
      <w:r>
        <w:rPr>
          <w:rFonts w:ascii="Helvetica" w:cs="Helvetica" w:eastAsia="Helvetica" w:hAnsi="Helvetica"/>
          <w:b/>
          <w:bCs/>
          <w:color w:val="0E2841"/>
          <w:sz w:val="28"/>
          <w:szCs w:val="28"/>
        </w:rPr>
        <w:t xml:space="preserve">Can Source Immediately (Stock)</w:t>
      </w:r>
    </w:p>
    <w:p>
      <w:pPr>
        <w:pStyle w:val="ListParagraph"/>
        <w:numPr>
          <w:ilvl w:val="0"/>
          <w:numId w:val="3"/>
        </w:numPr>
        <w:spacing w:after="80"/>
      </w:pPr>
      <w:r>
        <w:rPr>
          <w:rFonts w:ascii="Helvetica" w:cs="Helvetica" w:eastAsia="Helvetica" w:hAnsi="Helvetica"/>
          <w:color w:val="404040"/>
          <w:sz w:val="22"/>
          <w:szCs w:val="22"/>
        </w:rPr>
        <w:t xml:space="preserve">Homepage hero — Palm Beach aerial, Intracoastal at dusk, or South Florida skyline.</w:t>
      </w:r>
    </w:p>
    <w:p>
      <w:pPr>
        <w:pStyle w:val="ListParagraph"/>
        <w:numPr>
          <w:ilvl w:val="0"/>
          <w:numId w:val="3"/>
        </w:numPr>
        <w:spacing w:after="80"/>
      </w:pPr>
      <w:r>
        <w:rPr>
          <w:rFonts w:ascii="Helvetica" w:cs="Helvetica" w:eastAsia="Helvetica" w:hAnsi="Helvetica"/>
          <w:color w:val="404040"/>
          <w:sz w:val="22"/>
          <w:szCs w:val="22"/>
        </w:rPr>
        <w:t xml:space="preserve">Practice context heroes — luxury commercial real estate aerial, professional handshake / boardroom, financial documents / tax consultation.</w:t>
      </w:r>
    </w:p>
    <w:p>
      <w:pPr>
        <w:pStyle w:val="ListParagraph"/>
        <w:numPr>
          <w:ilvl w:val="0"/>
          <w:numId w:val="3"/>
        </w:numPr>
        <w:spacing w:after="80"/>
      </w:pPr>
      <w:r>
        <w:rPr>
          <w:rFonts w:ascii="Helvetica" w:cs="Helvetica" w:eastAsia="Helvetica" w:hAnsi="Helvetica"/>
          <w:color w:val="404040"/>
          <w:sz w:val="22"/>
          <w:szCs w:val="22"/>
        </w:rPr>
        <w:t xml:space="preserve">Selection criteria — warm tones that hold up under a dark green overlay, South Florida context where possible, no generic gavel or stacked-law-book clichés.</w:t>
      </w:r>
    </w:p>
    <w:p>
      <w:pPr>
        <w:pStyle w:val="Heading2"/>
        <w:spacing w:after="140" w:before="280"/>
      </w:pPr>
      <w:r>
        <w:rPr>
          <w:rFonts w:ascii="Helvetica" w:cs="Helvetica" w:eastAsia="Helvetica" w:hAnsi="Helvetica"/>
          <w:b/>
          <w:bCs/>
          <w:color w:val="0E2841"/>
          <w:sz w:val="28"/>
          <w:szCs w:val="28"/>
        </w:rPr>
        <w:t xml:space="preserve">Design Assets to Create</w:t>
      </w:r>
    </w:p>
    <w:p>
      <w:pPr>
        <w:pStyle w:val="ListParagraph"/>
        <w:numPr>
          <w:ilvl w:val="0"/>
          <w:numId w:val="3"/>
        </w:numPr>
        <w:spacing w:after="80"/>
      </w:pPr>
      <w:r>
        <w:rPr>
          <w:rFonts w:ascii="Helvetica" w:cs="Helvetica" w:eastAsia="Helvetica" w:hAnsi="Helvetica"/>
          <w:color w:val="404040"/>
          <w:sz w:val="22"/>
          <w:szCs w:val="22"/>
        </w:rPr>
        <w:t xml:space="preserve">Logo and wordmark — DONOVAN LEGAL PLLC in Playfair Display small caps, color and monochrome versions, SVG plus PNG plus favicon.</w:t>
      </w:r>
    </w:p>
    <w:p>
      <w:pPr>
        <w:pStyle w:val="ListParagraph"/>
        <w:numPr>
          <w:ilvl w:val="0"/>
          <w:numId w:val="3"/>
        </w:numPr>
        <w:spacing w:after="80"/>
      </w:pPr>
      <w:r>
        <w:rPr>
          <w:rFonts w:ascii="Helvetica" w:cs="Helvetica" w:eastAsia="Helvetica" w:hAnsi="Helvetica"/>
          <w:color w:val="404040"/>
          <w:sz w:val="22"/>
          <w:szCs w:val="22"/>
        </w:rPr>
        <w:t xml:space="preserve">Three pillar icons (Planning / Compliance / Controversy) — line style, sage square background.</w:t>
      </w:r>
    </w:p>
    <w:p>
      <w:pPr>
        <w:pStyle w:val="ListParagraph"/>
        <w:numPr>
          <w:ilvl w:val="0"/>
          <w:numId w:val="3"/>
        </w:numPr>
        <w:spacing w:after="80"/>
      </w:pPr>
      <w:r>
        <w:rPr>
          <w:rFonts w:ascii="Helvetica" w:cs="Helvetica" w:eastAsia="Helvetica" w:hAnsi="Helvetica"/>
          <w:color w:val="404040"/>
          <w:sz w:val="22"/>
          <w:szCs w:val="22"/>
        </w:rPr>
        <w:t xml:space="preserve">Six differentiator icons for the Why Donovan section.</w:t>
      </w:r>
    </w:p>
    <w:p>
      <w:pPr>
        <w:pStyle w:val="ListParagraph"/>
        <w:numPr>
          <w:ilvl w:val="0"/>
          <w:numId w:val="3"/>
        </w:numPr>
        <w:spacing w:after="80"/>
      </w:pPr>
      <w:r>
        <w:rPr>
          <w:rFonts w:ascii="Helvetica" w:cs="Helvetica" w:eastAsia="Helvetica" w:hAnsi="Helvetica"/>
          <w:color w:val="404040"/>
          <w:sz w:val="22"/>
          <w:szCs w:val="22"/>
        </w:rPr>
        <w:t xml:space="preserve">Open Graph social sharing image (1200×630) — wordmark on deep green with gold accent line.</w:t>
      </w:r>
    </w:p>
    <w:p>
      <w:pPr>
        <w:pStyle w:val="ListParagraph"/>
        <w:numPr>
          <w:ilvl w:val="0"/>
          <w:numId w:val="3"/>
        </w:numPr>
        <w:spacing w:after="80"/>
      </w:pPr>
      <w:r>
        <w:rPr>
          <w:rFonts w:ascii="Helvetica" w:cs="Helvetica" w:eastAsia="Helvetica" w:hAnsi="Helvetica"/>
          <w:color w:val="404040"/>
          <w:sz w:val="22"/>
          <w:szCs w:val="22"/>
        </w:rPr>
        <w:t xml:space="preserve">Favicon — DL monogram or simple D initial, deep green background, gold letterform.</w:t>
      </w:r>
    </w:p>
    <w:p>
      <w:r>
        <w:br w:type="page"/>
      </w:r>
    </w:p>
    <w:p>
      <w:pPr>
        <w:pStyle w:val="Heading1"/>
        <w:spacing w:after="140" w:before="280"/>
      </w:pPr>
      <w:r>
        <w:rPr>
          <w:rFonts w:ascii="Helvetica" w:cs="Helvetica" w:eastAsia="Helvetica" w:hAnsi="Helvetica"/>
          <w:b/>
          <w:bCs/>
          <w:color w:val="0E2841"/>
          <w:sz w:val="36"/>
          <w:szCs w:val="36"/>
        </w:rPr>
        <w:t xml:space="preserve">5. Content Checklist — Decisions Needed from Paul</w:t>
      </w:r>
    </w:p>
    <w:p>
      <w:pPr>
        <w:pStyle w:val="Heading2"/>
        <w:spacing w:after="140" w:before="280"/>
      </w:pPr>
      <w:r>
        <w:rPr>
          <w:rFonts w:ascii="Helvetica" w:cs="Helvetica" w:eastAsia="Helvetica" w:hAnsi="Helvetica"/>
          <w:b/>
          <w:bCs/>
          <w:color w:val="0E2841"/>
          <w:sz w:val="28"/>
          <w:szCs w:val="28"/>
        </w:rPr>
        <w:t xml:space="preserve">Must Have to Launch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Item</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Decision Needed</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Bio approval</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Approve the new tax-driven, CPA-attorney positioning bio (draft prepared)</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Bar admissions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Confirm Florida and Massachusetts admission dates; any federal court admissions; U.S. Tax Court (significant credential for Taxation page)</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Education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Law school, J.D. year, LL.M. (Taxation?) if held, undergraduate institution, year, honors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CPA credential</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State of CPA licensure; active or inactive status; whether to display the license number on the site</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Stats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Years of practice (confirm 25+), total transaction or matter volume if disclosable, other quantitative credentials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Professional headshot</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Approve placeholder use or commit to scheduling new shoot (recommend before Phase 1 launch)</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Office address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Complete mailing address, hours of operation</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Contact info</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Primary phone, email (paul@donovan.law or alternative), fax if needed</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Representative matters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Full list grouped by context with disclosure permissions (dollar amounts permitted vs. anonymized)</w:t>
            </w:r>
          </w:p>
        </w:tc>
      </w:tr>
    </w:tbl>
    <w:p>
      <w:pPr>
        <w:spacing w:after="200"/>
      </w:pPr>
    </w:p>
    <w:p>
      <w:pPr>
        <w:pStyle w:val="Heading2"/>
        <w:spacing w:after="140" w:before="280"/>
      </w:pPr>
      <w:r>
        <w:rPr>
          <w:rFonts w:ascii="Helvetica" w:cs="Helvetica" w:eastAsia="Helvetica" w:hAnsi="Helvetica"/>
          <w:b/>
          <w:bCs/>
          <w:color w:val="0E2841"/>
          <w:sz w:val="28"/>
          <w:szCs w:val="28"/>
        </w:rPr>
        <w:t xml:space="preserve">Should Have (Significantly Improves the Site)</w:t>
      </w:r>
    </w:p>
    <w:p>
      <w:pPr>
        <w:pStyle w:val="ListParagraph"/>
        <w:numPr>
          <w:ilvl w:val="0"/>
          <w:numId w:val="3"/>
        </w:numPr>
        <w:spacing w:after="80"/>
      </w:pPr>
      <w:r>
        <w:rPr>
          <w:rFonts w:ascii="Helvetica" w:cs="Helvetica" w:eastAsia="Helvetica" w:hAnsi="Helvetica"/>
          <w:color w:val="404040"/>
          <w:sz w:val="22"/>
          <w:szCs w:val="22"/>
        </w:rPr>
        <w:t xml:space="preserve">Big Four / accounting firm name — willingness to identify specific firm, or keep generic.</w:t>
      </w:r>
    </w:p>
    <w:p>
      <w:pPr>
        <w:pStyle w:val="ListParagraph"/>
        <w:numPr>
          <w:ilvl w:val="0"/>
          <w:numId w:val="3"/>
        </w:numPr>
        <w:spacing w:after="80"/>
      </w:pPr>
      <w:r>
        <w:rPr>
          <w:rFonts w:ascii="Helvetica" w:cs="Helvetica" w:eastAsia="Helvetica" w:hAnsi="Helvetica"/>
          <w:color w:val="404040"/>
          <w:sz w:val="22"/>
          <w:szCs w:val="22"/>
        </w:rPr>
        <w:t xml:space="preserve">Professional affiliations — Florida Bar sections (Tax, Real Property, Business Law), Massachusetts Bar sections, local bar associations, real estate industry associations, CPA society memberships.</w:t>
      </w:r>
    </w:p>
    <w:p>
      <w:pPr>
        <w:pStyle w:val="ListParagraph"/>
        <w:numPr>
          <w:ilvl w:val="0"/>
          <w:numId w:val="3"/>
        </w:numPr>
        <w:spacing w:after="80"/>
      </w:pPr>
      <w:r>
        <w:rPr>
          <w:rFonts w:ascii="Helvetica" w:cs="Helvetica" w:eastAsia="Helvetica" w:hAnsi="Helvetica"/>
          <w:color w:val="404040"/>
          <w:sz w:val="22"/>
          <w:szCs w:val="22"/>
        </w:rPr>
        <w:t xml:space="preserve">Awards and recognitions — Florida Super Lawyers, AV Preeminent by Martindale-Hubbell, Best Lawyers, peer recognition publications, speaking engagements, publications, quoted press.</w:t>
      </w:r>
    </w:p>
    <w:p>
      <w:pPr>
        <w:pStyle w:val="ListParagraph"/>
        <w:numPr>
          <w:ilvl w:val="0"/>
          <w:numId w:val="3"/>
        </w:numPr>
        <w:spacing w:after="80"/>
      </w:pPr>
      <w:r>
        <w:rPr>
          <w:rFonts w:ascii="Helvetica" w:cs="Helvetica" w:eastAsia="Helvetica" w:hAnsi="Helvetica"/>
          <w:color w:val="404040"/>
          <w:sz w:val="22"/>
          <w:szCs w:val="22"/>
        </w:rPr>
        <w:t xml:space="preserve">Firm description — founding year, of-counsel relationships, staff (paralegal, legal assistant).</w:t>
      </w:r>
    </w:p>
    <w:p>
      <w:pPr>
        <w:pStyle w:val="ListParagraph"/>
        <w:numPr>
          <w:ilvl w:val="0"/>
          <w:numId w:val="3"/>
        </w:numPr>
        <w:spacing w:after="80"/>
      </w:pPr>
      <w:r>
        <w:rPr>
          <w:rFonts w:ascii="Helvetica" w:cs="Helvetica" w:eastAsia="Helvetica" w:hAnsi="Helvetica"/>
          <w:color w:val="404040"/>
          <w:sz w:val="22"/>
          <w:szCs w:val="22"/>
        </w:rPr>
        <w:t xml:space="preserve">Client testimonials — even two to three anonymized testimonials make a significant impact; must comply with Florida Bar advertising rules.</w:t>
      </w:r>
    </w:p>
    <w:p>
      <w:pPr>
        <w:pStyle w:val="ListParagraph"/>
        <w:numPr>
          <w:ilvl w:val="0"/>
          <w:numId w:val="3"/>
        </w:numPr>
        <w:spacing w:after="80"/>
      </w:pPr>
      <w:r>
        <w:rPr>
          <w:rFonts w:ascii="Helvetica" w:cs="Helvetica" w:eastAsia="Helvetica" w:hAnsi="Helvetica"/>
          <w:color w:val="404040"/>
          <w:sz w:val="22"/>
          <w:szCs w:val="22"/>
        </w:rPr>
        <w:t xml:space="preserve">Case results with dollar amounts — specific transaction amounts or resolution figures where client consents and rules permit.</w:t>
      </w:r>
    </w:p>
    <w:p>
      <w:pPr>
        <w:pStyle w:val="Heading2"/>
        <w:spacing w:after="140" w:before="280"/>
      </w:pPr>
      <w:r>
        <w:rPr>
          <w:rFonts w:ascii="Helvetica" w:cs="Helvetica" w:eastAsia="Helvetica" w:hAnsi="Helvetica"/>
          <w:b/>
          <w:bCs/>
          <w:color w:val="0E2841"/>
          <w:sz w:val="28"/>
          <w:szCs w:val="28"/>
        </w:rPr>
        <w:t xml:space="preserve">Nice to Have (Phase 2–3)</w:t>
      </w:r>
    </w:p>
    <w:p>
      <w:pPr>
        <w:pStyle w:val="ListParagraph"/>
        <w:numPr>
          <w:ilvl w:val="0"/>
          <w:numId w:val="3"/>
        </w:numPr>
        <w:spacing w:after="80"/>
      </w:pPr>
      <w:r>
        <w:rPr>
          <w:rFonts w:ascii="Helvetica" w:cs="Helvetica" w:eastAsia="Helvetica" w:hAnsi="Helvetica"/>
          <w:color w:val="404040"/>
          <w:sz w:val="22"/>
          <w:szCs w:val="22"/>
        </w:rPr>
        <w:t xml:space="preserve">Press mentions and media coverage.</w:t>
      </w:r>
    </w:p>
    <w:p>
      <w:pPr>
        <w:pStyle w:val="ListParagraph"/>
        <w:numPr>
          <w:ilvl w:val="0"/>
          <w:numId w:val="3"/>
        </w:numPr>
        <w:spacing w:after="80"/>
      </w:pPr>
      <w:r>
        <w:rPr>
          <w:rFonts w:ascii="Helvetica" w:cs="Helvetica" w:eastAsia="Helvetica" w:hAnsi="Helvetica"/>
          <w:color w:val="404040"/>
          <w:sz w:val="22"/>
          <w:szCs w:val="22"/>
        </w:rPr>
        <w:t xml:space="preserve">Community involvement and board memberships.</w:t>
      </w:r>
    </w:p>
    <w:p>
      <w:pPr>
        <w:pStyle w:val="ListParagraph"/>
        <w:numPr>
          <w:ilvl w:val="0"/>
          <w:numId w:val="3"/>
        </w:numPr>
        <w:spacing w:after="80"/>
      </w:pPr>
      <w:r>
        <w:rPr>
          <w:rFonts w:ascii="Helvetica" w:cs="Helvetica" w:eastAsia="Helvetica" w:hAnsi="Helvetica"/>
          <w:color w:val="404040"/>
          <w:sz w:val="22"/>
          <w:szCs w:val="22"/>
        </w:rPr>
        <w:t xml:space="preserve">Long-form practice page descriptions (500–800 words each).</w:t>
      </w:r>
    </w:p>
    <w:p>
      <w:pPr>
        <w:pStyle w:val="ListParagraph"/>
        <w:numPr>
          <w:ilvl w:val="0"/>
          <w:numId w:val="3"/>
        </w:numPr>
        <w:spacing w:after="80"/>
      </w:pPr>
      <w:r>
        <w:rPr>
          <w:rFonts w:ascii="Helvetica" w:cs="Helvetica" w:eastAsia="Helvetica" w:hAnsi="Helvetica"/>
          <w:color w:val="404040"/>
          <w:sz w:val="22"/>
          <w:szCs w:val="22"/>
        </w:rPr>
        <w:t xml:space="preserve">FAQ content (5–10 questions per practice context) for organic search.</w:t>
      </w:r>
    </w:p>
    <w:p>
      <w:pPr>
        <w:pStyle w:val="ListParagraph"/>
        <w:numPr>
          <w:ilvl w:val="0"/>
          <w:numId w:val="3"/>
        </w:numPr>
        <w:spacing w:after="80"/>
      </w:pPr>
      <w:r>
        <w:rPr>
          <w:rFonts w:ascii="Helvetica" w:cs="Helvetica" w:eastAsia="Helvetica" w:hAnsi="Helvetica"/>
          <w:color w:val="404040"/>
          <w:sz w:val="22"/>
          <w:szCs w:val="22"/>
        </w:rPr>
        <w:t xml:space="preserve">Specific career-total transaction dollar volume for stats strip.</w:t>
      </w:r>
    </w:p>
    <w:p>
      <w:r>
        <w:br w:type="page"/>
      </w:r>
    </w:p>
    <w:p>
      <w:pPr>
        <w:pStyle w:val="Heading1"/>
        <w:spacing w:after="140" w:before="280"/>
      </w:pPr>
      <w:r>
        <w:rPr>
          <w:rFonts w:ascii="Helvetica" w:cs="Helvetica" w:eastAsia="Helvetica" w:hAnsi="Helvetica"/>
          <w:b/>
          <w:bCs/>
          <w:color w:val="0E2841"/>
          <w:sz w:val="36"/>
          <w:szCs w:val="36"/>
        </w:rPr>
        <w:t xml:space="preserve">6. Build Plan and Timeline</w:t>
      </w:r>
    </w:p>
    <w:p>
      <w:pPr>
        <w:pStyle w:val="Heading2"/>
        <w:spacing w:after="140" w:before="280"/>
      </w:pPr>
      <w:r>
        <w:rPr>
          <w:rFonts w:ascii="Helvetica" w:cs="Helvetica" w:eastAsia="Helvetica" w:hAnsi="Helvetica"/>
          <w:b/>
          <w:bCs/>
          <w:color w:val="0E2841"/>
          <w:sz w:val="28"/>
          <w:szCs w:val="28"/>
        </w:rPr>
        <w:t xml:space="preserve">Technical Approach</w:t>
      </w:r>
    </w:p>
    <w:p>
      <w:pPr>
        <w:spacing w:after="200" w:line="276"/>
      </w:pPr>
      <w:r>
        <w:rPr>
          <w:rFonts w:ascii="Helvetica" w:cs="Helvetica" w:eastAsia="Helvetica" w:hAnsi="Helvetica"/>
          <w:color w:val="404040"/>
          <w:sz w:val="22"/>
          <w:szCs w:val="22"/>
        </w:rPr>
        <w:t xml:space="preserve">Rebuild donovan.law in React + Vite + Tailwind CSS, matching the architecture of both reference sites. Static output deploys identically to the existing GCP Cloud Run + Cloud Build pipeline at donovan-law-site-290683654730.us-east1.run.app. Future Legal Concierge widget integrates as a component, gated by an environment variable so it can be enabled or disabled without code changes.</w:t>
      </w:r>
    </w:p>
    <w:p>
      <w:pPr>
        <w:pStyle w:val="Heading2"/>
        <w:spacing w:after="140" w:before="280"/>
      </w:pPr>
      <w:r>
        <w:rPr>
          <w:rFonts w:ascii="Helvetica" w:cs="Helvetica" w:eastAsia="Helvetica" w:hAnsi="Helvetica"/>
          <w:b/>
          <w:bCs/>
          <w:color w:val="0E2841"/>
          <w:sz w:val="28"/>
          <w:szCs w:val="28"/>
        </w:rPr>
        <w:t xml:space="preserve">Phasing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Phase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Scope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Timeline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Phase 1 — Core Launch</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Homepage, Profile, Contact. Replaces dead splash page with conversion-ready site. Logo, design tokens, fonts, basic SEO, LocalBusiness schema, GA4.</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Weeks 1–6</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Phase 2 — Practice Pages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Real Estate, Operating Businesses, Taxation, The Firm, Experience. SEO presence for each practice context.</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Weeks 6–10</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Phase 3 — Supporting</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Clients page, testimonials integration, case result dollar amounts, OG image, sitemap, TCPA verification.</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Weeks 10–14</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Phase 4 — Concierge Widget</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ConnexUS Legal Concierge IFrame widget integration across homepage, contact, and practice pages.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Weeks 14–18</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Phase 5 — Blog &amp; Resources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20–30 long-form articles in Year 1; organic search authority for Florida real estate, business entity, and HNW tax topics.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Weeks 18+</w:t>
            </w:r>
          </w:p>
        </w:tc>
      </w:tr>
    </w:tbl>
    <w:p>
      <w:pPr>
        <w:spacing w:after="200"/>
      </w:pPr>
    </w:p>
    <w:p>
      <w:pPr>
        <w:pStyle w:val="Heading2"/>
        <w:spacing w:after="140" w:before="280"/>
      </w:pPr>
      <w:r>
        <w:rPr>
          <w:rFonts w:ascii="Helvetica" w:cs="Helvetica" w:eastAsia="Helvetica" w:hAnsi="Helvetica"/>
          <w:b/>
          <w:bCs/>
          <w:color w:val="0E2841"/>
          <w:sz w:val="28"/>
          <w:szCs w:val="28"/>
        </w:rPr>
        <w:t xml:space="preserve">Phase 1 Definition of Done</w:t>
      </w:r>
    </w:p>
    <w:p>
      <w:pPr>
        <w:spacing w:after="200" w:line="276"/>
      </w:pPr>
      <w:r>
        <w:rPr>
          <w:rFonts w:ascii="Helvetica" w:cs="Helvetica" w:eastAsia="Helvetica" w:hAnsi="Helvetica"/>
          <w:color w:val="404040"/>
          <w:sz w:val="22"/>
          <w:szCs w:val="22"/>
        </w:rPr>
        <w:t xml:space="preserve">The site loads at donovan.law, passes Lighthouse 90+ across all categories, displays Paul's phone and email as clickable on every page, surfaces the CPA + JD credential prominently in the hero and footer, and renders the consultation intake form on the Contact page with TCPA-compliant SMS consent language.</w:t>
      </w:r>
    </w:p>
    <w:p>
      <w:r>
        <w:br w:type="page"/>
      </w:r>
    </w:p>
    <w:p>
      <w:pPr>
        <w:pStyle w:val="Heading1"/>
        <w:spacing w:after="140" w:before="280"/>
      </w:pPr>
      <w:r>
        <w:rPr>
          <w:rFonts w:ascii="Helvetica" w:cs="Helvetica" w:eastAsia="Helvetica" w:hAnsi="Helvetica"/>
          <w:b/>
          <w:bCs/>
          <w:color w:val="0E2841"/>
          <w:sz w:val="36"/>
          <w:szCs w:val="36"/>
        </w:rPr>
        <w:t xml:space="preserve">7. Open Questions for Today</w:t>
      </w:r>
    </w:p>
    <w:p>
      <w:pPr>
        <w:pStyle w:val="ListParagraph"/>
        <w:numPr>
          <w:ilvl w:val="0"/>
          <w:numId w:val="4"/>
        </w:numPr>
        <w:spacing w:after="80"/>
      </w:pPr>
      <w:r>
        <w:rPr>
          <w:rFonts w:ascii="Helvetica" w:cs="Helvetica" w:eastAsia="Helvetica" w:hAnsi="Helvetica"/>
          <w:color w:val="404040"/>
          <w:sz w:val="22"/>
          <w:szCs w:val="22"/>
        </w:rPr>
        <w:t xml:space="preserve">Does the official positioning statement read correctly when spoken aloud to a prospective client? Anything to adjust?</w:t>
      </w:r>
    </w:p>
    <w:p>
      <w:pPr>
        <w:pStyle w:val="ListParagraph"/>
        <w:numPr>
          <w:ilvl w:val="0"/>
          <w:numId w:val="4"/>
        </w:numPr>
        <w:spacing w:after="80"/>
      </w:pPr>
      <w:r>
        <w:rPr>
          <w:rFonts w:ascii="Helvetica" w:cs="Helvetica" w:eastAsia="Helvetica" w:hAnsi="Helvetica"/>
          <w:color w:val="404040"/>
          <w:sz w:val="22"/>
          <w:szCs w:val="22"/>
        </w:rPr>
        <w:t xml:space="preserve">Are we comfortable leading with the dual CPA + JD credential as the headline differentiator, or does Paul prefer the previous Big Four framing?</w:t>
      </w:r>
    </w:p>
    <w:p>
      <w:pPr>
        <w:pStyle w:val="ListParagraph"/>
        <w:numPr>
          <w:ilvl w:val="0"/>
          <w:numId w:val="4"/>
        </w:numPr>
        <w:spacing w:after="80"/>
      </w:pPr>
      <w:r>
        <w:rPr>
          <w:rFonts w:ascii="Helvetica" w:cs="Helvetica" w:eastAsia="Helvetica" w:hAnsi="Helvetica"/>
          <w:color w:val="404040"/>
          <w:sz w:val="22"/>
          <w:szCs w:val="22"/>
        </w:rPr>
        <w:t xml:space="preserve">Should the homepage three-pillar section read Planning / Compliance / Controversy, or do we want to keep the previous Real Estate / Business / Taxation framing alongside it?</w:t>
      </w:r>
    </w:p>
    <w:p>
      <w:pPr>
        <w:pStyle w:val="ListParagraph"/>
        <w:numPr>
          <w:ilvl w:val="0"/>
          <w:numId w:val="4"/>
        </w:numPr>
        <w:spacing w:after="80"/>
      </w:pPr>
      <w:r>
        <w:rPr>
          <w:rFonts w:ascii="Helvetica" w:cs="Helvetica" w:eastAsia="Helvetica" w:hAnsi="Helvetica"/>
          <w:color w:val="404040"/>
          <w:sz w:val="22"/>
          <w:szCs w:val="22"/>
        </w:rPr>
        <w:t xml:space="preserve">Phone number and email for the live site — confirm now or finalize before Phase 1 launch?</w:t>
      </w:r>
    </w:p>
    <w:p>
      <w:pPr>
        <w:pStyle w:val="ListParagraph"/>
        <w:numPr>
          <w:ilvl w:val="0"/>
          <w:numId w:val="4"/>
        </w:numPr>
        <w:spacing w:after="80"/>
      </w:pPr>
      <w:r>
        <w:rPr>
          <w:rFonts w:ascii="Helvetica" w:cs="Helvetica" w:eastAsia="Helvetica" w:hAnsi="Helvetica"/>
          <w:color w:val="404040"/>
          <w:sz w:val="22"/>
          <w:szCs w:val="22"/>
        </w:rPr>
        <w:t xml:space="preserve">Headshot — proceed with the existing PKD Headshot for Phase 1 launch, or schedule a new shoot first?</w:t>
      </w:r>
    </w:p>
    <w:p>
      <w:pPr>
        <w:pStyle w:val="ListParagraph"/>
        <w:numPr>
          <w:ilvl w:val="0"/>
          <w:numId w:val="4"/>
        </w:numPr>
        <w:spacing w:after="80"/>
      </w:pPr>
      <w:r>
        <w:rPr>
          <w:rFonts w:ascii="Helvetica" w:cs="Helvetica" w:eastAsia="Helvetica" w:hAnsi="Helvetica"/>
          <w:color w:val="404040"/>
          <w:sz w:val="22"/>
          <w:szCs w:val="22"/>
        </w:rPr>
        <w:t xml:space="preserve">Massachusetts admission and active practice — should we say "admitted in Florida &amp; Massachusetts" or qualify it ("primary practice Florida")?</w:t>
      </w:r>
    </w:p>
    <w:p>
      <w:pPr>
        <w:pStyle w:val="ListParagraph"/>
        <w:numPr>
          <w:ilvl w:val="0"/>
          <w:numId w:val="4"/>
        </w:numPr>
        <w:spacing w:after="80"/>
      </w:pPr>
      <w:r>
        <w:rPr>
          <w:rFonts w:ascii="Helvetica" w:cs="Helvetica" w:eastAsia="Helvetica" w:hAnsi="Helvetica"/>
          <w:color w:val="404040"/>
          <w:sz w:val="22"/>
          <w:szCs w:val="22"/>
        </w:rPr>
        <w:t xml:space="preserve">Authority to publish — once Phase 1 is approved, are we good to deploy directly to donovan.law, or do we route through a staging URL for Paul's review first?</w:t>
      </w:r>
    </w:p>
    <w:p>
      <w:pPr>
        <w:pStyle w:val="Heading1"/>
        <w:spacing w:after="140" w:before="280"/>
      </w:pPr>
      <w:r>
        <w:rPr>
          <w:rFonts w:ascii="Helvetica" w:cs="Helvetica" w:eastAsia="Helvetica" w:hAnsi="Helvetica"/>
          <w:b/>
          <w:bCs/>
          <w:color w:val="0E2841"/>
          <w:sz w:val="36"/>
          <w:szCs w:val="36"/>
        </w:rPr>
        <w:t xml:space="preserve">Recommended Decisions Out of Today's Meeting</w:t>
      </w:r>
    </w:p>
    <w:p>
      <w:pPr>
        <w:pStyle w:val="ListParagraph"/>
        <w:numPr>
          <w:ilvl w:val="0"/>
          <w:numId w:val="3"/>
        </w:numPr>
        <w:spacing w:after="80"/>
      </w:pPr>
      <w:r>
        <w:rPr>
          <w:rFonts w:ascii="Helvetica" w:cs="Helvetica" w:eastAsia="Helvetica" w:hAnsi="Helvetica"/>
          <w:color w:val="404040"/>
          <w:sz w:val="22"/>
          <w:szCs w:val="22"/>
        </w:rPr>
        <w:t xml:space="preserve">Final approval of the positioning statement and tone.</w:t>
      </w:r>
    </w:p>
    <w:p>
      <w:pPr>
        <w:pStyle w:val="ListParagraph"/>
        <w:numPr>
          <w:ilvl w:val="0"/>
          <w:numId w:val="3"/>
        </w:numPr>
        <w:spacing w:after="80"/>
      </w:pPr>
      <w:r>
        <w:rPr>
          <w:rFonts w:ascii="Helvetica" w:cs="Helvetica" w:eastAsia="Helvetica" w:hAnsi="Helvetica"/>
          <w:color w:val="404040"/>
          <w:sz w:val="22"/>
          <w:szCs w:val="22"/>
        </w:rPr>
        <w:t xml:space="preserve">Approval of the design direction (palette, typography, reference-site synthesis).</w:t>
      </w:r>
    </w:p>
    <w:p>
      <w:pPr>
        <w:pStyle w:val="ListParagraph"/>
        <w:numPr>
          <w:ilvl w:val="0"/>
          <w:numId w:val="3"/>
        </w:numPr>
        <w:spacing w:after="80"/>
      </w:pPr>
      <w:r>
        <w:rPr>
          <w:rFonts w:ascii="Helvetica" w:cs="Helvetica" w:eastAsia="Helvetica" w:hAnsi="Helvetica"/>
          <w:color w:val="404040"/>
          <w:sz w:val="22"/>
          <w:szCs w:val="22"/>
        </w:rPr>
        <w:t xml:space="preserve">Decision on the three-pillar homepage framing (Planning / Compliance / Controversy).</w:t>
      </w:r>
    </w:p>
    <w:p>
      <w:pPr>
        <w:pStyle w:val="ListParagraph"/>
        <w:numPr>
          <w:ilvl w:val="0"/>
          <w:numId w:val="3"/>
        </w:numPr>
        <w:spacing w:after="80"/>
      </w:pPr>
      <w:r>
        <w:rPr>
          <w:rFonts w:ascii="Helvetica" w:cs="Helvetica" w:eastAsia="Helvetica" w:hAnsi="Helvetica"/>
          <w:color w:val="404040"/>
          <w:sz w:val="22"/>
          <w:szCs w:val="22"/>
        </w:rPr>
        <w:t xml:space="preserve">Confirmation of headshot path (existing vs. new shoot).</w:t>
      </w:r>
    </w:p>
    <w:p>
      <w:pPr>
        <w:pStyle w:val="ListParagraph"/>
        <w:numPr>
          <w:ilvl w:val="0"/>
          <w:numId w:val="3"/>
        </w:numPr>
        <w:spacing w:after="80"/>
      </w:pPr>
      <w:r>
        <w:rPr>
          <w:rFonts w:ascii="Helvetica" w:cs="Helvetica" w:eastAsia="Helvetica" w:hAnsi="Helvetica"/>
          <w:color w:val="404040"/>
          <w:sz w:val="22"/>
          <w:szCs w:val="22"/>
        </w:rPr>
        <w:t xml:space="preserve">Verbal sign-off to begin Phase 1 build immediately.</w:t>
      </w:r>
    </w:p>
    <w:p>
      <w:pPr>
        <w:spacing w:after="0" w:before="300"/>
      </w:pPr>
    </w:p>
    <w:p>
      <w:pPr>
        <w:spacing w:after="300"/>
      </w:pPr>
      <w:r>
        <w:rPr>
          <w:rFonts w:ascii="Helvetica" w:cs="Helvetica" w:eastAsia="Helvetica" w:hAnsi="Helvetica"/>
          <w:color w:val="404040"/>
          <w:sz w:val="22"/>
          <w:szCs w:val="22"/>
        </w:rPr>
        <w:t xml:space="preserve">Respectfully submitted,</w:t>
      </w:r>
    </w:p>
    <w:p>
      <w:pPr>
        <w:spacing w:after="0"/>
      </w:pPr>
      <w:r>
        <w:rPr>
          <w:rFonts w:ascii="Helvetica" w:cs="Helvetica" w:eastAsia="Helvetica" w:hAnsi="Helvetica"/>
          <w:b/>
          <w:bCs/>
          <w:color w:val="404040"/>
          <w:sz w:val="22"/>
          <w:szCs w:val="22"/>
        </w:rPr>
        <w:t xml:space="preserve">Walter White</w:t>
      </w:r>
    </w:p>
    <w:p>
      <w:pPr>
        <w:spacing w:after="0"/>
      </w:pPr>
      <w:r>
        <w:rPr>
          <w:rFonts w:ascii="Helvetica" w:cs="Helvetica" w:eastAsia="Helvetica" w:hAnsi="Helvetica"/>
          <w:i/>
          <w:iCs/>
          <w:color w:val="404040"/>
          <w:sz w:val="22"/>
          <w:szCs w:val="22"/>
        </w:rPr>
        <w:t xml:space="preserve">Liaison to David Pierce</w:t>
      </w:r>
    </w:p>
    <w:p>
      <w:pPr>
        <w:spacing w:after="0"/>
      </w:pPr>
      <w:r>
        <w:rPr>
          <w:rFonts w:ascii="Helvetica" w:cs="Helvetica" w:eastAsia="Helvetica" w:hAnsi="Helvetica"/>
          <w:color w:val="404040"/>
          <w:sz w:val="22"/>
          <w:szCs w:val="22"/>
        </w:rPr>
        <w:t xml:space="preserve">ConnexUS AI</w:t>
      </w:r>
    </w:p>
    <w:sectPr>
      <w:headerReference w:type="default" r:id="rId7"/>
      <w:footerReference w:type="default" r:id="rId8"/>
      <w:pgSz w:w="12240" w:h="15840" w:orient="portrait"/>
      <w:pgMar w:top="1440" w:right="1440" w:bottom="1080" w:left="1800"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9" w:sz="3" w:space="4"/>
      </w:pBdr>
      <w:spacing w:before="100"/>
      <w:jc w:val="center"/>
    </w:pPr>
    <w:r>
      <w:rPr>
        <w:rFonts w:ascii="Helvetica" w:cs="Helvetica" w:eastAsia="Helvetica" w:hAnsi="Helvetica"/>
        <w:color w:val="404040"/>
        <w:sz w:val="16"/>
        <w:szCs w:val="16"/>
      </w:rPr>
      <w:t xml:space="preserve">1.888.888.3371   |   info@theconnexus.ai          www.theconnexus.ai   |   www.ragbox.co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pPr>
    <w:r>
      <w:drawing>
        <wp:inline distT="0" distB="0" distL="0" distR="0">
          <wp:extent cx="1905000" cy="447675"/>
          <wp:effectExtent t="0" r="0" b="0" l="0"/>
          <wp:docPr id="1" name="connexus-logo" descr="ConnexUS AI company logo" title="ConnexUS 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447675"/>
                  </a:xfrm>
                  <a:prstGeom prst="rect">
                    <a:avLst/>
                  </a:prstGeom>
                </pic:spPr>
              </pic:pic>
            </a:graphicData>
          </a:graphic>
        </wp:inline>
      </w:drawing>
    </w:r>
    <w:r>
      <w:rPr>
        <w:rFonts w:ascii="Helvetica" w:cs="Helvetica" w:eastAsia="Helvetica" w:hAnsi="Helvetica"/>
      </w:rPr>
      <w:t xml:space="preserve">	</w:t>
    </w:r>
    <w:r>
      <w:drawing>
        <wp:inline distT="0" distB="0" distL="0" distR="0">
          <wp:extent cx="762000" cy="161925"/>
          <wp:effectExtent t="0" r="0" b="0" l="0"/>
          <wp:docPr id="1" name="ragbox-logo" descr="RAGbox.co logo" title="RAGbo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762000" cy="161925"/>
                  </a:xfrm>
                  <a:prstGeom prst="rect">
                    <a:avLst/>
                  </a:prstGeom>
                </pic:spPr>
              </pic:pic>
            </a:graphicData>
          </a:graphic>
        </wp:inline>
      </w:drawing>
    </w:r>
  </w:p>
  <w:p>
    <w:pPr>
      <w:pBdr>
        <w:bottom w:val="single" w:color="E8E8E9" w:sz="3" w:space="4"/>
      </w:pBdr>
      <w:tabs>
        <w:tab w:val="right" w:pos="9026"/>
      </w:tabs>
      <w:spacing w:after="120" w:before="0"/>
    </w:pPr>
    <w:r>
      <w:t xml:space="preserve">	</w:t>
    </w:r>
    <w:r>
      <w:rPr>
        <w:rFonts w:ascii="Helvetica" w:cs="Helvetica" w:eastAsia="Helvetica" w:hAnsi="Helvetica"/>
        <w:b/>
        <w:bCs/>
        <w:color w:val="000000"/>
        <w:sz w:val="16"/>
        <w:szCs w:val="16"/>
      </w:rPr>
      <w:t xml:space="preserve">3301 N University Drive, Coral Springs FL 33065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Helvetica" w:cs="Helvetica" w:eastAsia="Helvetica" w:hAnsi="Helvetica"/>
      <w:b/>
      <w:bCs/>
      <w:color w:val="0E2841"/>
      <w:sz w:val="36"/>
      <w:szCs w:val="36"/>
    </w:rPr>
  </w:style>
  <w:style w:type="paragraph" w:styleId="Heading2">
    <w:name w:val="Heading 2"/>
    <w:basedOn w:val="Normal"/>
    <w:next w:val="Normal"/>
    <w:qFormat/>
    <w:pPr>
      <w:spacing w:after="110" w:before="220"/>
      <w:outlineLvl w:val="1"/>
    </w:pPr>
    <w:rPr>
      <w:rFonts w:ascii="Helvetica" w:cs="Helvetica" w:eastAsia="Helvetica" w:hAnsi="Helvetica"/>
      <w:b/>
      <w:bCs/>
      <w:color w:val="0E2841"/>
      <w:sz w:val="28"/>
      <w:szCs w:val="28"/>
    </w:rPr>
  </w:style>
  <w:style w:type="paragraph" w:styleId="Heading3">
    <w:name w:val="Heading 3"/>
    <w:basedOn w:val="Normal"/>
    <w:next w:val="Normal"/>
    <w:qFormat/>
    <w:pPr>
      <w:spacing w:after="90" w:before="180"/>
      <w:outlineLvl w:val="2"/>
    </w:pPr>
    <w:rPr>
      <w:rFonts w:ascii="Helvetica" w:cs="Helvetica" w:eastAsia="Helvetica" w:hAnsi="Helvetica"/>
      <w:b/>
      <w:bCs/>
      <w:color w:val="0E28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1a75df0c9365b81da5f9f138061bc1b5b5affc2.png"/><Relationship Id="rId1" Type="http://schemas.openxmlformats.org/officeDocument/2006/relationships/image" Target="media/1f898a4a4b2519a3d62190bc1c8ca0ff935764c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2026-05-13T18:27:07.857Z</dcterms:created>
  <dcterms:modified xsi:type="dcterms:W3CDTF">2026-05-13T18:27:07.857Z</dcterms:modified>
</cp:coreProperties>
</file>

<file path=docProps/custom.xml><?xml version="1.0" encoding="utf-8"?>
<Properties xmlns="http://schemas.openxmlformats.org/officeDocument/2006/custom-properties" xmlns:vt="http://schemas.openxmlformats.org/officeDocument/2006/docPropsVTypes"/>
</file>