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pPr>
      <w:r>
        <w:rPr>
          <w:rFonts w:ascii="Helvetica" w:cs="Helvetica" w:eastAsia="Helvetica" w:hAnsi="Helvetica"/>
          <w:b/>
          <w:bCs/>
          <w:color w:val="0E2841"/>
          <w:sz w:val="36"/>
          <w:szCs w:val="36"/>
        </w:rPr>
        <w:t xml:space="preserve">Donovan Legal PLLC × ConnexUS AI — Meeting Minutes</w:t>
      </w:r>
    </w:p>
    <w:p>
      <w:pPr>
        <w:spacing w:after="40"/>
      </w:pPr>
      <w:r>
        <w:rPr>
          <w:rFonts w:ascii="Helvetica" w:cs="Helvetica" w:eastAsia="Helvetica" w:hAnsi="Helvetica"/>
          <w:color w:val="808080"/>
          <w:sz w:val="18"/>
          <w:szCs w:val="18"/>
        </w:rPr>
        <w:t xml:space="preserve">May 13, 2026</w:t>
      </w:r>
    </w:p>
    <w:p>
      <w:pPr>
        <w:spacing w:after="200"/>
      </w:pPr>
      <w:r>
        <w:rPr>
          <w:rFonts w:ascii="Helvetica" w:cs="Helvetica" w:eastAsia="Helvetica" w:hAnsi="Helvetica"/>
          <w:color w:val="808080"/>
          <w:sz w:val="18"/>
          <w:szCs w:val="18"/>
        </w:rPr>
        <w:t xml:space="preserve">Prepared by: </w:t>
      </w:r>
      <w:r>
        <w:rPr>
          <w:rFonts w:ascii="Helvetica" w:cs="Helvetica" w:eastAsia="Helvetica" w:hAnsi="Helvetica"/>
          <w:color w:val="808080"/>
          <w:sz w:val="18"/>
          <w:szCs w:val="18"/>
        </w:rPr>
        <w:t xml:space="preserve">Walter White, Liaison to David Pierce</w:t>
      </w:r>
    </w:p>
    <w:p>
      <w:pPr>
        <w:pBdr>
          <w:bottom w:val="single" w:color="E8E8E9" w:sz="2" w:space="4"/>
        </w:pBdr>
        <w:spacing w:after="300"/>
      </w:pPr>
    </w:p>
    <w:p>
      <w:pPr>
        <w:spacing w:after="200" w:line="276"/>
      </w:pPr>
      <w:r>
        <w:rPr>
          <w:rFonts w:ascii="Helvetica" w:cs="Helvetica" w:eastAsia="Helvetica" w:hAnsi="Helvetica"/>
          <w:color w:val="404040"/>
          <w:sz w:val="22"/>
          <w:szCs w:val="22"/>
        </w:rPr>
        <w:t xml:space="preserve">Meeting minutes from the Donovan Legal PLLC and ConnexUS AI kickoff held earlier today. This document captures attendees, decisions, action items, and the revised approach to the donovan.law engagement now that Paul has shipped a substantially complete new website on his own.</w:t>
      </w:r>
    </w:p>
    <w:p>
      <w:pPr>
        <w:pStyle w:val="Heading1"/>
        <w:spacing w:after="140" w:before="280"/>
      </w:pPr>
      <w:r>
        <w:rPr>
          <w:rFonts w:ascii="Helvetica" w:cs="Helvetica" w:eastAsia="Helvetica" w:hAnsi="Helvetica"/>
          <w:b/>
          <w:bCs/>
          <w:color w:val="0E2841"/>
          <w:sz w:val="36"/>
          <w:szCs w:val="36"/>
        </w:rPr>
        <w:t xml:space="preserve">Attendees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Name</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Role</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Organization</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Paul Donovan, CPA, Esq.</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Founder / Attorney</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Donovan Legal PLLC</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David Pierce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Project Lead</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Tico AI / ConnexUS AI</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Elroy Geerdink</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Head Engineer</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Tico AI / ConnexUS AI</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Veronica Pierce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Marketing / Google Ads / Social</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Tico AI / ConnexUS AI</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Wendy Cardenas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Calendar &amp; Operations Support</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Donovan Legal PLLC</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Leidy Meza</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Support / Operations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Donovan Legal PLLC</w:t>
            </w:r>
          </w:p>
        </w:tc>
      </w:tr>
    </w:tbl>
    <w:p>
      <w:pPr>
        <w:spacing w:after="200"/>
      </w:pPr>
    </w:p>
    <w:p>
      <w:pPr>
        <w:spacing w:after="200" w:line="276"/>
      </w:pPr>
      <w:r>
        <w:rPr>
          <w:rFonts w:ascii="Helvetica" w:cs="Helvetica" w:eastAsia="Helvetica" w:hAnsi="Helvetica"/>
          <w:color w:val="404040"/>
          <w:sz w:val="22"/>
          <w:szCs w:val="22"/>
        </w:rPr>
        <w:t xml:space="preserve">Action item: Paul or Wendy to send all attendee email addresses to David Pierce. Email addresses were not exchanged verbally during the call.</w:t>
      </w:r>
    </w:p>
    <w:p>
      <w:pPr>
        <w:pStyle w:val="Heading1"/>
        <w:spacing w:after="140" w:before="280"/>
      </w:pPr>
      <w:r>
        <w:rPr>
          <w:rFonts w:ascii="Helvetica" w:cs="Helvetica" w:eastAsia="Helvetica" w:hAnsi="Helvetica"/>
          <w:b/>
          <w:bCs/>
          <w:color w:val="0E2841"/>
          <w:sz w:val="36"/>
          <w:szCs w:val="36"/>
        </w:rPr>
        <w:t xml:space="preserve">Project Entity Structure</w:t>
      </w:r>
    </w:p>
    <w:p>
      <w:pPr>
        <w:spacing w:after="200" w:line="276"/>
      </w:pPr>
      <w:r>
        <w:rPr>
          <w:rFonts w:ascii="Helvetica" w:cs="Helvetica" w:eastAsia="Helvetica" w:hAnsi="Helvetica"/>
          <w:color w:val="404040"/>
          <w:sz w:val="22"/>
          <w:szCs w:val="22"/>
        </w:rPr>
        <w:t xml:space="preserve">The engagement will run through Tico AI as the lead entity, with the ConnexUS AI technology platform powering the agent and CRM stack. The deliberate separation is a Florida Bar advertising and referral-compliance design — Paul is not a customer of an ad agency operating under his name, and the entities driving traffic to donovan.law are separate from the firm.</w:t>
      </w:r>
    </w:p>
    <w:p>
      <w:pPr>
        <w:pStyle w:val="Heading1"/>
        <w:spacing w:after="140" w:before="280"/>
      </w:pPr>
      <w:r>
        <w:rPr>
          <w:rFonts w:ascii="Helvetica" w:cs="Helvetica" w:eastAsia="Helvetica" w:hAnsi="Helvetica"/>
          <w:b/>
          <w:bCs/>
          <w:color w:val="0E2841"/>
          <w:sz w:val="36"/>
          <w:szCs w:val="36"/>
        </w:rPr>
        <w:t xml:space="preserve">Major Discovery — Paul Has Already Built Most of the New Site</w:t>
      </w:r>
    </w:p>
    <w:p>
      <w:pPr>
        <w:spacing w:after="200" w:line="276"/>
      </w:pPr>
      <w:r>
        <w:rPr>
          <w:rFonts w:ascii="Helvetica" w:cs="Helvetica" w:eastAsia="Helvetica" w:hAnsi="Helvetica"/>
          <w:color w:val="404040"/>
          <w:sz w:val="22"/>
          <w:szCs w:val="22"/>
        </w:rPr>
        <w:t xml:space="preserve">Paul rebuilt donovan.law himself between the redesign-plan meeting and today. The new site is substantially more advanced than what we proposed in the April redesign plan and reflects a sharper, more specific positioning than the version we drafted.</w:t>
      </w:r>
    </w:p>
    <w:p>
      <w:pPr>
        <w:pStyle w:val="Heading2"/>
        <w:spacing w:after="140" w:before="280"/>
      </w:pPr>
      <w:r>
        <w:rPr>
          <w:rFonts w:ascii="Helvetica" w:cs="Helvetica" w:eastAsia="Helvetica" w:hAnsi="Helvetica"/>
          <w:b/>
          <w:bCs/>
          <w:color w:val="0E2841"/>
          <w:sz w:val="28"/>
          <w:szCs w:val="28"/>
        </w:rPr>
        <w:t xml:space="preserve">What Paul Has Already Shipped</w:t>
      </w:r>
    </w:p>
    <w:p>
      <w:pPr>
        <w:pStyle w:val="ListParagraph"/>
        <w:numPr>
          <w:ilvl w:val="0"/>
          <w:numId w:val="2"/>
        </w:numPr>
        <w:spacing w:after="80"/>
      </w:pPr>
      <w:r>
        <w:rPr>
          <w:rFonts w:ascii="Helvetica" w:cs="Helvetica" w:eastAsia="Helvetica" w:hAnsi="Helvetica"/>
          <w:color w:val="404040"/>
          <w:sz w:val="22"/>
          <w:szCs w:val="22"/>
        </w:rPr>
        <w:t xml:space="preserve">New positioning tagline: "A tax-first practice focused on real estate."</w:t>
      </w:r>
    </w:p>
    <w:p>
      <w:pPr>
        <w:pStyle w:val="ListParagraph"/>
        <w:numPr>
          <w:ilvl w:val="0"/>
          <w:numId w:val="2"/>
        </w:numPr>
        <w:spacing w:after="80"/>
      </w:pPr>
      <w:r>
        <w:rPr>
          <w:rFonts w:ascii="Helvetica" w:cs="Helvetica" w:eastAsia="Helvetica" w:hAnsi="Helvetica"/>
          <w:color w:val="404040"/>
          <w:sz w:val="22"/>
          <w:szCs w:val="22"/>
        </w:rPr>
        <w:t xml:space="preserve">Four-pillar practice structure: Tax Planning, Tax Compliance, Tax Controversy, Real Estate — organized around the tax position lifecycle, not subject-matter silos</w:t>
      </w:r>
    </w:p>
    <w:p>
      <w:pPr>
        <w:pStyle w:val="ListParagraph"/>
        <w:numPr>
          <w:ilvl w:val="0"/>
          <w:numId w:val="2"/>
        </w:numPr>
        <w:spacing w:after="80"/>
      </w:pPr>
      <w:r>
        <w:rPr>
          <w:rFonts w:ascii="Helvetica" w:cs="Helvetica" w:eastAsia="Helvetica" w:hAnsi="Helvetica"/>
          <w:color w:val="404040"/>
          <w:sz w:val="22"/>
          <w:szCs w:val="22"/>
        </w:rPr>
        <w:t xml:space="preserve">Custom SVG lifecycle wheel — outer ring (Planning · Compliance · Controversy) and inner ring (Acquisition · Ownership · Disposition) with "One Firm" at the center</w:t>
      </w:r>
    </w:p>
    <w:p>
      <w:pPr>
        <w:pStyle w:val="ListParagraph"/>
        <w:numPr>
          <w:ilvl w:val="0"/>
          <w:numId w:val="2"/>
        </w:numPr>
        <w:spacing w:after="80"/>
      </w:pPr>
      <w:r>
        <w:rPr>
          <w:rFonts w:ascii="Helvetica" w:cs="Helvetica" w:eastAsia="Helvetica" w:hAnsi="Helvetica"/>
          <w:color w:val="404040"/>
          <w:sz w:val="22"/>
          <w:szCs w:val="22"/>
        </w:rPr>
        <w:t xml:space="preserve">"Donovan-Structured. Donovan-Defended." callout — written tax opinions are defended through examination at no additional engagement charge</w:t>
      </w:r>
    </w:p>
    <w:p>
      <w:pPr>
        <w:pStyle w:val="ListParagraph"/>
        <w:numPr>
          <w:ilvl w:val="0"/>
          <w:numId w:val="2"/>
        </w:numPr>
        <w:spacing w:after="80"/>
      </w:pPr>
      <w:r>
        <w:rPr>
          <w:rFonts w:ascii="Helvetica" w:cs="Helvetica" w:eastAsia="Helvetica" w:hAnsi="Helvetica"/>
          <w:color w:val="404040"/>
          <w:sz w:val="22"/>
          <w:szCs w:val="22"/>
        </w:rPr>
        <w:t xml:space="preserve">Full Engagement Levels page with three tiers — Gold, Platinum, Reserve — each scoped by Acquisition / Ownership / Disposition phases</w:t>
      </w:r>
    </w:p>
    <w:p>
      <w:pPr>
        <w:pStyle w:val="ListParagraph"/>
        <w:numPr>
          <w:ilvl w:val="0"/>
          <w:numId w:val="2"/>
        </w:numPr>
        <w:spacing w:after="80"/>
      </w:pPr>
      <w:r>
        <w:rPr>
          <w:rFonts w:ascii="Helvetica" w:cs="Helvetica" w:eastAsia="Helvetica" w:hAnsi="Helvetica"/>
          <w:color w:val="404040"/>
          <w:sz w:val="22"/>
          <w:szCs w:val="22"/>
        </w:rPr>
        <w:t xml:space="preserve">Bio page with full credentials: JD (Suffolk cum laude), CPA (MA), CCM, Licensed RE Broker (MA), bars in FL + MA + SCOTUS + 1st Circuit + D. Mass.</w:t>
      </w:r>
    </w:p>
    <w:p>
      <w:pPr>
        <w:pStyle w:val="ListParagraph"/>
        <w:numPr>
          <w:ilvl w:val="0"/>
          <w:numId w:val="2"/>
        </w:numPr>
        <w:spacing w:after="80"/>
      </w:pPr>
      <w:r>
        <w:rPr>
          <w:rFonts w:ascii="Helvetica" w:cs="Helvetica" w:eastAsia="Helvetica" w:hAnsi="Helvetica"/>
          <w:color w:val="404040"/>
          <w:sz w:val="22"/>
          <w:szCs w:val="22"/>
        </w:rPr>
        <w:t xml:space="preserve">First-Circuit reversal case (Donovan v. Massachusetts Parole Board, No. 23-1810) prominently featured</w:t>
      </w:r>
    </w:p>
    <w:p>
      <w:pPr>
        <w:pStyle w:val="ListParagraph"/>
        <w:numPr>
          <w:ilvl w:val="0"/>
          <w:numId w:val="2"/>
        </w:numPr>
        <w:spacing w:after="80"/>
      </w:pPr>
      <w:r>
        <w:rPr>
          <w:rFonts w:ascii="Helvetica" w:cs="Helvetica" w:eastAsia="Helvetica" w:hAnsi="Helvetica"/>
          <w:color w:val="404040"/>
          <w:sz w:val="22"/>
          <w:szCs w:val="22"/>
        </w:rPr>
        <w:t xml:space="preserve">Authority Magazine pull quote on the homepage establishing the bilingual numbers-and-words CPA-attorney positioning</w:t>
      </w:r>
    </w:p>
    <w:p>
      <w:pPr>
        <w:pStyle w:val="ListParagraph"/>
        <w:numPr>
          <w:ilvl w:val="0"/>
          <w:numId w:val="2"/>
        </w:numPr>
        <w:spacing w:after="80"/>
      </w:pPr>
      <w:r>
        <w:rPr>
          <w:rFonts w:ascii="Helvetica" w:cs="Helvetica" w:eastAsia="Helvetica" w:hAnsi="Helvetica"/>
          <w:color w:val="404040"/>
          <w:sz w:val="22"/>
          <w:szCs w:val="22"/>
        </w:rPr>
        <w:t xml:space="preserve">Seven interactive tax and real estate tools (1031 calculator, FIRPTA withholding, capital gains, cost segregation, rental analyzer, OIC RCP estimator, IRS notice guide)</w:t>
      </w:r>
    </w:p>
    <w:p>
      <w:pPr>
        <w:pStyle w:val="ListParagraph"/>
        <w:numPr>
          <w:ilvl w:val="0"/>
          <w:numId w:val="2"/>
        </w:numPr>
        <w:spacing w:after="80"/>
      </w:pPr>
      <w:r>
        <w:rPr>
          <w:rFonts w:ascii="Helvetica" w:cs="Helvetica" w:eastAsia="Helvetica" w:hAnsi="Helvetica"/>
          <w:color w:val="404040"/>
          <w:sz w:val="22"/>
          <w:szCs w:val="22"/>
        </w:rPr>
        <w:t xml:space="preserve">Five tax-notes blog posts already live</w:t>
      </w:r>
    </w:p>
    <w:p>
      <w:pPr>
        <w:pStyle w:val="ListParagraph"/>
        <w:numPr>
          <w:ilvl w:val="0"/>
          <w:numId w:val="2"/>
        </w:numPr>
        <w:spacing w:after="80"/>
      </w:pPr>
      <w:r>
        <w:rPr>
          <w:rFonts w:ascii="Helvetica" w:cs="Helvetica" w:eastAsia="Helvetica" w:hAnsi="Helvetica"/>
          <w:color w:val="404040"/>
          <w:sz w:val="22"/>
          <w:szCs w:val="22"/>
        </w:rPr>
        <w:t xml:space="preserve">Team pages for Wendy Cardenas and Leidy Meza</w:t>
      </w:r>
    </w:p>
    <w:p>
      <w:pPr>
        <w:pStyle w:val="ListParagraph"/>
        <w:numPr>
          <w:ilvl w:val="0"/>
          <w:numId w:val="2"/>
        </w:numPr>
        <w:spacing w:after="80"/>
      </w:pPr>
      <w:r>
        <w:rPr>
          <w:rFonts w:ascii="Helvetica" w:cs="Helvetica" w:eastAsia="Helvetica" w:hAnsi="Helvetica"/>
          <w:color w:val="404040"/>
          <w:sz w:val="22"/>
          <w:szCs w:val="22"/>
        </w:rPr>
        <w:t xml:space="preserve">Contact page with structured intake form, office address, phone, email, fax, and pre-contact legal notice</w:t>
      </w:r>
    </w:p>
    <w:p>
      <w:pPr>
        <w:pStyle w:val="Heading2"/>
        <w:spacing w:after="140" w:before="280"/>
      </w:pPr>
      <w:r>
        <w:rPr>
          <w:rFonts w:ascii="Helvetica" w:cs="Helvetica" w:eastAsia="Helvetica" w:hAnsi="Helvetica"/>
          <w:b/>
          <w:bCs/>
          <w:color w:val="0E2841"/>
          <w:sz w:val="28"/>
          <w:szCs w:val="28"/>
        </w:rPr>
        <w:t xml:space="preserve">What Is Still Unfinished on donovan.law</w:t>
      </w:r>
    </w:p>
    <w:p>
      <w:pPr>
        <w:pStyle w:val="ListParagraph"/>
        <w:numPr>
          <w:ilvl w:val="0"/>
          <w:numId w:val="2"/>
        </w:numPr>
        <w:spacing w:after="80"/>
      </w:pPr>
      <w:r>
        <w:rPr>
          <w:rFonts w:ascii="Helvetica" w:cs="Helvetica" w:eastAsia="Helvetica" w:hAnsi="Helvetica"/>
          <w:color w:val="404040"/>
          <w:sz w:val="22"/>
          <w:szCs w:val="22"/>
        </w:rPr>
        <w:t xml:space="preserve">/gold/, /platinum/, and /reserve/ tier landing pages are blank white pages — nav links to them go to empty placeholders</w:t>
      </w:r>
    </w:p>
    <w:p>
      <w:pPr>
        <w:pStyle w:val="ListParagraph"/>
        <w:numPr>
          <w:ilvl w:val="0"/>
          <w:numId w:val="2"/>
        </w:numPr>
        <w:spacing w:after="80"/>
      </w:pPr>
      <w:r>
        <w:rPr>
          <w:rFonts w:ascii="Helvetica" w:cs="Helvetica" w:eastAsia="Helvetica" w:hAnsi="Helvetica"/>
          <w:color w:val="404040"/>
          <w:sz w:val="22"/>
          <w:szCs w:val="22"/>
        </w:rPr>
        <w:t xml:space="preserve">No calendar or scheduling widget anywhere on the site (no Calendly, Cal.com, Acuity)</w:t>
      </w:r>
    </w:p>
    <w:p>
      <w:pPr>
        <w:pStyle w:val="ListParagraph"/>
        <w:numPr>
          <w:ilvl w:val="0"/>
          <w:numId w:val="2"/>
        </w:numPr>
        <w:spacing w:after="80"/>
      </w:pPr>
      <w:r>
        <w:rPr>
          <w:rFonts w:ascii="Helvetica" w:cs="Helvetica" w:eastAsia="Helvetica" w:hAnsi="Helvetica"/>
          <w:color w:val="404040"/>
          <w:sz w:val="22"/>
          <w:szCs w:val="22"/>
        </w:rPr>
        <w:t xml:space="preserve">No AI voice agent or chat concierge</w:t>
      </w:r>
    </w:p>
    <w:p>
      <w:pPr>
        <w:pStyle w:val="ListParagraph"/>
        <w:numPr>
          <w:ilvl w:val="0"/>
          <w:numId w:val="2"/>
        </w:numPr>
        <w:spacing w:after="80"/>
      </w:pPr>
      <w:r>
        <w:rPr>
          <w:rFonts w:ascii="Helvetica" w:cs="Helvetica" w:eastAsia="Helvetica" w:hAnsi="Helvetica"/>
          <w:color w:val="404040"/>
          <w:sz w:val="22"/>
          <w:szCs w:val="22"/>
        </w:rPr>
        <w:t xml:space="preserve">No CRM integration on the contact form</w:t>
      </w:r>
    </w:p>
    <w:p>
      <w:pPr>
        <w:pStyle w:val="ListParagraph"/>
        <w:numPr>
          <w:ilvl w:val="0"/>
          <w:numId w:val="2"/>
        </w:numPr>
        <w:spacing w:after="80"/>
      </w:pPr>
      <w:r>
        <w:rPr>
          <w:rFonts w:ascii="Helvetica" w:cs="Helvetica" w:eastAsia="Helvetica" w:hAnsi="Helvetica"/>
          <w:color w:val="404040"/>
          <w:sz w:val="22"/>
          <w:szCs w:val="22"/>
        </w:rPr>
        <w:t xml:space="preserve">Blog has five posts but no newsletter signup, no downloads, no FAQ</w:t>
      </w:r>
    </w:p>
    <w:p>
      <w:pPr>
        <w:pStyle w:val="ListParagraph"/>
        <w:numPr>
          <w:ilvl w:val="0"/>
          <w:numId w:val="2"/>
        </w:numPr>
        <w:spacing w:after="80"/>
      </w:pPr>
      <w:r>
        <w:rPr>
          <w:rFonts w:ascii="Helvetica" w:cs="Helvetica" w:eastAsia="Helvetica" w:hAnsi="Helvetica"/>
          <w:color w:val="404040"/>
          <w:sz w:val="22"/>
          <w:szCs w:val="22"/>
        </w:rPr>
        <w:t xml:space="preserve">Three blog post dates are future-dated (October–November 2026)</w:t>
      </w:r>
    </w:p>
    <w:p>
      <w:pPr>
        <w:pStyle w:val="ListParagraph"/>
        <w:numPr>
          <w:ilvl w:val="0"/>
          <w:numId w:val="2"/>
        </w:numPr>
        <w:spacing w:after="80"/>
      </w:pPr>
      <w:r>
        <w:rPr>
          <w:rFonts w:ascii="Helvetica" w:cs="Helvetica" w:eastAsia="Helvetica" w:hAnsi="Helvetica"/>
          <w:color w:val="404040"/>
          <w:sz w:val="22"/>
          <w:szCs w:val="22"/>
        </w:rPr>
        <w:t xml:space="preserve">Footer is one line only — no social, no nav, no phone, no NAP</w:t>
      </w:r>
    </w:p>
    <w:p>
      <w:pPr>
        <w:pStyle w:val="ListParagraph"/>
        <w:numPr>
          <w:ilvl w:val="0"/>
          <w:numId w:val="2"/>
        </w:numPr>
        <w:spacing w:after="80"/>
      </w:pPr>
      <w:r>
        <w:rPr>
          <w:rFonts w:ascii="Helvetica" w:cs="Helvetica" w:eastAsia="Helvetica" w:hAnsi="Helvetica"/>
          <w:color w:val="404040"/>
          <w:sz w:val="22"/>
          <w:szCs w:val="22"/>
        </w:rPr>
        <w:t xml:space="preserve">No analytics scripts visible</w:t>
      </w:r>
    </w:p>
    <w:p>
      <w:pPr>
        <w:pStyle w:val="ListParagraph"/>
        <w:numPr>
          <w:ilvl w:val="0"/>
          <w:numId w:val="2"/>
        </w:numPr>
        <w:spacing w:after="80"/>
      </w:pPr>
      <w:r>
        <w:rPr>
          <w:rFonts w:ascii="Helvetica" w:cs="Helvetica" w:eastAsia="Helvetica" w:hAnsi="Helvetica"/>
          <w:color w:val="404040"/>
          <w:sz w:val="22"/>
          <w:szCs w:val="22"/>
        </w:rPr>
        <w:t xml:space="preserve">No TCPA consent language anywhere</w:t>
      </w:r>
    </w:p>
    <w:p>
      <w:pPr>
        <w:pStyle w:val="ListParagraph"/>
        <w:numPr>
          <w:ilvl w:val="0"/>
          <w:numId w:val="2"/>
        </w:numPr>
        <w:spacing w:after="80"/>
      </w:pPr>
      <w:r>
        <w:rPr>
          <w:rFonts w:ascii="Helvetica" w:cs="Helvetica" w:eastAsia="Helvetica" w:hAnsi="Helvetica"/>
          <w:color w:val="404040"/>
          <w:sz w:val="22"/>
          <w:szCs w:val="22"/>
        </w:rPr>
        <w:t xml:space="preserve">No Florida Bar attorney-advertising disclaimers visible</w:t>
      </w:r>
    </w:p>
    <w:p>
      <w:pPr>
        <w:pStyle w:val="ListParagraph"/>
        <w:numPr>
          <w:ilvl w:val="0"/>
          <w:numId w:val="2"/>
        </w:numPr>
        <w:spacing w:after="80"/>
      </w:pPr>
      <w:r>
        <w:rPr>
          <w:rFonts w:ascii="Helvetica" w:cs="Helvetica" w:eastAsia="Helvetica" w:hAnsi="Helvetica"/>
          <w:color w:val="404040"/>
          <w:sz w:val="22"/>
          <w:szCs w:val="22"/>
        </w:rPr>
        <w:t xml:space="preserve">Tech stack is hand-coded static HTML with Bootstrap 4 and jQuery — works, but limits the interactive layer we want to add</w:t>
      </w:r>
    </w:p>
    <w:p>
      <w:pPr>
        <w:pStyle w:val="Heading2"/>
        <w:spacing w:after="140" w:before="280"/>
      </w:pPr>
      <w:r>
        <w:rPr>
          <w:rFonts w:ascii="Helvetica" w:cs="Helvetica" w:eastAsia="Helvetica" w:hAnsi="Helvetica"/>
          <w:b/>
          <w:bCs/>
          <w:color w:val="0E2841"/>
          <w:sz w:val="28"/>
          <w:szCs w:val="28"/>
        </w:rPr>
        <w:t xml:space="preserve">Revised Strategic Posture</w:t>
      </w:r>
    </w:p>
    <w:p>
      <w:pPr>
        <w:spacing w:after="200" w:line="276"/>
      </w:pPr>
      <w:r>
        <w:rPr>
          <w:rFonts w:ascii="Helvetica" w:cs="Helvetica" w:eastAsia="Helvetica" w:hAnsi="Helvetica"/>
          <w:color w:val="404040"/>
          <w:sz w:val="22"/>
          <w:szCs w:val="22"/>
        </w:rPr>
        <w:t xml:space="preserve">We are no longer rebuilding donovan.law. We are enhancing what Paul has built. Our work concentrates on the four highest-leverage gaps: the AI voice concierge with intake funnel, the calendar booking and CRM integration, the Florida Bar advertising compliance layer, and the three blank tier pages. The visual redesign is shelved.</w:t>
      </w:r>
    </w:p>
    <w:p>
      <w:r>
        <w:br w:type="page"/>
      </w:r>
    </w:p>
    <w:p>
      <w:pPr>
        <w:pStyle w:val="Heading1"/>
        <w:spacing w:after="140" w:before="280"/>
      </w:pPr>
      <w:r>
        <w:rPr>
          <w:rFonts w:ascii="Helvetica" w:cs="Helvetica" w:eastAsia="Helvetica" w:hAnsi="Helvetica"/>
          <w:b/>
          <w:bCs/>
          <w:color w:val="0E2841"/>
          <w:sz w:val="36"/>
          <w:szCs w:val="36"/>
        </w:rPr>
        <w:t xml:space="preserve">Project Goal</w:t>
      </w:r>
    </w:p>
    <w:p>
      <w:pPr>
        <w:spacing w:after="200" w:line="276"/>
      </w:pPr>
      <w:r>
        <w:rPr>
          <w:rFonts w:ascii="Helvetica" w:cs="Helvetica" w:eastAsia="Helvetica" w:hAnsi="Helvetica"/>
          <w:color w:val="404040"/>
          <w:sz w:val="22"/>
          <w:szCs w:val="22"/>
        </w:rPr>
        <w:t xml:space="preserve">Drive qualified, high-net-worth traffic to donovan.law, screen it aggressively through an AI voice concierge, and book qualified prospects directly onto Paul's calendar. Twenty bookings per month is the Phase 1 target. At a 20% close rate, that translates to roughly forty-eight new clients in Year 1; Paul believes he can outperform that to reach approximately one hundred new clients per year at his target client profile.</w:t>
      </w:r>
    </w:p>
    <w:p>
      <w:pPr>
        <w:pStyle w:val="Heading1"/>
        <w:spacing w:after="140" w:before="280"/>
      </w:pPr>
      <w:r>
        <w:rPr>
          <w:rFonts w:ascii="Helvetica" w:cs="Helvetica" w:eastAsia="Helvetica" w:hAnsi="Helvetica"/>
          <w:b/>
          <w:bCs/>
          <w:color w:val="0E2841"/>
          <w:sz w:val="36"/>
          <w:szCs w:val="36"/>
        </w:rPr>
        <w:t xml:space="preserve">Decisions Made</w:t>
      </w:r>
    </w:p>
    <w:p>
      <w:pPr>
        <w:pStyle w:val="Heading2"/>
        <w:spacing w:after="140" w:before="280"/>
      </w:pPr>
      <w:r>
        <w:rPr>
          <w:rFonts w:ascii="Helvetica" w:cs="Helvetica" w:eastAsia="Helvetica" w:hAnsi="Helvetica"/>
          <w:b/>
          <w:bCs/>
          <w:color w:val="0E2841"/>
          <w:sz w:val="28"/>
          <w:szCs w:val="28"/>
        </w:rPr>
        <w:t xml:space="preserve">Intake &amp; Booking</w:t>
      </w:r>
    </w:p>
    <w:p>
      <w:pPr>
        <w:pStyle w:val="ListParagraph"/>
        <w:numPr>
          <w:ilvl w:val="0"/>
          <w:numId w:val="2"/>
        </w:numPr>
        <w:spacing w:after="80"/>
      </w:pPr>
      <w:r>
        <w:rPr>
          <w:rFonts w:ascii="Helvetica" w:cs="Helvetica" w:eastAsia="Helvetica" w:hAnsi="Helvetica"/>
          <w:color w:val="404040"/>
          <w:sz w:val="22"/>
          <w:szCs w:val="22"/>
        </w:rPr>
        <w:t xml:space="preserve">Retainer is collected AFTER calendar booking, not before</w:t>
      </w:r>
    </w:p>
    <w:p>
      <w:pPr>
        <w:pStyle w:val="ListParagraph"/>
        <w:numPr>
          <w:ilvl w:val="0"/>
          <w:numId w:val="2"/>
        </w:numPr>
        <w:spacing w:after="80"/>
      </w:pPr>
      <w:r>
        <w:rPr>
          <w:rFonts w:ascii="Helvetica" w:cs="Helvetica" w:eastAsia="Helvetica" w:hAnsi="Helvetica"/>
          <w:color w:val="404040"/>
          <w:sz w:val="22"/>
          <w:szCs w:val="22"/>
        </w:rPr>
        <w:t xml:space="preserve">Phase 1 single goal: AI agent intake that books a qualified consultation onto Paul's calendar</w:t>
      </w:r>
    </w:p>
    <w:p>
      <w:pPr>
        <w:pStyle w:val="ListParagraph"/>
        <w:numPr>
          <w:ilvl w:val="0"/>
          <w:numId w:val="2"/>
        </w:numPr>
        <w:spacing w:after="80"/>
      </w:pPr>
      <w:r>
        <w:rPr>
          <w:rFonts w:ascii="Helvetica" w:cs="Helvetica" w:eastAsia="Helvetica" w:hAnsi="Helvetica"/>
          <w:color w:val="404040"/>
          <w:sz w:val="22"/>
          <w:szCs w:val="22"/>
        </w:rPr>
        <w:t xml:space="preserve">Phase 2: secondary virtual rep handles post-call callbacks for no-shows</w:t>
      </w:r>
    </w:p>
    <w:p>
      <w:pPr>
        <w:pStyle w:val="ListParagraph"/>
        <w:numPr>
          <w:ilvl w:val="0"/>
          <w:numId w:val="2"/>
        </w:numPr>
        <w:spacing w:after="80"/>
      </w:pPr>
      <w:r>
        <w:rPr>
          <w:rFonts w:ascii="Helvetica" w:cs="Helvetica" w:eastAsia="Helvetica" w:hAnsi="Helvetica"/>
          <w:color w:val="404040"/>
          <w:sz w:val="22"/>
          <w:szCs w:val="22"/>
        </w:rPr>
        <w:t xml:space="preserve">Consultations are 30 minutes</w:t>
      </w:r>
    </w:p>
    <w:p>
      <w:pPr>
        <w:pStyle w:val="ListParagraph"/>
        <w:numPr>
          <w:ilvl w:val="0"/>
          <w:numId w:val="2"/>
        </w:numPr>
        <w:spacing w:after="80"/>
      </w:pPr>
      <w:r>
        <w:rPr>
          <w:rFonts w:ascii="Helvetica" w:cs="Helvetica" w:eastAsia="Helvetica" w:hAnsi="Helvetica"/>
          <w:color w:val="404040"/>
          <w:sz w:val="22"/>
          <w:szCs w:val="22"/>
        </w:rPr>
        <w:t xml:space="preserve">Two intake funnels on the same site: Tax Planning funnel and Tax Controversy funnel — visitors self-select</w:t>
      </w:r>
    </w:p>
    <w:p>
      <w:pPr>
        <w:pStyle w:val="ListParagraph"/>
        <w:numPr>
          <w:ilvl w:val="0"/>
          <w:numId w:val="2"/>
        </w:numPr>
        <w:spacing w:after="80"/>
      </w:pPr>
      <w:r>
        <w:rPr>
          <w:rFonts w:ascii="Helvetica" w:cs="Helvetica" w:eastAsia="Helvetica" w:hAnsi="Helvetica"/>
          <w:color w:val="404040"/>
          <w:sz w:val="22"/>
          <w:szCs w:val="22"/>
        </w:rPr>
        <w:t xml:space="preserve">Hook-side ad creative emphasizes Tax Controversy because problem-aware buyers convert faster and frequently become Planning clients after resolution</w:t>
      </w:r>
    </w:p>
    <w:p>
      <w:pPr>
        <w:pStyle w:val="ListParagraph"/>
        <w:numPr>
          <w:ilvl w:val="0"/>
          <w:numId w:val="2"/>
        </w:numPr>
        <w:spacing w:after="80"/>
      </w:pPr>
      <w:r>
        <w:rPr>
          <w:rFonts w:ascii="Helvetica" w:cs="Helvetica" w:eastAsia="Helvetica" w:hAnsi="Helvetica"/>
          <w:color w:val="404040"/>
          <w:sz w:val="22"/>
          <w:szCs w:val="22"/>
        </w:rPr>
        <w:t xml:space="preserve">Menu-based engagement letter automation — eventual Phase 2 goal: visitor picks services, system auto-generates engagement letter via DocuSign / Adobe Sign API</w:t>
      </w:r>
    </w:p>
    <w:p>
      <w:pPr>
        <w:pStyle w:val="Heading2"/>
        <w:spacing w:after="140" w:before="280"/>
      </w:pPr>
      <w:r>
        <w:rPr>
          <w:rFonts w:ascii="Helvetica" w:cs="Helvetica" w:eastAsia="Helvetica" w:hAnsi="Helvetica"/>
          <w:b/>
          <w:bCs/>
          <w:color w:val="0E2841"/>
          <w:sz w:val="28"/>
          <w:szCs w:val="28"/>
        </w:rPr>
        <w:t xml:space="preserve">Client Profile and Disqualifiers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Funnel</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Qualifier</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Notes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Tax Planning</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Income $1M+ (ideal $2–5M), net worth $10M+</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Roughly 1–2M qualifying individuals nationwide</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Tax Planning</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Real estate investor or interested in real estate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Does NOT need to currently own real estate — Paul can introduce them to it</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Tax Planning</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W-2 earners in high-tax states (NY, CA, MA)</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Short-term-rental and material-participation strategies</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Tax Planning</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International / inbound foreign capital into U.S. real estate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FIRPTA and cross-border structuring — strong fit</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Tax Controversy</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Minimum $250K owed in income, sales, or employment tax</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Pre-controversy, controversy, and post-controversy matters</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Disqualifier</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H-1B visa holders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Too unstable, unpredictable U.S. tenure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Disqualifier</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Undocumented status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Not a fit</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Disqualifier</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Below income/asset thresholds with no controversy matter</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Polite handoff or decline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Disqualifier</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Behavioral red flags (instability, grandiose claims)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Paul has seen 'backwoods crackers claiming wealth' — needs screening</w:t>
            </w:r>
          </w:p>
        </w:tc>
      </w:tr>
    </w:tbl>
    <w:p>
      <w:pPr>
        <w:spacing w:after="200"/>
      </w:pPr>
    </w:p>
    <w:p>
      <w:pPr>
        <w:spacing w:after="200" w:line="276"/>
      </w:pPr>
      <w:r>
        <w:rPr>
          <w:rFonts w:ascii="Helvetica" w:cs="Helvetica" w:eastAsia="Helvetica" w:hAnsi="Helvetica"/>
          <w:color w:val="404040"/>
          <w:sz w:val="22"/>
          <w:szCs w:val="22"/>
        </w:rPr>
        <w:t xml:space="preserve">International clients, multiple-passport holders, and green-card holders are NOT disqualifiers — these are often the most lucrative engagements due to FIRPTA and cross-border planning complexity. Paul will produce a complete disqualifier list for Veronica before the next meeting.</w:t>
      </w:r>
    </w:p>
    <w:p>
      <w:pPr>
        <w:pStyle w:val="Heading2"/>
        <w:spacing w:after="140" w:before="280"/>
      </w:pPr>
      <w:r>
        <w:rPr>
          <w:rFonts w:ascii="Helvetica" w:cs="Helvetica" w:eastAsia="Helvetica" w:hAnsi="Helvetica"/>
          <w:b/>
          <w:bCs/>
          <w:color w:val="0E2841"/>
          <w:sz w:val="28"/>
          <w:szCs w:val="28"/>
        </w:rPr>
        <w:t xml:space="preserve">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Layer</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Decision</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Owner</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CRM</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GoHighLevel (GHL) — natively integrated with ConnexUS AI; Paul gets logins for visibility</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Elroy</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AI Voice Concierge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ConnexUS AI SDK (proven on advisoryconnect.net) — adapted for tax-law intake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Elroy</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Calendar</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Embedded in GHL — replaces the missing scheduling widget on donovan.law</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Elroy</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Business phone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New business line with SMS provisioned for GHL workflows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Elroy</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Fax</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Paul keeps RingCentral fax (IRS and state authorities still require fax)</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Paul</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E-signature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Existing DocuSign + Adobe Sign — hit via API for engagement letters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Paul</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Legal practice management</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Paul currently on Lawbility; David will evaluate Clio vs Lawbility API quality</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David</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Compliance posture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SOC 2 + PII isolated environment; encryption keys held by client</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Elroy</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Call recording</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Enabled during proof-of-concept; disabled post-validation to protect attorney-client privilege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Elroy</w:t>
            </w:r>
          </w:p>
        </w:tc>
      </w:tr>
    </w:tbl>
    <w:p>
      <w:pPr>
        <w:spacing w:after="200"/>
      </w:pPr>
    </w:p>
    <w:p>
      <w:pPr>
        <w:pStyle w:val="Heading2"/>
        <w:spacing w:after="140" w:before="280"/>
      </w:pPr>
      <w:r>
        <w:rPr>
          <w:rFonts w:ascii="Helvetica" w:cs="Helvetica" w:eastAsia="Helvetica" w:hAnsi="Helvetica"/>
          <w:b/>
          <w:bCs/>
          <w:color w:val="0E2841"/>
          <w:sz w:val="28"/>
          <w:szCs w:val="28"/>
        </w:rPr>
        <w:t xml:space="preserve">Marketing &amp; Compliance</w:t>
      </w:r>
    </w:p>
    <w:p>
      <w:pPr>
        <w:pStyle w:val="ListParagraph"/>
        <w:numPr>
          <w:ilvl w:val="0"/>
          <w:numId w:val="2"/>
        </w:numPr>
        <w:spacing w:after="80"/>
      </w:pPr>
      <w:r>
        <w:rPr>
          <w:rFonts w:ascii="Helvetica" w:cs="Helvetica" w:eastAsia="Helvetica" w:hAnsi="Helvetica"/>
          <w:color w:val="404040"/>
          <w:sz w:val="22"/>
          <w:szCs w:val="22"/>
        </w:rPr>
        <w:t xml:space="preserve">Primary channel: Google Ads — establishes a measurable baseline before opening other channels</w:t>
      </w:r>
    </w:p>
    <w:p>
      <w:pPr>
        <w:pStyle w:val="ListParagraph"/>
        <w:numPr>
          <w:ilvl w:val="0"/>
          <w:numId w:val="2"/>
        </w:numPr>
        <w:spacing w:after="80"/>
      </w:pPr>
      <w:r>
        <w:rPr>
          <w:rFonts w:ascii="Helvetica" w:cs="Helvetica" w:eastAsia="Helvetica" w:hAnsi="Helvetica"/>
          <w:color w:val="404040"/>
          <w:sz w:val="22"/>
          <w:szCs w:val="22"/>
        </w:rPr>
        <w:t xml:space="preserve">Ad account of record: Tico AI (not Paul Donovan and not Donovan Legal PLLC) — entity separation protects the firm under Florida Bar advertising rules</w:t>
      </w:r>
    </w:p>
    <w:p>
      <w:pPr>
        <w:pStyle w:val="ListParagraph"/>
        <w:numPr>
          <w:ilvl w:val="0"/>
          <w:numId w:val="2"/>
        </w:numPr>
        <w:spacing w:after="80"/>
      </w:pPr>
      <w:r>
        <w:rPr>
          <w:rFonts w:ascii="Helvetica" w:cs="Helvetica" w:eastAsia="Helvetica" w:hAnsi="Helvetica"/>
          <w:color w:val="404040"/>
          <w:sz w:val="22"/>
          <w:szCs w:val="22"/>
        </w:rPr>
        <w:t xml:space="preserve">Florida Bar review: Paul will forward the Florida Bar advertising rules and the referral-agency registration requirements; David and team will register Tico AI as a referral agency if required</w:t>
      </w:r>
    </w:p>
    <w:p>
      <w:pPr>
        <w:pStyle w:val="ListParagraph"/>
        <w:numPr>
          <w:ilvl w:val="0"/>
          <w:numId w:val="2"/>
        </w:numPr>
        <w:spacing w:after="80"/>
      </w:pPr>
      <w:r>
        <w:rPr>
          <w:rFonts w:ascii="Helvetica" w:cs="Helvetica" w:eastAsia="Helvetica" w:hAnsi="Helvetica"/>
          <w:color w:val="404040"/>
          <w:sz w:val="22"/>
          <w:szCs w:val="22"/>
        </w:rPr>
        <w:t xml:space="preserve">TCPA: full consent language on every intake step before any outbound contact or voice agent initiation</w:t>
      </w:r>
    </w:p>
    <w:p>
      <w:pPr>
        <w:pStyle w:val="ListParagraph"/>
        <w:numPr>
          <w:ilvl w:val="0"/>
          <w:numId w:val="2"/>
        </w:numPr>
        <w:spacing w:after="80"/>
      </w:pPr>
      <w:r>
        <w:rPr>
          <w:rFonts w:ascii="Helvetica" w:cs="Helvetica" w:eastAsia="Helvetica" w:hAnsi="Helvetica"/>
          <w:color w:val="404040"/>
          <w:sz w:val="22"/>
          <w:szCs w:val="22"/>
        </w:rPr>
        <w:t xml:space="preserve">Funnel design: all paid traffic lands on donovan.law (Paul's URL, his owned funnel) — the ad agency drives traffic TO the site, not directly to v-reps; this is the legal architecture</w:t>
      </w:r>
    </w:p>
    <w:p>
      <w:pPr>
        <w:pStyle w:val="ListParagraph"/>
        <w:numPr>
          <w:ilvl w:val="0"/>
          <w:numId w:val="2"/>
        </w:numPr>
        <w:spacing w:after="80"/>
      </w:pPr>
      <w:r>
        <w:rPr>
          <w:rFonts w:ascii="Helvetica" w:cs="Helvetica" w:eastAsia="Helvetica" w:hAnsi="Helvetica"/>
          <w:color w:val="404040"/>
          <w:sz w:val="22"/>
          <w:szCs w:val="22"/>
        </w:rPr>
        <w:t xml:space="preserve">Veronica to develop additional URLs and creative variants for social channels once Google baseline is established</w:t>
      </w:r>
    </w:p>
    <w:p>
      <w:pPr>
        <w:pStyle w:val="ListParagraph"/>
        <w:numPr>
          <w:ilvl w:val="0"/>
          <w:numId w:val="2"/>
        </w:numPr>
        <w:spacing w:after="80"/>
      </w:pPr>
      <w:r>
        <w:rPr>
          <w:rFonts w:ascii="Helvetica" w:cs="Helvetica" w:eastAsia="Helvetica" w:hAnsi="Helvetica"/>
          <w:color w:val="404040"/>
          <w:sz w:val="22"/>
          <w:szCs w:val="22"/>
        </w:rPr>
        <w:t xml:space="preserve">Possible second-front: retool advisoryconnect.net (David's site, already on the ConnexUS voice agent) as a separate ad-traffic landing platform that funnels qualified leads into Donovan Legal</w:t>
      </w:r>
    </w:p>
    <w:p>
      <w:pPr>
        <w:pStyle w:val="Heading2"/>
        <w:spacing w:after="140" w:before="280"/>
      </w:pPr>
      <w:r>
        <w:rPr>
          <w:rFonts w:ascii="Helvetica" w:cs="Helvetica" w:eastAsia="Helvetica" w:hAnsi="Helvetica"/>
          <w:b/>
          <w:bCs/>
          <w:color w:val="0E2841"/>
          <w:sz w:val="28"/>
          <w:szCs w:val="28"/>
        </w:rPr>
        <w:t xml:space="preserve">Membership / Engagement Tiers</w:t>
      </w:r>
    </w:p>
    <w:p>
      <w:pPr>
        <w:spacing w:after="200" w:line="276"/>
      </w:pPr>
      <w:r>
        <w:rPr>
          <w:rFonts w:ascii="Helvetica" w:cs="Helvetica" w:eastAsia="Helvetica" w:hAnsi="Helvetica"/>
          <w:color w:val="404040"/>
          <w:sz w:val="22"/>
          <w:szCs w:val="22"/>
        </w:rPr>
        <w:t xml:space="preserve">Paul has fully scoped the three-tier engagement model and shipped it to donovan.law/engagement.html. Tiers, scopes, and behaviors are confirmed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Tier</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Concierge Behavior</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Tier Cap</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Gold — Trusted Counsel</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Routed via concierge to Wendy / calendar</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Unstated</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Platinum — Strategic Partner</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Routed via concierge to Wendy / calendar</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100 members, by application</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Reserve — Donovan Reserve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Identifies as Reserve client — concierge transfers directly to Paul's mobile, 24/7</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100 members, hand-selected, numbered 001–100, physical black card</w:t>
            </w:r>
          </w:p>
        </w:tc>
      </w:tr>
    </w:tbl>
    <w:p>
      <w:pPr>
        <w:spacing w:after="200"/>
      </w:pPr>
    </w:p>
    <w:p>
      <w:pPr>
        <w:spacing w:after="200" w:line="276"/>
      </w:pPr>
      <w:r>
        <w:rPr>
          <w:rFonts w:ascii="Helvetica" w:cs="Helvetica" w:eastAsia="Helvetica" w:hAnsi="Helvetica"/>
          <w:color w:val="404040"/>
          <w:sz w:val="22"/>
          <w:szCs w:val="22"/>
        </w:rPr>
        <w:t xml:space="preserve">Pricing is not disclosed publicly — fees are set during the confidential consultation. The /gold/, /platinum/, and /reserve/ subpages on donovan.law are currently empty and need to be built out.</w:t>
      </w:r>
    </w:p>
    <w:p>
      <w:r>
        <w:br w:type="page"/>
      </w:r>
    </w:p>
    <w:p>
      <w:pPr>
        <w:pStyle w:val="Heading1"/>
        <w:spacing w:after="140" w:before="280"/>
      </w:pPr>
      <w:r>
        <w:rPr>
          <w:rFonts w:ascii="Helvetica" w:cs="Helvetica" w:eastAsia="Helvetica" w:hAnsi="Helvetica"/>
          <w:b/>
          <w:bCs/>
          <w:color w:val="0E2841"/>
          <w:sz w:val="36"/>
          <w:szCs w:val="36"/>
        </w:rPr>
        <w:t xml:space="preserve">Concierge / V-Rep Architecture</w:t>
      </w:r>
    </w:p>
    <w:p>
      <w:pPr>
        <w:spacing w:after="200" w:line="276"/>
      </w:pPr>
      <w:r>
        <w:rPr>
          <w:rFonts w:ascii="Helvetica" w:cs="Helvetica" w:eastAsia="Helvetica" w:hAnsi="Helvetica"/>
          <w:color w:val="404040"/>
          <w:sz w:val="22"/>
          <w:szCs w:val="22"/>
        </w:rPr>
        <w:t xml:space="preserve">The ConnexUS AI agent will operate as a 24/7 receptionist plus intake specialist. Routing logic agreed in the meeting:</w:t>
      </w:r>
    </w:p>
    <w:p>
      <w:pPr>
        <w:pStyle w:val="ListParagraph"/>
        <w:numPr>
          <w:ilvl w:val="0"/>
          <w:numId w:val="3"/>
        </w:numPr>
        <w:spacing w:after="80"/>
      </w:pPr>
      <w:r>
        <w:rPr>
          <w:rFonts w:ascii="Helvetica" w:cs="Helvetica" w:eastAsia="Helvetica" w:hAnsi="Helvetica"/>
          <w:color w:val="404040"/>
          <w:sz w:val="22"/>
          <w:szCs w:val="22"/>
        </w:rPr>
        <w:t xml:space="preserve">Inbound caller or website visitor reaches the concierge</w:t>
      </w:r>
    </w:p>
    <w:p>
      <w:pPr>
        <w:pStyle w:val="ListParagraph"/>
        <w:numPr>
          <w:ilvl w:val="0"/>
          <w:numId w:val="3"/>
        </w:numPr>
        <w:spacing w:after="80"/>
      </w:pPr>
      <w:r>
        <w:rPr>
          <w:rFonts w:ascii="Helvetica" w:cs="Helvetica" w:eastAsia="Helvetica" w:hAnsi="Helvetica"/>
          <w:color w:val="404040"/>
          <w:sz w:val="22"/>
          <w:szCs w:val="22"/>
        </w:rPr>
        <w:t xml:space="preserve">Concierge asks identifying question: existing client or new prospect?</w:t>
      </w:r>
    </w:p>
    <w:p>
      <w:pPr>
        <w:pStyle w:val="ListParagraph"/>
        <w:numPr>
          <w:ilvl w:val="0"/>
          <w:numId w:val="3"/>
        </w:numPr>
        <w:spacing w:after="80"/>
      </w:pPr>
      <w:r>
        <w:rPr>
          <w:rFonts w:ascii="Helvetica" w:cs="Helvetica" w:eastAsia="Helvetica" w:hAnsi="Helvetica"/>
          <w:color w:val="404040"/>
          <w:sz w:val="22"/>
          <w:szCs w:val="22"/>
        </w:rPr>
        <w:t xml:space="preserve">If existing client and self-identifies as Reserve (member numbers 001–100): direct transfer to Paul's mobile, 24/7</w:t>
      </w:r>
    </w:p>
    <w:p>
      <w:pPr>
        <w:pStyle w:val="ListParagraph"/>
        <w:numPr>
          <w:ilvl w:val="0"/>
          <w:numId w:val="3"/>
        </w:numPr>
        <w:spacing w:after="80"/>
      </w:pPr>
      <w:r>
        <w:rPr>
          <w:rFonts w:ascii="Helvetica" w:cs="Helvetica" w:eastAsia="Helvetica" w:hAnsi="Helvetica"/>
          <w:color w:val="404040"/>
          <w:sz w:val="22"/>
          <w:szCs w:val="22"/>
        </w:rPr>
        <w:t xml:space="preserve">If existing Gold or Platinum: route to Wendy for calendar coordination</w:t>
      </w:r>
    </w:p>
    <w:p>
      <w:pPr>
        <w:pStyle w:val="ListParagraph"/>
        <w:numPr>
          <w:ilvl w:val="0"/>
          <w:numId w:val="3"/>
        </w:numPr>
        <w:spacing w:after="80"/>
      </w:pPr>
      <w:r>
        <w:rPr>
          <w:rFonts w:ascii="Helvetica" w:cs="Helvetica" w:eastAsia="Helvetica" w:hAnsi="Helvetica"/>
          <w:color w:val="404040"/>
          <w:sz w:val="22"/>
          <w:szCs w:val="22"/>
        </w:rPr>
        <w:t xml:space="preserve">If new prospect: run two-funnel intake — Tax Planning path or Tax Controversy path</w:t>
      </w:r>
    </w:p>
    <w:p>
      <w:pPr>
        <w:pStyle w:val="ListParagraph"/>
        <w:numPr>
          <w:ilvl w:val="0"/>
          <w:numId w:val="3"/>
        </w:numPr>
        <w:spacing w:after="80"/>
      </w:pPr>
      <w:r>
        <w:rPr>
          <w:rFonts w:ascii="Helvetica" w:cs="Helvetica" w:eastAsia="Helvetica" w:hAnsi="Helvetica"/>
          <w:color w:val="404040"/>
          <w:sz w:val="22"/>
          <w:szCs w:val="22"/>
        </w:rPr>
        <w:t xml:space="preserve">Qualify against income / net-worth / amount-owed thresholds</w:t>
      </w:r>
    </w:p>
    <w:p>
      <w:pPr>
        <w:pStyle w:val="ListParagraph"/>
        <w:numPr>
          <w:ilvl w:val="0"/>
          <w:numId w:val="3"/>
        </w:numPr>
        <w:spacing w:after="80"/>
      </w:pPr>
      <w:r>
        <w:rPr>
          <w:rFonts w:ascii="Helvetica" w:cs="Helvetica" w:eastAsia="Helvetica" w:hAnsi="Helvetica"/>
          <w:color w:val="404040"/>
          <w:sz w:val="22"/>
          <w:szCs w:val="22"/>
        </w:rPr>
        <w:t xml:space="preserve">Apply disqualifier screen (H-1B, undocumented, behavioral)</w:t>
      </w:r>
    </w:p>
    <w:p>
      <w:pPr>
        <w:pStyle w:val="ListParagraph"/>
        <w:numPr>
          <w:ilvl w:val="0"/>
          <w:numId w:val="3"/>
        </w:numPr>
        <w:spacing w:after="80"/>
      </w:pPr>
      <w:r>
        <w:rPr>
          <w:rFonts w:ascii="Helvetica" w:cs="Helvetica" w:eastAsia="Helvetica" w:hAnsi="Helvetica"/>
          <w:color w:val="404040"/>
          <w:sz w:val="22"/>
          <w:szCs w:val="22"/>
        </w:rPr>
        <w:t xml:space="preserve">If qualified: book a 30-minute consultation on Paul's calendar via GHL</w:t>
      </w:r>
    </w:p>
    <w:p>
      <w:pPr>
        <w:pStyle w:val="ListParagraph"/>
        <w:numPr>
          <w:ilvl w:val="0"/>
          <w:numId w:val="3"/>
        </w:numPr>
        <w:spacing w:after="80"/>
      </w:pPr>
      <w:r>
        <w:rPr>
          <w:rFonts w:ascii="Helvetica" w:cs="Helvetica" w:eastAsia="Helvetica" w:hAnsi="Helvetica"/>
          <w:color w:val="404040"/>
          <w:sz w:val="22"/>
          <w:szCs w:val="22"/>
        </w:rPr>
        <w:t xml:space="preserve">If unqualified: polite decline with an automated written follow-up resource</w:t>
      </w:r>
    </w:p>
    <w:p>
      <w:pPr>
        <w:pStyle w:val="ListParagraph"/>
        <w:numPr>
          <w:ilvl w:val="0"/>
          <w:numId w:val="3"/>
        </w:numPr>
        <w:spacing w:after="80"/>
      </w:pPr>
      <w:r>
        <w:rPr>
          <w:rFonts w:ascii="Helvetica" w:cs="Helvetica" w:eastAsia="Helvetica" w:hAnsi="Helvetica"/>
          <w:color w:val="404040"/>
          <w:sz w:val="22"/>
          <w:szCs w:val="22"/>
        </w:rPr>
        <w:t xml:space="preserve">After call: confirmation SMS and email sent; reminders scheduled; no-show triggers the secondary v-rep callback in Phase 2</w:t>
      </w:r>
    </w:p>
    <w:p>
      <w:pPr>
        <w:pStyle w:val="Heading1"/>
        <w:spacing w:after="140" w:before="280"/>
      </w:pPr>
      <w:r>
        <w:rPr>
          <w:rFonts w:ascii="Helvetica" w:cs="Helvetica" w:eastAsia="Helvetica" w:hAnsi="Helvetica"/>
          <w:b/>
          <w:bCs/>
          <w:color w:val="0E2841"/>
          <w:sz w:val="36"/>
          <w:szCs w:val="36"/>
        </w:rPr>
        <w:t xml:space="preserve">KPIs and Targets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Metric</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Phase 1 Target</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Note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Bookings per month</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20</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30-min slots; Paul's solo calendar capacity</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Close rate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20%</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Yields ~48 new clients per year at the booking target</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Year 1 new clients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100</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Paul's stretch goal</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Channel mix at launch</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Google Ads only</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Establish baseline before adding channels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Cost-per-qualified-booking</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TBD</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Will be reset after first 30 days of spend data</w:t>
            </w:r>
          </w:p>
        </w:tc>
      </w:tr>
    </w:tbl>
    <w:p>
      <w:pPr>
        <w:spacing w:after="200"/>
      </w:pPr>
    </w:p>
    <w:p>
      <w:pPr>
        <w:pStyle w:val="Heading1"/>
        <w:spacing w:after="140" w:before="280"/>
      </w:pPr>
      <w:r>
        <w:rPr>
          <w:rFonts w:ascii="Helvetica" w:cs="Helvetica" w:eastAsia="Helvetica" w:hAnsi="Helvetica"/>
          <w:b/>
          <w:bCs/>
          <w:color w:val="0E2841"/>
          <w:sz w:val="36"/>
          <w:szCs w:val="36"/>
        </w:rPr>
        <w:t xml:space="preserve">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Milestone</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Timing</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Owner</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Documents distributed to all attendees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Today, May 13, 2026</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David</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Attendee email roster collected</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Today / tomorrow</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Wendy / Paul</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Document feedback returned to David</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Within 1 week</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Paul, Wendy, Leidy, Veronica, Elroy</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Next full team meeting</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May 20, 2026 (approximately)</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David to schedule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Proof-of-concept agent demo</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Approximately May 27, 2026</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Elroy</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Deployment to donovan.law</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Approximately June 3, 2026</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Elroy</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Cadence beyond launch</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Every 2 weeks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Standing</w:t>
            </w:r>
          </w:p>
        </w:tc>
      </w:tr>
    </w:tbl>
    <w:p>
      <w:pPr>
        <w:spacing w:after="200"/>
      </w:pPr>
    </w:p>
    <w:p>
      <w:r>
        <w:br w:type="page"/>
      </w:r>
    </w:p>
    <w:p>
      <w:pPr>
        <w:pStyle w:val="Heading1"/>
        <w:spacing w:after="140" w:before="280"/>
      </w:pPr>
      <w:r>
        <w:rPr>
          <w:rFonts w:ascii="Helvetica" w:cs="Helvetica" w:eastAsia="Helvetica" w:hAnsi="Helvetica"/>
          <w:b/>
          <w:bCs/>
          <w:color w:val="0E2841"/>
          <w:sz w:val="36"/>
          <w:szCs w:val="36"/>
        </w:rPr>
        <w:t xml:space="preserve">Action Items</w:t>
      </w:r>
    </w:p>
    <w:p>
      <w:pPr>
        <w:pStyle w:val="Heading2"/>
        <w:spacing w:after="140" w:before="280"/>
      </w:pPr>
      <w:r>
        <w:rPr>
          <w:rFonts w:ascii="Helvetica" w:cs="Helvetica" w:eastAsia="Helvetica" w:hAnsi="Helvetica"/>
          <w:b/>
          <w:bCs/>
          <w:color w:val="0E2841"/>
          <w:sz w:val="28"/>
          <w:szCs w:val="28"/>
        </w:rPr>
        <w:t xml:space="preserve">Paul Donovan</w:t>
      </w:r>
    </w:p>
    <w:p>
      <w:pPr>
        <w:pStyle w:val="ListParagraph"/>
        <w:numPr>
          <w:ilvl w:val="0"/>
          <w:numId w:val="4"/>
        </w:numPr>
        <w:spacing w:after="80"/>
      </w:pPr>
      <w:r>
        <w:rPr>
          <w:rFonts w:ascii="Helvetica" w:cs="Helvetica" w:eastAsia="Helvetica" w:hAnsi="Helvetica"/>
          <w:color w:val="404040"/>
          <w:sz w:val="22"/>
          <w:szCs w:val="22"/>
        </w:rPr>
        <w:t xml:space="preserve">Forward all attendee email addresses to David (or delegate to Wendy)</w:t>
      </w:r>
    </w:p>
    <w:p>
      <w:pPr>
        <w:pStyle w:val="ListParagraph"/>
        <w:numPr>
          <w:ilvl w:val="0"/>
          <w:numId w:val="4"/>
        </w:numPr>
        <w:spacing w:after="80"/>
      </w:pPr>
      <w:r>
        <w:rPr>
          <w:rFonts w:ascii="Helvetica" w:cs="Helvetica" w:eastAsia="Helvetica" w:hAnsi="Helvetica"/>
          <w:color w:val="404040"/>
          <w:sz w:val="22"/>
          <w:szCs w:val="22"/>
        </w:rPr>
        <w:t xml:space="preserve">Forward the Florida Bar advertising rules and the referral-agency registration requirements</w:t>
      </w:r>
    </w:p>
    <w:p>
      <w:pPr>
        <w:pStyle w:val="ListParagraph"/>
        <w:numPr>
          <w:ilvl w:val="0"/>
          <w:numId w:val="4"/>
        </w:numPr>
        <w:spacing w:after="80"/>
      </w:pPr>
      <w:r>
        <w:rPr>
          <w:rFonts w:ascii="Helvetica" w:cs="Helvetica" w:eastAsia="Helvetica" w:hAnsi="Helvetica"/>
          <w:color w:val="404040"/>
          <w:sz w:val="22"/>
          <w:szCs w:val="22"/>
        </w:rPr>
        <w:t xml:space="preserve">Produce the disqualifier criteria document for Veronica (income, behavior, status, anything else)</w:t>
      </w:r>
    </w:p>
    <w:p>
      <w:pPr>
        <w:pStyle w:val="ListParagraph"/>
        <w:numPr>
          <w:ilvl w:val="0"/>
          <w:numId w:val="4"/>
        </w:numPr>
        <w:spacing w:after="80"/>
      </w:pPr>
      <w:r>
        <w:rPr>
          <w:rFonts w:ascii="Helvetica" w:cs="Helvetica" w:eastAsia="Helvetica" w:hAnsi="Helvetica"/>
          <w:color w:val="404040"/>
          <w:sz w:val="22"/>
          <w:szCs w:val="22"/>
        </w:rPr>
        <w:t xml:space="preserve">Build out the intake script — exactly what the concierge must ask in order to qualify and book a consultation</w:t>
      </w:r>
    </w:p>
    <w:p>
      <w:pPr>
        <w:pStyle w:val="ListParagraph"/>
        <w:numPr>
          <w:ilvl w:val="0"/>
          <w:numId w:val="4"/>
        </w:numPr>
        <w:spacing w:after="80"/>
      </w:pPr>
      <w:r>
        <w:rPr>
          <w:rFonts w:ascii="Helvetica" w:cs="Helvetica" w:eastAsia="Helvetica" w:hAnsi="Helvetica"/>
          <w:color w:val="404040"/>
          <w:sz w:val="22"/>
          <w:szCs w:val="22"/>
        </w:rPr>
        <w:t xml:space="preserve">Decide whether to expose pricing tiers publicly or keep them gated behind a consultation (Paul taking time to think)</w:t>
      </w:r>
    </w:p>
    <w:p>
      <w:pPr>
        <w:pStyle w:val="ListParagraph"/>
        <w:numPr>
          <w:ilvl w:val="0"/>
          <w:numId w:val="4"/>
        </w:numPr>
        <w:spacing w:after="80"/>
      </w:pPr>
      <w:r>
        <w:rPr>
          <w:rFonts w:ascii="Helvetica" w:cs="Helvetica" w:eastAsia="Helvetica" w:hAnsi="Helvetica"/>
          <w:color w:val="404040"/>
          <w:sz w:val="22"/>
          <w:szCs w:val="22"/>
        </w:rPr>
        <w:t xml:space="preserve">Provide DocuSign and Adobe Sign API access for engagement-letter automation</w:t>
      </w:r>
    </w:p>
    <w:p>
      <w:pPr>
        <w:pStyle w:val="Heading2"/>
        <w:spacing w:after="140" w:before="280"/>
      </w:pPr>
      <w:r>
        <w:rPr>
          <w:rFonts w:ascii="Helvetica" w:cs="Helvetica" w:eastAsia="Helvetica" w:hAnsi="Helvetica"/>
          <w:b/>
          <w:bCs/>
          <w:color w:val="0E2841"/>
          <w:sz w:val="28"/>
          <w:szCs w:val="28"/>
        </w:rPr>
        <w:t xml:space="preserve">David Pierce</w:t>
      </w:r>
    </w:p>
    <w:p>
      <w:pPr>
        <w:pStyle w:val="ListParagraph"/>
        <w:numPr>
          <w:ilvl w:val="0"/>
          <w:numId w:val="5"/>
        </w:numPr>
        <w:spacing w:after="80"/>
      </w:pPr>
      <w:r>
        <w:rPr>
          <w:rFonts w:ascii="Helvetica" w:cs="Helvetica" w:eastAsia="Helvetica" w:hAnsi="Helvetica"/>
          <w:color w:val="404040"/>
          <w:sz w:val="22"/>
          <w:szCs w:val="22"/>
        </w:rPr>
        <w:t xml:space="preserve">Distribute the full document set today</w:t>
      </w:r>
    </w:p>
    <w:p>
      <w:pPr>
        <w:pStyle w:val="ListParagraph"/>
        <w:numPr>
          <w:ilvl w:val="0"/>
          <w:numId w:val="5"/>
        </w:numPr>
        <w:spacing w:after="80"/>
      </w:pPr>
      <w:r>
        <w:rPr>
          <w:rFonts w:ascii="Helvetica" w:cs="Helvetica" w:eastAsia="Helvetica" w:hAnsi="Helvetica"/>
          <w:color w:val="404040"/>
          <w:sz w:val="22"/>
          <w:szCs w:val="22"/>
        </w:rPr>
        <w:t xml:space="preserve">Research the Florida Bar referral-agency registration requirements for Tico AI</w:t>
      </w:r>
    </w:p>
    <w:p>
      <w:pPr>
        <w:pStyle w:val="ListParagraph"/>
        <w:numPr>
          <w:ilvl w:val="0"/>
          <w:numId w:val="5"/>
        </w:numPr>
        <w:spacing w:after="80"/>
      </w:pPr>
      <w:r>
        <w:rPr>
          <w:rFonts w:ascii="Helvetica" w:cs="Helvetica" w:eastAsia="Helvetica" w:hAnsi="Helvetica"/>
          <w:color w:val="404040"/>
          <w:sz w:val="22"/>
          <w:szCs w:val="22"/>
        </w:rPr>
        <w:t xml:space="preserve">Evaluate Clio vs Lawbility API capabilities and recommend the practice-management platform</w:t>
      </w:r>
    </w:p>
    <w:p>
      <w:pPr>
        <w:pStyle w:val="ListParagraph"/>
        <w:numPr>
          <w:ilvl w:val="0"/>
          <w:numId w:val="5"/>
        </w:numPr>
        <w:spacing w:after="80"/>
      </w:pPr>
      <w:r>
        <w:rPr>
          <w:rFonts w:ascii="Helvetica" w:cs="Helvetica" w:eastAsia="Helvetica" w:hAnsi="Helvetica"/>
          <w:color w:val="404040"/>
          <w:sz w:val="22"/>
          <w:szCs w:val="22"/>
        </w:rPr>
        <w:t xml:space="preserve">Schedule the next meeting one week out</w:t>
      </w:r>
    </w:p>
    <w:p>
      <w:pPr>
        <w:pStyle w:val="ListParagraph"/>
        <w:numPr>
          <w:ilvl w:val="0"/>
          <w:numId w:val="5"/>
        </w:numPr>
        <w:spacing w:after="80"/>
      </w:pPr>
      <w:r>
        <w:rPr>
          <w:rFonts w:ascii="Helvetica" w:cs="Helvetica" w:eastAsia="Helvetica" w:hAnsi="Helvetica"/>
          <w:color w:val="404040"/>
          <w:sz w:val="22"/>
          <w:szCs w:val="22"/>
        </w:rPr>
        <w:t xml:space="preserve">Confirm ad-account-of-record structure (Tico AI) with the team</w:t>
      </w:r>
    </w:p>
    <w:p>
      <w:pPr>
        <w:pStyle w:val="ListParagraph"/>
        <w:numPr>
          <w:ilvl w:val="0"/>
          <w:numId w:val="5"/>
        </w:numPr>
        <w:spacing w:after="80"/>
      </w:pPr>
      <w:r>
        <w:rPr>
          <w:rFonts w:ascii="Helvetica" w:cs="Helvetica" w:eastAsia="Helvetica" w:hAnsi="Helvetica"/>
          <w:color w:val="404040"/>
          <w:sz w:val="22"/>
          <w:szCs w:val="22"/>
        </w:rPr>
        <w:t xml:space="preserve">Establish KPI dashboard before launch</w:t>
      </w:r>
    </w:p>
    <w:p>
      <w:pPr>
        <w:pStyle w:val="Heading2"/>
        <w:spacing w:after="140" w:before="280"/>
      </w:pPr>
      <w:r>
        <w:rPr>
          <w:rFonts w:ascii="Helvetica" w:cs="Helvetica" w:eastAsia="Helvetica" w:hAnsi="Helvetica"/>
          <w:b/>
          <w:bCs/>
          <w:color w:val="0E2841"/>
          <w:sz w:val="28"/>
          <w:szCs w:val="28"/>
        </w:rPr>
        <w:t xml:space="preserve">Elroy Geerdink</w:t>
      </w:r>
    </w:p>
    <w:p>
      <w:pPr>
        <w:pStyle w:val="ListParagraph"/>
        <w:numPr>
          <w:ilvl w:val="0"/>
          <w:numId w:val="6"/>
        </w:numPr>
        <w:spacing w:after="80"/>
      </w:pPr>
      <w:r>
        <w:rPr>
          <w:rFonts w:ascii="Helvetica" w:cs="Helvetica" w:eastAsia="Helvetica" w:hAnsi="Helvetica"/>
          <w:color w:val="404040"/>
          <w:sz w:val="22"/>
          <w:szCs w:val="22"/>
        </w:rPr>
        <w:t xml:space="preserve">Read the full document set and review donovan.law line by line</w:t>
      </w:r>
    </w:p>
    <w:p>
      <w:pPr>
        <w:pStyle w:val="ListParagraph"/>
        <w:numPr>
          <w:ilvl w:val="0"/>
          <w:numId w:val="6"/>
        </w:numPr>
        <w:spacing w:after="80"/>
      </w:pPr>
      <w:r>
        <w:rPr>
          <w:rFonts w:ascii="Helvetica" w:cs="Helvetica" w:eastAsia="Helvetica" w:hAnsi="Helvetica"/>
          <w:color w:val="404040"/>
          <w:sz w:val="22"/>
          <w:szCs w:val="22"/>
        </w:rPr>
        <w:t xml:space="preserve">Architect the GHL deployment including isolation, encryption keys handed to Paul, SOC 2 posture, PII handling</w:t>
      </w:r>
    </w:p>
    <w:p>
      <w:pPr>
        <w:pStyle w:val="ListParagraph"/>
        <w:numPr>
          <w:ilvl w:val="0"/>
          <w:numId w:val="6"/>
        </w:numPr>
        <w:spacing w:after="80"/>
      </w:pPr>
      <w:r>
        <w:rPr>
          <w:rFonts w:ascii="Helvetica" w:cs="Helvetica" w:eastAsia="Helvetica" w:hAnsi="Helvetica"/>
          <w:color w:val="404040"/>
          <w:sz w:val="22"/>
          <w:szCs w:val="22"/>
        </w:rPr>
        <w:t xml:space="preserve">Provision the new business phone line with SMS capability</w:t>
      </w:r>
    </w:p>
    <w:p>
      <w:pPr>
        <w:pStyle w:val="ListParagraph"/>
        <w:numPr>
          <w:ilvl w:val="0"/>
          <w:numId w:val="6"/>
        </w:numPr>
        <w:spacing w:after="80"/>
      </w:pPr>
      <w:r>
        <w:rPr>
          <w:rFonts w:ascii="Helvetica" w:cs="Helvetica" w:eastAsia="Helvetica" w:hAnsi="Helvetica"/>
          <w:color w:val="404040"/>
          <w:sz w:val="22"/>
          <w:szCs w:val="22"/>
        </w:rPr>
        <w:t xml:space="preserve">Design the ConnexUS AI voice agent intake flow for the two funnels (Planning vs Controversy)</w:t>
      </w:r>
    </w:p>
    <w:p>
      <w:pPr>
        <w:pStyle w:val="ListParagraph"/>
        <w:numPr>
          <w:ilvl w:val="0"/>
          <w:numId w:val="6"/>
        </w:numPr>
        <w:spacing w:after="80"/>
      </w:pPr>
      <w:r>
        <w:rPr>
          <w:rFonts w:ascii="Helvetica" w:cs="Helvetica" w:eastAsia="Helvetica" w:hAnsi="Helvetica"/>
          <w:color w:val="404040"/>
          <w:sz w:val="22"/>
          <w:szCs w:val="22"/>
        </w:rPr>
        <w:t xml:space="preserve">Build the calendar integration into the donovan.law site (or deploy an embedded GHL widget)</w:t>
      </w:r>
    </w:p>
    <w:p>
      <w:pPr>
        <w:pStyle w:val="ListParagraph"/>
        <w:numPr>
          <w:ilvl w:val="0"/>
          <w:numId w:val="6"/>
        </w:numPr>
        <w:spacing w:after="80"/>
      </w:pPr>
      <w:r>
        <w:rPr>
          <w:rFonts w:ascii="Helvetica" w:cs="Helvetica" w:eastAsia="Helvetica" w:hAnsi="Helvetica"/>
          <w:color w:val="404040"/>
          <w:sz w:val="22"/>
          <w:szCs w:val="22"/>
        </w:rPr>
        <w:t xml:space="preserve">Prepare a proof-of-concept demo for the next meeting</w:t>
      </w:r>
    </w:p>
    <w:p>
      <w:pPr>
        <w:pStyle w:val="Heading2"/>
        <w:spacing w:after="140" w:before="280"/>
      </w:pPr>
      <w:r>
        <w:rPr>
          <w:rFonts w:ascii="Helvetica" w:cs="Helvetica" w:eastAsia="Helvetica" w:hAnsi="Helvetica"/>
          <w:b/>
          <w:bCs/>
          <w:color w:val="0E2841"/>
          <w:sz w:val="28"/>
          <w:szCs w:val="28"/>
        </w:rPr>
        <w:t xml:space="preserve">Veronica Pierce</w:t>
      </w:r>
    </w:p>
    <w:p>
      <w:pPr>
        <w:pStyle w:val="ListParagraph"/>
        <w:numPr>
          <w:ilvl w:val="0"/>
          <w:numId w:val="7"/>
        </w:numPr>
        <w:spacing w:after="80"/>
      </w:pPr>
      <w:r>
        <w:rPr>
          <w:rFonts w:ascii="Helvetica" w:cs="Helvetica" w:eastAsia="Helvetica" w:hAnsi="Helvetica"/>
          <w:color w:val="404040"/>
          <w:sz w:val="22"/>
          <w:szCs w:val="22"/>
        </w:rPr>
        <w:t xml:space="preserve">Review documents and Paul's disqualifier list once received</w:t>
      </w:r>
    </w:p>
    <w:p>
      <w:pPr>
        <w:pStyle w:val="ListParagraph"/>
        <w:numPr>
          <w:ilvl w:val="0"/>
          <w:numId w:val="7"/>
        </w:numPr>
        <w:spacing w:after="80"/>
      </w:pPr>
      <w:r>
        <w:rPr>
          <w:rFonts w:ascii="Helvetica" w:cs="Helvetica" w:eastAsia="Helvetica" w:hAnsi="Helvetica"/>
          <w:color w:val="404040"/>
          <w:sz w:val="22"/>
          <w:szCs w:val="22"/>
        </w:rPr>
        <w:t xml:space="preserve">Draft Google Ads campaign structure for the Tax Planning and Tax Controversy funnels</w:t>
      </w:r>
    </w:p>
    <w:p>
      <w:pPr>
        <w:pStyle w:val="ListParagraph"/>
        <w:numPr>
          <w:ilvl w:val="0"/>
          <w:numId w:val="7"/>
        </w:numPr>
        <w:spacing w:after="80"/>
      </w:pPr>
      <w:r>
        <w:rPr>
          <w:rFonts w:ascii="Helvetica" w:cs="Helvetica" w:eastAsia="Helvetica" w:hAnsi="Helvetica"/>
          <w:color w:val="404040"/>
          <w:sz w:val="22"/>
          <w:szCs w:val="22"/>
        </w:rPr>
        <w:t xml:space="preserve">Develop creative concepts for social channels — focused on big-fish hooks for the HNW profile</w:t>
      </w:r>
    </w:p>
    <w:p>
      <w:pPr>
        <w:pStyle w:val="ListParagraph"/>
        <w:numPr>
          <w:ilvl w:val="0"/>
          <w:numId w:val="7"/>
        </w:numPr>
        <w:spacing w:after="80"/>
      </w:pPr>
      <w:r>
        <w:rPr>
          <w:rFonts w:ascii="Helvetica" w:cs="Helvetica" w:eastAsia="Helvetica" w:hAnsi="Helvetica"/>
          <w:color w:val="404040"/>
          <w:sz w:val="22"/>
          <w:szCs w:val="22"/>
        </w:rPr>
        <w:t xml:space="preserve">Coordinate with Paul on the Florida Bar advertising review process before any creative goes live</w:t>
      </w:r>
    </w:p>
    <w:p>
      <w:pPr>
        <w:pStyle w:val="Heading2"/>
        <w:spacing w:after="140" w:before="280"/>
      </w:pPr>
      <w:r>
        <w:rPr>
          <w:rFonts w:ascii="Helvetica" w:cs="Helvetica" w:eastAsia="Helvetica" w:hAnsi="Helvetica"/>
          <w:b/>
          <w:bCs/>
          <w:color w:val="0E2841"/>
          <w:sz w:val="28"/>
          <w:szCs w:val="28"/>
        </w:rPr>
        <w:t xml:space="preserve">Wendy Cardenas &amp; Leidy Meza</w:t>
      </w:r>
    </w:p>
    <w:p>
      <w:pPr>
        <w:pStyle w:val="ListParagraph"/>
        <w:numPr>
          <w:ilvl w:val="0"/>
          <w:numId w:val="8"/>
        </w:numPr>
        <w:spacing w:after="80"/>
      </w:pPr>
      <w:r>
        <w:rPr>
          <w:rFonts w:ascii="Helvetica" w:cs="Helvetica" w:eastAsia="Helvetica" w:hAnsi="Helvetica"/>
          <w:color w:val="404040"/>
          <w:sz w:val="22"/>
          <w:szCs w:val="22"/>
        </w:rPr>
        <w:t xml:space="preserve">Maintain Paul's calendar and define availability windows</w:t>
      </w:r>
    </w:p>
    <w:p>
      <w:pPr>
        <w:pStyle w:val="ListParagraph"/>
        <w:numPr>
          <w:ilvl w:val="0"/>
          <w:numId w:val="8"/>
        </w:numPr>
        <w:spacing w:after="80"/>
      </w:pPr>
      <w:r>
        <w:rPr>
          <w:rFonts w:ascii="Helvetica" w:cs="Helvetica" w:eastAsia="Helvetica" w:hAnsi="Helvetica"/>
          <w:color w:val="404040"/>
          <w:sz w:val="22"/>
          <w:szCs w:val="22"/>
        </w:rPr>
        <w:t xml:space="preserve">Document operating procedures for concierge → calendar handoff</w:t>
      </w:r>
    </w:p>
    <w:p>
      <w:pPr>
        <w:pStyle w:val="ListParagraph"/>
        <w:numPr>
          <w:ilvl w:val="0"/>
          <w:numId w:val="8"/>
        </w:numPr>
        <w:spacing w:after="80"/>
      </w:pPr>
      <w:r>
        <w:rPr>
          <w:rFonts w:ascii="Helvetica" w:cs="Helvetica" w:eastAsia="Helvetica" w:hAnsi="Helvetica"/>
          <w:color w:val="404040"/>
          <w:sz w:val="22"/>
          <w:szCs w:val="22"/>
        </w:rPr>
        <w:t xml:space="preserve">Review the document set and return feedback to David within the week</w:t>
      </w:r>
    </w:p>
    <w:p>
      <w:pPr>
        <w:pStyle w:val="ListParagraph"/>
        <w:numPr>
          <w:ilvl w:val="0"/>
          <w:numId w:val="8"/>
        </w:numPr>
        <w:spacing w:after="80"/>
      </w:pPr>
      <w:r>
        <w:rPr>
          <w:rFonts w:ascii="Helvetica" w:cs="Helvetica" w:eastAsia="Helvetica" w:hAnsi="Helvetica"/>
          <w:color w:val="404040"/>
          <w:sz w:val="22"/>
          <w:szCs w:val="22"/>
        </w:rPr>
        <w:t xml:space="preserve">Help Paul finalize the intake script from the operations perspective</w:t>
      </w:r>
    </w:p>
    <w:p>
      <w:pPr>
        <w:pStyle w:val="ListParagraph"/>
        <w:numPr>
          <w:ilvl w:val="0"/>
          <w:numId w:val="8"/>
        </w:numPr>
        <w:spacing w:after="80"/>
      </w:pPr>
      <w:r>
        <w:rPr>
          <w:rFonts w:ascii="Helvetica" w:cs="Helvetica" w:eastAsia="Helvetica" w:hAnsi="Helvetica"/>
          <w:color w:val="404040"/>
          <w:sz w:val="22"/>
          <w:szCs w:val="22"/>
        </w:rPr>
        <w:t xml:space="preserve">Document Paul's intake KPI goals so the team is aligned on success criteria</w:t>
      </w:r>
    </w:p>
    <w:p>
      <w:pPr>
        <w:pStyle w:val="Heading1"/>
        <w:spacing w:after="140" w:before="280"/>
      </w:pPr>
      <w:r>
        <w:rPr>
          <w:rFonts w:ascii="Helvetica" w:cs="Helvetica" w:eastAsia="Helvetica" w:hAnsi="Helvetica"/>
          <w:b/>
          <w:bCs/>
          <w:color w:val="0E2841"/>
          <w:sz w:val="36"/>
          <w:szCs w:val="36"/>
        </w:rPr>
        <w:t xml:space="preserve">Decisions Deferred to Next Meeting</w:t>
      </w:r>
    </w:p>
    <w:p>
      <w:pPr>
        <w:pStyle w:val="ListParagraph"/>
        <w:numPr>
          <w:ilvl w:val="0"/>
          <w:numId w:val="2"/>
        </w:numPr>
        <w:spacing w:after="80"/>
      </w:pPr>
      <w:r>
        <w:rPr>
          <w:rFonts w:ascii="Helvetica" w:cs="Helvetica" w:eastAsia="Helvetica" w:hAnsi="Helvetica"/>
          <w:color w:val="404040"/>
          <w:sz w:val="22"/>
          <w:szCs w:val="22"/>
        </w:rPr>
        <w:t xml:space="preserve">Public vs gated pricing on the engagement tier pages</w:t>
      </w:r>
    </w:p>
    <w:p>
      <w:pPr>
        <w:pStyle w:val="ListParagraph"/>
        <w:numPr>
          <w:ilvl w:val="0"/>
          <w:numId w:val="2"/>
        </w:numPr>
        <w:spacing w:after="80"/>
      </w:pPr>
      <w:r>
        <w:rPr>
          <w:rFonts w:ascii="Helvetica" w:cs="Helvetica" w:eastAsia="Helvetica" w:hAnsi="Helvetica"/>
          <w:color w:val="404040"/>
          <w:sz w:val="22"/>
          <w:szCs w:val="22"/>
        </w:rPr>
        <w:t xml:space="preserve">Whether to fund the build-out of /gold/, /platinum/, /reserve/ in Phase 1 or defer to Phase 2</w:t>
      </w:r>
    </w:p>
    <w:p>
      <w:pPr>
        <w:pStyle w:val="ListParagraph"/>
        <w:numPr>
          <w:ilvl w:val="0"/>
          <w:numId w:val="2"/>
        </w:numPr>
        <w:spacing w:after="80"/>
      </w:pPr>
      <w:r>
        <w:rPr>
          <w:rFonts w:ascii="Helvetica" w:cs="Helvetica" w:eastAsia="Helvetica" w:hAnsi="Helvetica"/>
          <w:color w:val="404040"/>
          <w:sz w:val="22"/>
          <w:szCs w:val="22"/>
        </w:rPr>
        <w:t xml:space="preserve">Whether to retool advisoryconnect.net as a parallel ad landing platform for Donovan Legal</w:t>
      </w:r>
    </w:p>
    <w:p>
      <w:pPr>
        <w:pStyle w:val="ListParagraph"/>
        <w:numPr>
          <w:ilvl w:val="0"/>
          <w:numId w:val="2"/>
        </w:numPr>
        <w:spacing w:after="80"/>
      </w:pPr>
      <w:r>
        <w:rPr>
          <w:rFonts w:ascii="Helvetica" w:cs="Helvetica" w:eastAsia="Helvetica" w:hAnsi="Helvetica"/>
          <w:color w:val="404040"/>
          <w:sz w:val="22"/>
          <w:szCs w:val="22"/>
        </w:rPr>
        <w:t xml:space="preserve">Final practice-management decision (Clio vs Lawbility vs alternative) pending David's API review</w:t>
      </w:r>
    </w:p>
    <w:p>
      <w:pPr>
        <w:pStyle w:val="ListParagraph"/>
        <w:numPr>
          <w:ilvl w:val="0"/>
          <w:numId w:val="2"/>
        </w:numPr>
        <w:spacing w:after="80"/>
      </w:pPr>
      <w:r>
        <w:rPr>
          <w:rFonts w:ascii="Helvetica" w:cs="Helvetica" w:eastAsia="Helvetica" w:hAnsi="Helvetica"/>
          <w:color w:val="404040"/>
          <w:sz w:val="22"/>
          <w:szCs w:val="22"/>
        </w:rPr>
        <w:t xml:space="preserve">Whether call recording defaults to OFF immediately or stays ON only through proof-of-concept</w:t>
      </w:r>
    </w:p>
    <w:p>
      <w:pPr>
        <w:pStyle w:val="Heading1"/>
        <w:spacing w:after="140" w:before="280"/>
      </w:pPr>
      <w:r>
        <w:rPr>
          <w:rFonts w:ascii="Helvetica" w:cs="Helvetica" w:eastAsia="Helvetica" w:hAnsi="Helvetica"/>
          <w:b/>
          <w:bCs/>
          <w:color w:val="0E2841"/>
          <w:sz w:val="36"/>
          <w:szCs w:val="36"/>
        </w:rPr>
        <w:t xml:space="preserve">Quote of the Meeting</w:t>
      </w:r>
    </w:p>
    <w:p>
      <w:pPr>
        <w:spacing w:after="200" w:line="276"/>
      </w:pPr>
      <w:r>
        <w:rPr>
          <w:rFonts w:ascii="Helvetica" w:cs="Helvetica" w:eastAsia="Helvetica" w:hAnsi="Helvetica"/>
          <w:color w:val="404040"/>
          <w:sz w:val="22"/>
          <w:szCs w:val="22"/>
        </w:rPr>
        <w:t xml:space="preserve">Paul Donovan: "We gotta move out of the foxhole." The line captures the agreed direction — turn the solo practice into something that feels like a fifty-person firm, without the headcount.</w:t>
      </w:r>
    </w:p>
    <w:p>
      <w:pPr>
        <w:spacing w:after="0" w:before="300"/>
      </w:pPr>
    </w:p>
    <w:p>
      <w:pPr>
        <w:spacing w:after="300"/>
      </w:pPr>
      <w:r>
        <w:rPr>
          <w:rFonts w:ascii="Helvetica" w:cs="Helvetica" w:eastAsia="Helvetica" w:hAnsi="Helvetica"/>
          <w:color w:val="404040"/>
          <w:sz w:val="22"/>
          <w:szCs w:val="22"/>
        </w:rPr>
        <w:t xml:space="preserve">Respectfully submitted,</w:t>
      </w:r>
    </w:p>
    <w:p>
      <w:pPr>
        <w:spacing w:after="0"/>
      </w:pPr>
      <w:r>
        <w:rPr>
          <w:rFonts w:ascii="Helvetica" w:cs="Helvetica" w:eastAsia="Helvetica" w:hAnsi="Helvetica"/>
          <w:b/>
          <w:bCs/>
          <w:color w:val="404040"/>
          <w:sz w:val="22"/>
          <w:szCs w:val="22"/>
        </w:rPr>
        <w:t xml:space="preserve">Walter White</w:t>
      </w:r>
    </w:p>
    <w:p>
      <w:pPr>
        <w:spacing w:after="0"/>
      </w:pPr>
      <w:r>
        <w:rPr>
          <w:rFonts w:ascii="Helvetica" w:cs="Helvetica" w:eastAsia="Helvetica" w:hAnsi="Helvetica"/>
          <w:i/>
          <w:iCs/>
          <w:color w:val="404040"/>
          <w:sz w:val="22"/>
          <w:szCs w:val="22"/>
        </w:rPr>
        <w:t xml:space="preserve">Liaison to David Pierce</w:t>
      </w:r>
    </w:p>
    <w:p>
      <w:pPr>
        <w:spacing w:after="0"/>
      </w:pPr>
      <w:r>
        <w:rPr>
          <w:rFonts w:ascii="Helvetica" w:cs="Helvetica" w:eastAsia="Helvetica" w:hAnsi="Helvetica"/>
          <w:color w:val="404040"/>
          <w:sz w:val="22"/>
          <w:szCs w:val="22"/>
        </w:rPr>
        <w:t xml:space="preserve">ConnexUS AI</w:t>
      </w:r>
    </w:p>
    <w:sectPr>
      <w:headerReference w:type="default" r:id="rId7"/>
      <w:footerReference w:type="default" r:id="rId8"/>
      <w:pgSz w:w="12240" w:h="15840" w:orient="portrait"/>
      <w:pgMar w:top="1440" w:right="1440" w:bottom="1080" w:left="1800" w:header="576"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9" w:sz="3" w:space="4"/>
      </w:pBdr>
      <w:spacing w:before="100"/>
      <w:jc w:val="center"/>
    </w:pPr>
    <w:r>
      <w:rPr>
        <w:rFonts w:ascii="Helvetica" w:cs="Helvetica" w:eastAsia="Helvetica" w:hAnsi="Helvetica"/>
        <w:color w:val="404040"/>
        <w:sz w:val="16"/>
        <w:szCs w:val="16"/>
      </w:rPr>
      <w:t xml:space="preserve">1.888.888.3371   |   info@theconnexus.ai          www.theconnexus.ai   |   www.ragbox.co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60"/>
    </w:pPr>
    <w:r>
      <w:drawing>
        <wp:inline distT="0" distB="0" distL="0" distR="0">
          <wp:extent cx="1905000" cy="447675"/>
          <wp:effectExtent t="0" r="0" b="0" l="0"/>
          <wp:docPr id="1" name="connexus-logo" descr="ConnexUS AI company logo" title="ConnexUS 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447675"/>
                  </a:xfrm>
                  <a:prstGeom prst="rect">
                    <a:avLst/>
                  </a:prstGeom>
                </pic:spPr>
              </pic:pic>
            </a:graphicData>
          </a:graphic>
        </wp:inline>
      </w:drawing>
    </w:r>
    <w:r>
      <w:rPr>
        <w:rFonts w:ascii="Helvetica" w:cs="Helvetica" w:eastAsia="Helvetica" w:hAnsi="Helvetica"/>
      </w:rPr>
      <w:t xml:space="preserve">	</w:t>
    </w:r>
    <w:r>
      <w:drawing>
        <wp:inline distT="0" distB="0" distL="0" distR="0">
          <wp:extent cx="762000" cy="161925"/>
          <wp:effectExtent t="0" r="0" b="0" l="0"/>
          <wp:docPr id="1" name="ragbox-logo" descr="RAGbox.co logo" title="RAGbo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762000" cy="161925"/>
                  </a:xfrm>
                  <a:prstGeom prst="rect">
                    <a:avLst/>
                  </a:prstGeom>
                </pic:spPr>
              </pic:pic>
            </a:graphicData>
          </a:graphic>
        </wp:inline>
      </w:drawing>
    </w:r>
  </w:p>
  <w:p>
    <w:pPr>
      <w:pBdr>
        <w:bottom w:val="single" w:color="E8E8E9" w:sz="3" w:space="4"/>
      </w:pBdr>
      <w:tabs>
        <w:tab w:val="right" w:pos="9026"/>
      </w:tabs>
      <w:spacing w:after="120" w:before="0"/>
    </w:pPr>
    <w:r>
      <w:t xml:space="preserve">	</w:t>
    </w:r>
    <w:r>
      <w:rPr>
        <w:rFonts w:ascii="Helvetica" w:cs="Helvetica" w:eastAsia="Helvetica" w:hAnsi="Helvetica"/>
        <w:b/>
        <w:bCs/>
        <w:color w:val="000000"/>
        <w:sz w:val="16"/>
        <w:szCs w:val="16"/>
      </w:rPr>
      <w:t xml:space="preserve">3301 N University Drive, Coral Springs FL 33065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Helvetica" w:cs="Helvetica" w:eastAsia="Helvetica" w:hAnsi="Helvetica"/>
      <w:b/>
      <w:bCs/>
      <w:color w:val="0E2841"/>
      <w:sz w:val="36"/>
      <w:szCs w:val="36"/>
    </w:rPr>
  </w:style>
  <w:style w:type="paragraph" w:styleId="Heading2">
    <w:name w:val="Heading 2"/>
    <w:basedOn w:val="Normal"/>
    <w:next w:val="Normal"/>
    <w:qFormat/>
    <w:pPr>
      <w:spacing w:after="110" w:before="220"/>
      <w:outlineLvl w:val="1"/>
    </w:pPr>
    <w:rPr>
      <w:rFonts w:ascii="Helvetica" w:cs="Helvetica" w:eastAsia="Helvetica" w:hAnsi="Helvetica"/>
      <w:b/>
      <w:bCs/>
      <w:color w:val="0E2841"/>
      <w:sz w:val="28"/>
      <w:szCs w:val="28"/>
    </w:rPr>
  </w:style>
  <w:style w:type="paragraph" w:styleId="Heading3">
    <w:name w:val="Heading 3"/>
    <w:basedOn w:val="Normal"/>
    <w:next w:val="Normal"/>
    <w:qFormat/>
    <w:pPr>
      <w:spacing w:after="90" w:before="180"/>
      <w:outlineLvl w:val="2"/>
    </w:pPr>
    <w:rPr>
      <w:rFonts w:ascii="Helvetica" w:cs="Helvetica" w:eastAsia="Helvetica" w:hAnsi="Helvetica"/>
      <w:b/>
      <w:bCs/>
      <w:color w:val="0E28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1a75df0c9365b81da5f9f138061bc1b5b5affc2.png"/><Relationship Id="rId1" Type="http://schemas.openxmlformats.org/officeDocument/2006/relationships/image" Target="media/1f898a4a4b2519a3d62190bc1c8ca0ff935764c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2026-05-13T19:54:26.617Z</dcterms:created>
  <dcterms:modified xsi:type="dcterms:W3CDTF">2026-05-13T19:54:26.617Z</dcterms:modified>
</cp:coreProperties>
</file>

<file path=docProps/custom.xml><?xml version="1.0" encoding="utf-8"?>
<Properties xmlns="http://schemas.openxmlformats.org/officeDocument/2006/custom-properties" xmlns:vt="http://schemas.openxmlformats.org/officeDocument/2006/docPropsVTypes"/>
</file>