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r>
        <w:rPr>
          <w:rFonts w:ascii="Helvetica" w:cs="Helvetica" w:eastAsia="Helvetica" w:hAnsi="Helvetica"/>
          <w:b/>
          <w:bCs/>
          <w:color w:val="0E2841"/>
          <w:sz w:val="36"/>
          <w:szCs w:val="36"/>
        </w:rPr>
        <w:t xml:space="preserve">Law Firm Intake Research Report</w:t>
      </w:r>
    </w:p>
    <w:p>
      <w:pPr>
        <w:spacing w:after="40"/>
      </w:pPr>
      <w:r>
        <w:rPr>
          <w:rFonts w:ascii="Helvetica" w:cs="Helvetica" w:eastAsia="Helvetica" w:hAnsi="Helvetica"/>
          <w:color w:val="808080"/>
          <w:sz w:val="18"/>
          <w:szCs w:val="18"/>
        </w:rPr>
        <w:t xml:space="preserve">April 7, 2026</w:t>
      </w:r>
    </w:p>
    <w:p>
      <w:pPr>
        <w:spacing w:after="200"/>
      </w:pPr>
      <w:r>
        <w:rPr>
          <w:rFonts w:ascii="Helvetica" w:cs="Helvetica" w:eastAsia="Helvetica" w:hAnsi="Helvetica"/>
          <w:color w:val="808080"/>
          <w:sz w:val="18"/>
          <w:szCs w:val="18"/>
        </w:rPr>
        <w:t xml:space="preserve">Prepared by: </w:t>
      </w:r>
      <w:r>
        <w:rPr>
          <w:rFonts w:ascii="Helvetica" w:cs="Helvetica" w:eastAsia="Helvetica" w:hAnsi="Helvetica"/>
          <w:color w:val="808080"/>
          <w:sz w:val="18"/>
          <w:szCs w:val="18"/>
        </w:rPr>
        <w:t xml:space="preserve">Walter White, Liaison to David Pierce</w:t>
      </w:r>
    </w:p>
    <w:p>
      <w:pPr>
        <w:pBdr>
          <w:bottom w:val="single" w:color="E8E8E9" w:sz="2" w:space="4"/>
        </w:pBdr>
        <w:spacing w:after="300"/>
      </w:pPr>
    </w:p>
    <w:p>
      <w:pPr>
        <w:pStyle w:val="Heading1"/>
        <w:spacing w:after="140" w:before="280"/>
      </w:pPr>
      <w:r>
        <w:rPr>
          <w:rFonts w:ascii="Helvetica" w:cs="Helvetica" w:eastAsia="Helvetica" w:hAnsi="Helvetica"/>
          <w:b/>
          <w:bCs/>
          <w:color w:val="0E2841"/>
          <w:sz w:val="36"/>
          <w:szCs w:val="36"/>
        </w:rPr>
        <w:t xml:space="preserve">Executive Summary</w:t>
      </w:r>
    </w:p>
    <w:p>
      <w:pPr>
        <w:spacing w:after="200" w:line="276"/>
      </w:pPr>
      <w:r>
        <w:rPr>
          <w:rFonts w:ascii="Helvetica" w:cs="Helvetica" w:eastAsia="Helvetica" w:hAnsi="Helvetica"/>
          <w:color w:val="404040"/>
          <w:sz w:val="22"/>
          <w:szCs w:val="22"/>
        </w:rPr>
        <w:t xml:space="preserve">This report presents comprehensive research into how law firms across the United States conduct client intake across 10 major practice areas. The purpose of this research is to inform the design of ConnexUS AI's Legal Concierge platform — an AI-powered intake system that mirrors the actual intake workflows, qualification criteria, and screening questions used by thousands of law firms.</w:t>
      </w:r>
    </w:p>
    <w:p>
      <w:pPr>
        <w:spacing w:after="200" w:line="276"/>
      </w:pPr>
      <w:r>
        <w:rPr>
          <w:rFonts w:ascii="Helvetica" w:cs="Helvetica" w:eastAsia="Helvetica" w:hAnsi="Helvetica"/>
          <w:color w:val="404040"/>
          <w:sz w:val="22"/>
          <w:szCs w:val="22"/>
        </w:rPr>
        <w:t xml:space="preserve">The research spans Personal Injury, Family Law, Criminal Defense, Immigration, Real Estate, Business Law/Corporate, Estate Planning/Probate, Bankruptcy, Employment Law, and Tax Law. For each practice area, we documented the actual intake questionnaires, qualification and disqualification criteria, fee structures, documents collected, urgency flags, and referral patterns.</w:t>
      </w:r>
    </w:p>
    <w:p>
      <w:pPr>
        <w:spacing w:after="200" w:line="276"/>
      </w:pPr>
      <w:r>
        <w:rPr>
          <w:rFonts w:ascii="Helvetica" w:cs="Helvetica" w:eastAsia="Helvetica" w:hAnsi="Helvetica"/>
          <w:color w:val="404040"/>
          <w:sz w:val="22"/>
          <w:szCs w:val="22"/>
        </w:rPr>
        <w:t xml:space="preserve">Key findings reveal a critical gap in after-hours legal intake: 40–42% of legal inquiries arrive outside traditional business hours, yet the vast majority of law firms are unprepared to handle them. Only 40% of firms answer calls during business hours (down from 56% in 2019), and 80% of callers who reach voicemail hang up without leaving a message. The conversion impact is dramatic — responding within 5 minutes makes a firm 21x more likely to qualify a lead compared to a 30-minute response, and 78% of legal consumers hire the first firm that responds. The nationwide average intake-to-retained-client conversion rate is just 7%, ranging from 3% for poorly optimized firms to 30% for those with sophisticated intake systems.</w:t>
      </w:r>
    </w:p>
    <w:p>
      <w:pPr>
        <w:spacing w:after="200" w:line="276"/>
      </w:pPr>
      <w:r>
        <w:rPr>
          <w:rFonts w:ascii="Helvetica" w:cs="Helvetica" w:eastAsia="Helvetica" w:hAnsi="Helvetica"/>
          <w:color w:val="404040"/>
          <w:sz w:val="22"/>
          <w:szCs w:val="22"/>
        </w:rPr>
        <w:t xml:space="preserve">These findings point to a massive market opportunity for an AI-powered legal intake concierge that operates 24/7, asks the right practice-area-specific questions, screens for qualification criteria, calculates statute-of-limitations urgency, and delivers qualified leads to attorneys — at a fraction of the cost of human answering services ($200–$600/month vs. $245–$1,950/month for legacy services).</w:t>
      </w:r>
    </w:p>
    <w:p>
      <w:r>
        <w:br w:type="page"/>
      </w:r>
    </w:p>
    <w:p>
      <w:pPr>
        <w:pStyle w:val="Heading1"/>
        <w:spacing w:after="140" w:before="280"/>
      </w:pPr>
      <w:r>
        <w:rPr>
          <w:rFonts w:ascii="Helvetica" w:cs="Helvetica" w:eastAsia="Helvetica" w:hAnsi="Helvetica"/>
          <w:b/>
          <w:bCs/>
          <w:color w:val="0E2841"/>
          <w:sz w:val="36"/>
          <w:szCs w:val="36"/>
        </w:rPr>
        <w:t xml:space="preserve">The After-Hours Problem</w:t>
      </w:r>
    </w:p>
    <w:p>
      <w:pPr>
        <w:spacing w:after="200" w:line="276"/>
      </w:pPr>
      <w:r>
        <w:rPr>
          <w:rFonts w:ascii="Helvetica" w:cs="Helvetica" w:eastAsia="Helvetica" w:hAnsi="Helvetica"/>
          <w:color w:val="404040"/>
          <w:sz w:val="22"/>
          <w:szCs w:val="22"/>
        </w:rPr>
        <w:t xml:space="preserve">The legal industry faces a systemic intake failure: firms invest thousands of dollars per lead in marketing, yet allow a significant percentage of those leads to go unanswered — especially outside business hours. Multiple data sources confirm the scope of this problem.</w:t>
      </w:r>
    </w:p>
    <w:p>
      <w:pPr>
        <w:pStyle w:val="Heading2"/>
        <w:spacing w:after="140" w:before="280"/>
      </w:pPr>
      <w:r>
        <w:rPr>
          <w:rFonts w:ascii="Helvetica" w:cs="Helvetica" w:eastAsia="Helvetica" w:hAnsi="Helvetica"/>
          <w:b/>
          <w:bCs/>
          <w:color w:val="0E2841"/>
          <w:sz w:val="28"/>
          <w:szCs w:val="28"/>
        </w:rPr>
        <w:t xml:space="preserve">After-Hours Inquiry Volume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Source</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Finding</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Above the Bar Marketing (2026)</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42% of legal service searches occur outside traditional business hours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Ferdinand Agent (2025)</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40% of legal leads happen after hours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PILMMA (2026)</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67% of legal leads call outside business hours (PI-heavy sample)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Market My Market (2022)</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From 30,000 calls analyzed: 14.97% weekday after-hours; 2.57% weekend calls</w:t>
            </w:r>
          </w:p>
        </w:tc>
      </w:tr>
    </w:tbl>
    <w:p>
      <w:pPr>
        <w:spacing w:after="200"/>
      </w:pPr>
    </w:p>
    <w:p>
      <w:pPr>
        <w:spacing w:after="200" w:line="276"/>
      </w:pPr>
      <w:r>
        <w:rPr>
          <w:rFonts w:ascii="Helvetica" w:cs="Helvetica" w:eastAsia="Helvetica" w:hAnsi="Helvetica"/>
          <w:color w:val="404040"/>
          <w:sz w:val="22"/>
          <w:szCs w:val="22"/>
        </w:rPr>
        <w:t xml:space="preserve">After-hours inquiry patterns vary by practice area: Personal Injury spikes on evenings and weekends (accidents happen anytime), Criminal Defense clusters late nights after arrests (DUI arrests peak Thursday–Sunday, 10pm–3am), and Family Law inquiries increase on Sunday evenings (weekend reflection period).</w:t>
      </w:r>
    </w:p>
    <w:p>
      <w:pPr>
        <w:pStyle w:val="Heading2"/>
        <w:spacing w:after="140" w:before="280"/>
      </w:pPr>
      <w:r>
        <w:rPr>
          <w:rFonts w:ascii="Helvetica" w:cs="Helvetica" w:eastAsia="Helvetica" w:hAnsi="Helvetica"/>
          <w:b/>
          <w:bCs/>
          <w:color w:val="0E2841"/>
          <w:sz w:val="28"/>
          <w:szCs w:val="28"/>
        </w:rPr>
        <w:t xml:space="preserve">Response Time &amp; Conversion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Response Window</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Conversion Impact</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Source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&lt; 1 minute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391% higher conversion vs. 2-minute response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Velocify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&lt; 5 minutes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21x more likely to qualify lead vs. 30-minute response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InsideSales.com / MIT Study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&lt; 5 minutes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400% higher conversion vs. 1+ hour response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ALM Global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 hour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7x more likely to qualify lead vs. waiting longer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Dripify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Immediate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78% of legal clients hire the first firm that responds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Legal Navigator</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Next-day callback</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80% of prospects have moved on after 48 hours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Andava Digital (2025)</w:t>
            </w:r>
          </w:p>
        </w:tc>
      </w:tr>
    </w:tbl>
    <w:p>
      <w:pPr>
        <w:spacing w:after="200"/>
      </w:pPr>
    </w:p>
    <w:p>
      <w:pPr>
        <w:spacing w:after="200" w:line="276"/>
      </w:pPr>
      <w:r>
        <w:rPr>
          <w:rFonts w:ascii="Helvetica" w:cs="Helvetica" w:eastAsia="Helvetica" w:hAnsi="Helvetica"/>
          <w:color w:val="404040"/>
          <w:sz w:val="22"/>
          <w:szCs w:val="22"/>
        </w:rPr>
        <w:t xml:space="preserve">The nationwide average intake-to-retained-client conversion rate is only 7% of new calls. Voicemails and callback requests produce 74% drop-off rates. Only 28% of firms achieve a 5-minute response window, and 48% of firms are effectively unreachable by phone.</w:t>
      </w:r>
    </w:p>
    <w:p>
      <w:pPr>
        <w:pStyle w:val="Heading2"/>
        <w:spacing w:after="140" w:before="280"/>
      </w:pPr>
      <w:r>
        <w:rPr>
          <w:rFonts w:ascii="Helvetica" w:cs="Helvetica" w:eastAsia="Helvetica" w:hAnsi="Helvetica"/>
          <w:b/>
          <w:bCs/>
          <w:color w:val="0E2841"/>
          <w:sz w:val="28"/>
          <w:szCs w:val="28"/>
        </w:rPr>
        <w:t xml:space="preserve">Current Answering Service Costs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Service</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Starting Price</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Minutes/Calls Included</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Differentiator</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Ruby Receptionists</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$245/month</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50 minutes</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Best for solo/small firms; bilingual; bundled chat</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Smith.ai</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$285/month</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30 calls</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Multichannel (phone + text + chat); AI + human hybrid</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Answering Legal</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$330/month</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100 minutes</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High customization; bilingual; 24/7; CRM integration</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LEX Reception</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$425/month</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150 minutes</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Inbound + outbound; legal-specialized; live chat option</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Smith.ai AI Voice</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$97.50–$825/month</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30–300 calls</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60–80% cheaper than human options</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AI-Powered Intake Platform</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$200–$600/month</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Unlimited</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24/7, consistent, practice-area-specific</w:t>
            </w:r>
          </w:p>
        </w:tc>
      </w:tr>
    </w:tbl>
    <w:p>
      <w:pPr>
        <w:spacing w:after="200"/>
      </w:pPr>
    </w:p>
    <w:p>
      <w:pPr>
        <w:spacing w:after="200" w:line="276"/>
      </w:pPr>
      <w:r>
        <w:rPr>
          <w:rFonts w:ascii="Helvetica" w:cs="Helvetica" w:eastAsia="Helvetica" w:hAnsi="Helvetica"/>
          <w:color w:val="404040"/>
          <w:sz w:val="22"/>
          <w:szCs w:val="22"/>
        </w:rPr>
        <w:t xml:space="preserve">At scale, Ruby's top tier reaches $1,695/month for 500 minutes, LEX Reception's Best Value plan runs $450/month for 300 minutes, and Smith.ai Pro reaches $1,950/month for 300 calls. A full-time in-house receptionist costs approximately $52,000/year with benefits. AI platforms at $2,400–$7,200/year represent 87–93% savings for equivalent after-hours coverage.</w:t>
      </w:r>
    </w:p>
    <w:p>
      <w:pPr>
        <w:pStyle w:val="Heading2"/>
        <w:spacing w:after="140" w:before="280"/>
      </w:pPr>
      <w:r>
        <w:rPr>
          <w:rFonts w:ascii="Helvetica" w:cs="Helvetica" w:eastAsia="Helvetica" w:hAnsi="Helvetica"/>
          <w:b/>
          <w:bCs/>
          <w:color w:val="0E2841"/>
          <w:sz w:val="28"/>
          <w:szCs w:val="28"/>
        </w:rPr>
        <w:t xml:space="preserve">Revenue Impact of Missed Leads</w:t>
      </w:r>
    </w:p>
    <w:p>
      <w:pPr>
        <w:spacing w:after="200" w:line="276"/>
      </w:pPr>
      <w:r>
        <w:rPr>
          <w:rFonts w:ascii="Helvetica" w:cs="Helvetica" w:eastAsia="Helvetica" w:hAnsi="Helvetica"/>
          <w:color w:val="404040"/>
          <w:sz w:val="22"/>
          <w:szCs w:val="22"/>
        </w:rPr>
        <w:t xml:space="preserve">The average law firm lead generation cost is $649 per lead (LEX Reception data). A firm with 150 leads/month where two-thirds arrive after hours generates 100 after-hours leads monthly. Missing even 5 of those per month at $10,000 average case value equals $600,000/year in lost revenue. Mid-size PI firms face potential losses of $500,000–$2,000,000 annually from missed after-hours cases.</w:t>
      </w:r>
    </w:p>
    <w:p>
      <w:r>
        <w:br w:type="page"/>
      </w:r>
    </w:p>
    <w:p>
      <w:pPr>
        <w:pStyle w:val="Heading1"/>
        <w:spacing w:after="140" w:before="280"/>
      </w:pPr>
      <w:r>
        <w:rPr>
          <w:rFonts w:ascii="Helvetica" w:cs="Helvetica" w:eastAsia="Helvetica" w:hAnsi="Helvetica"/>
          <w:b/>
          <w:bCs/>
          <w:color w:val="0E2841"/>
          <w:sz w:val="36"/>
          <w:szCs w:val="36"/>
        </w:rPr>
        <w:t xml:space="preserve">Section 1: Intake Processes by Practice Area</w:t>
      </w:r>
    </w:p>
    <w:p>
      <w:pPr>
        <w:spacing w:after="200" w:line="276"/>
      </w:pPr>
      <w:r>
        <w:rPr>
          <w:rFonts w:ascii="Helvetica" w:cs="Helvetica" w:eastAsia="Helvetica" w:hAnsi="Helvetica"/>
          <w:color w:val="404040"/>
          <w:sz w:val="22"/>
          <w:szCs w:val="22"/>
        </w:rPr>
        <w:t xml:space="preserve">The following sections document the actual intake processes, questionnaires, qualification criteria, and fee structures used across 10 major legal practice areas. This research was compiled from publicly available intake forms, law firm websites, legal marketing research, and industry publications.</w:t>
      </w:r>
    </w:p>
    <w:p>
      <w:pPr>
        <w:pStyle w:val="Heading2"/>
        <w:spacing w:after="140" w:before="280"/>
      </w:pPr>
      <w:r>
        <w:rPr>
          <w:rFonts w:ascii="Helvetica" w:cs="Helvetica" w:eastAsia="Helvetica" w:hAnsi="Helvetica"/>
          <w:b/>
          <w:bCs/>
          <w:color w:val="0E2841"/>
          <w:sz w:val="28"/>
          <w:szCs w:val="28"/>
        </w:rPr>
        <w:t xml:space="preserve">1.1 Personal Injury / Motor Vehicle Accidents</w:t>
      </w:r>
    </w:p>
    <w:p>
      <w:pPr>
        <w:spacing w:after="200" w:line="276"/>
      </w:pPr>
      <w:r>
        <w:rPr>
          <w:rFonts w:ascii="Helvetica" w:cs="Helvetica" w:eastAsia="Helvetica" w:hAnsi="Helvetica"/>
          <w:color w:val="404040"/>
          <w:sz w:val="22"/>
          <w:szCs w:val="22"/>
        </w:rPr>
        <w:t xml:space="preserve">Personal injury intake is the most standardized and volume-intensive of all practice areas. It covers motor vehicle accidents, slip and fall, medical malpractice, wrongful death, and product liability. Firms typically use a two-stage process: a brief phone pre-screen (5–15 minutes) followed by a full intake appointment (45–90 minutes in-person or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Category</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Questions Asked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Client Identification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Full legal name, DOB, last 4 of SSN, address, phone, email, emergency contact, referral source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Employment &amp; Financial</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Employer, supervisor, compensation, wage loss estimate, Medicare/Medicaid status, health insurance carrier and policy number, disability benefits, gross weekly pay</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Insurance Information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Auto insurance carrier, policy number, UIM coverage limits, MedPay coverage, at-fault party's insurance company, adjuster name, claim number</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Incident Facts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Date, location (city/county/state/street), accident type, detailed description, all vehicle occupants, witnesses, citations, recorded statements, photos, vehicle damage and repair estimates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Bodily Injuries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Initial injuries (specific), lifestyle impact, all treating providers with dates and bills, diagnostic tests, current symptoms and pain levels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Past Medical &amp; Litigation</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Previous accidents, past illnesses/injuries, hospitalizations (10 years), prior PI claims/lawsuits with settlement amounts, prior claims involving same body areas</w:t>
            </w:r>
          </w:p>
        </w:tc>
      </w:tr>
    </w:tbl>
    <w:p>
      <w:pPr>
        <w:spacing w:after="200"/>
      </w:pPr>
    </w:p>
    <w:p>
      <w:pPr>
        <w:spacing w:after="200" w:line="276"/>
      </w:pPr>
      <w:r>
        <w:rPr>
          <w:rFonts w:ascii="Helvetica" w:cs="Helvetica" w:eastAsia="Helvetica" w:hAnsi="Helvetica"/>
          <w:color w:val="404040"/>
          <w:sz w:val="22"/>
          <w:szCs w:val="22"/>
        </w:rPr>
        <w:t xml:space="preserve">Qualification Criteria:</w:t>
      </w:r>
    </w:p>
    <w:p>
      <w:pPr>
        <w:pStyle w:val="ListParagraph"/>
        <w:numPr>
          <w:ilvl w:val="0"/>
          <w:numId w:val="2"/>
        </w:numPr>
        <w:spacing w:after="80"/>
      </w:pPr>
      <w:r>
        <w:rPr>
          <w:rFonts w:ascii="Helvetica" w:cs="Helvetica" w:eastAsia="Helvetica" w:hAnsi="Helvetica"/>
          <w:color w:val="404040"/>
          <w:sz w:val="22"/>
          <w:szCs w:val="22"/>
        </w:rPr>
        <w:t xml:space="preserve">Clear fault by defendant; police report and witnesses corroborate client's version</w:t>
      </w:r>
    </w:p>
    <w:p>
      <w:pPr>
        <w:pStyle w:val="ListParagraph"/>
        <w:numPr>
          <w:ilvl w:val="0"/>
          <w:numId w:val="2"/>
        </w:numPr>
        <w:spacing w:after="80"/>
      </w:pPr>
      <w:r>
        <w:rPr>
          <w:rFonts w:ascii="Helvetica" w:cs="Helvetica" w:eastAsia="Helvetica" w:hAnsi="Helvetica"/>
          <w:color w:val="404040"/>
          <w:sz w:val="22"/>
          <w:szCs w:val="22"/>
        </w:rPr>
        <w:t xml:space="preserve">Significant injury requiring ongoing treatment; documented wage loss; high impact on daily life</w:t>
      </w:r>
    </w:p>
    <w:p>
      <w:pPr>
        <w:pStyle w:val="ListParagraph"/>
        <w:numPr>
          <w:ilvl w:val="0"/>
          <w:numId w:val="2"/>
        </w:numPr>
        <w:spacing w:after="80"/>
      </w:pPr>
      <w:r>
        <w:rPr>
          <w:rFonts w:ascii="Helvetica" w:cs="Helvetica" w:eastAsia="Helvetica" w:hAnsi="Helvetica"/>
          <w:color w:val="404040"/>
          <w:sz w:val="22"/>
          <w:szCs w:val="22"/>
        </w:rPr>
        <w:t xml:space="preserve">Adequate insurance coverage (defendant's policy limits + client's UIM coverage)</w:t>
      </w:r>
    </w:p>
    <w:p>
      <w:pPr>
        <w:pStyle w:val="ListParagraph"/>
        <w:numPr>
          <w:ilvl w:val="0"/>
          <w:numId w:val="2"/>
        </w:numPr>
        <w:spacing w:after="80"/>
      </w:pPr>
      <w:r>
        <w:rPr>
          <w:rFonts w:ascii="Helvetica" w:cs="Helvetica" w:eastAsia="Helvetica" w:hAnsi="Helvetica"/>
          <w:color w:val="404040"/>
          <w:sz w:val="22"/>
          <w:szCs w:val="22"/>
        </w:rPr>
        <w:t xml:space="preserve">Direct causal link between incident and injuries; small or explainable gap in treatment</w:t>
      </w:r>
    </w:p>
    <w:p>
      <w:pPr>
        <w:pStyle w:val="ListParagraph"/>
        <w:numPr>
          <w:ilvl w:val="0"/>
          <w:numId w:val="2"/>
        </w:numPr>
        <w:spacing w:after="80"/>
      </w:pPr>
      <w:r>
        <w:rPr>
          <w:rFonts w:ascii="Helvetica" w:cs="Helvetica" w:eastAsia="Helvetica" w:hAnsi="Helvetica"/>
          <w:color w:val="404040"/>
          <w:sz w:val="22"/>
          <w:szCs w:val="22"/>
        </w:rPr>
        <w:t xml:space="preserve">Case value (medical bills + lost wages + pain/suffering) justifies litigation costs</w:t>
      </w:r>
    </w:p>
    <w:p>
      <w:pPr>
        <w:pStyle w:val="ListParagraph"/>
        <w:numPr>
          <w:ilvl w:val="0"/>
          <w:numId w:val="2"/>
        </w:numPr>
        <w:spacing w:after="80"/>
      </w:pPr>
      <w:r>
        <w:rPr>
          <w:rFonts w:ascii="Helvetica" w:cs="Helvetica" w:eastAsia="Helvetica" w:hAnsi="Helvetica"/>
          <w:color w:val="404040"/>
          <w:sz w:val="22"/>
          <w:szCs w:val="22"/>
        </w:rPr>
        <w:t xml:space="preserve">Within statute of limitations with sufficient time to investigate</w:t>
      </w:r>
    </w:p>
    <w:p>
      <w:pPr>
        <w:spacing w:after="200" w:line="276"/>
      </w:pPr>
      <w:r>
        <w:rPr>
          <w:rFonts w:ascii="Helvetica" w:cs="Helvetica" w:eastAsia="Helvetica" w:hAnsi="Helvetica"/>
          <w:color w:val="404040"/>
          <w:sz w:val="22"/>
          <w:szCs w:val="22"/>
        </w:rPr>
        <w:t xml:space="preserve">Disqualification Criteria:</w:t>
      </w:r>
    </w:p>
    <w:p>
      <w:pPr>
        <w:pStyle w:val="ListParagraph"/>
        <w:numPr>
          <w:ilvl w:val="0"/>
          <w:numId w:val="2"/>
        </w:numPr>
        <w:spacing w:after="80"/>
      </w:pPr>
      <w:r>
        <w:rPr>
          <w:rFonts w:ascii="Helvetica" w:cs="Helvetica" w:eastAsia="Helvetica" w:hAnsi="Helvetica"/>
          <w:color w:val="404040"/>
          <w:sz w:val="22"/>
          <w:szCs w:val="22"/>
        </w:rPr>
        <w:t xml:space="preserve">Statute of limitations expired (generally 2–3 years; 45–180 days for government entities)</w:t>
      </w:r>
    </w:p>
    <w:p>
      <w:pPr>
        <w:pStyle w:val="ListParagraph"/>
        <w:numPr>
          <w:ilvl w:val="0"/>
          <w:numId w:val="2"/>
        </w:numPr>
        <w:spacing w:after="80"/>
      </w:pPr>
      <w:r>
        <w:rPr>
          <w:rFonts w:ascii="Helvetica" w:cs="Helvetica" w:eastAsia="Helvetica" w:hAnsi="Helvetica"/>
          <w:color w:val="404040"/>
          <w:sz w:val="22"/>
          <w:szCs w:val="22"/>
        </w:rPr>
        <w:t xml:space="preserve">Pre-existing injury to same body part without adequate documentation</w:t>
      </w:r>
    </w:p>
    <w:p>
      <w:pPr>
        <w:pStyle w:val="ListParagraph"/>
        <w:numPr>
          <w:ilvl w:val="0"/>
          <w:numId w:val="2"/>
        </w:numPr>
        <w:spacing w:after="80"/>
      </w:pPr>
      <w:r>
        <w:rPr>
          <w:rFonts w:ascii="Helvetica" w:cs="Helvetica" w:eastAsia="Helvetica" w:hAnsi="Helvetica"/>
          <w:color w:val="404040"/>
          <w:sz w:val="22"/>
          <w:szCs w:val="22"/>
        </w:rPr>
        <w:t xml:space="preserve">Client gave recorded statement admitting fault before retaining attorney</w:t>
      </w:r>
    </w:p>
    <w:p>
      <w:pPr>
        <w:pStyle w:val="ListParagraph"/>
        <w:numPr>
          <w:ilvl w:val="0"/>
          <w:numId w:val="2"/>
        </w:numPr>
        <w:spacing w:after="80"/>
      </w:pPr>
      <w:r>
        <w:rPr>
          <w:rFonts w:ascii="Helvetica" w:cs="Helvetica" w:eastAsia="Helvetica" w:hAnsi="Helvetica"/>
          <w:color w:val="404040"/>
          <w:sz w:val="22"/>
          <w:szCs w:val="22"/>
        </w:rPr>
        <w:t xml:space="preserve">Serial claimant — extensive prior personal injury claims</w:t>
      </w:r>
    </w:p>
    <w:p>
      <w:pPr>
        <w:pStyle w:val="ListParagraph"/>
        <w:numPr>
          <w:ilvl w:val="0"/>
          <w:numId w:val="2"/>
        </w:numPr>
        <w:spacing w:after="80"/>
      </w:pPr>
      <w:r>
        <w:rPr>
          <w:rFonts w:ascii="Helvetica" w:cs="Helvetica" w:eastAsia="Helvetica" w:hAnsi="Helvetica"/>
          <w:color w:val="404040"/>
          <w:sz w:val="22"/>
          <w:szCs w:val="22"/>
        </w:rPr>
        <w:t xml:space="preserve">Defendant has no insurance and no assets</w:t>
      </w:r>
    </w:p>
    <w:p>
      <w:pPr>
        <w:pStyle w:val="ListParagraph"/>
        <w:numPr>
          <w:ilvl w:val="0"/>
          <w:numId w:val="2"/>
        </w:numPr>
        <w:spacing w:after="80"/>
      </w:pPr>
      <w:r>
        <w:rPr>
          <w:rFonts w:ascii="Helvetica" w:cs="Helvetica" w:eastAsia="Helvetica" w:hAnsi="Helvetica"/>
          <w:color w:val="404040"/>
          <w:sz w:val="22"/>
          <w:szCs w:val="22"/>
        </w:rPr>
        <w:t xml:space="preserve">Minor impact with soft-tissue-only injuries (marginal value)</w:t>
      </w:r>
    </w:p>
    <w:p>
      <w:pPr>
        <w:pStyle w:val="ListParagraph"/>
        <w:numPr>
          <w:ilvl w:val="0"/>
          <w:numId w:val="2"/>
        </w:numPr>
        <w:spacing w:after="80"/>
      </w:pPr>
      <w:r>
        <w:rPr>
          <w:rFonts w:ascii="Helvetica" w:cs="Helvetica" w:eastAsia="Helvetica" w:hAnsi="Helvetica"/>
          <w:color w:val="404040"/>
          <w:sz w:val="22"/>
          <w:szCs w:val="22"/>
        </w:rPr>
        <w:t xml:space="preserve">Criminal history that would destroy jury credibility</w:t>
      </w:r>
    </w:p>
    <w:p>
      <w:pPr>
        <w:spacing w:after="200" w:line="276"/>
      </w:pPr>
      <w:r>
        <w:rPr>
          <w:rFonts w:ascii="Helvetica" w:cs="Helvetica" w:eastAsia="Helvetica" w:hAnsi="Helvetica"/>
          <w:color w:val="404040"/>
          <w:sz w:val="22"/>
          <w:szCs w:val="22"/>
        </w:rPr>
        <w:t xml:space="preserve">Fee Structure: Standard contingency fee of 33.3% for pre-lawsuit settlement; 40% if lawsuit filed; up to 45% on appeal. No upfront fee — attorney advances costs and recoups from settlement. Hard costs (filing fees, experts, medical records) deducted separately.</w:t>
      </w:r>
    </w:p>
    <w:p>
      <w:pPr>
        <w:spacing w:after="200" w:line="276"/>
      </w:pPr>
      <w:r>
        <w:rPr>
          <w:rFonts w:ascii="Helvetica" w:cs="Helvetica" w:eastAsia="Helvetica" w:hAnsi="Helvetica"/>
          <w:color w:val="404040"/>
          <w:sz w:val="22"/>
          <w:szCs w:val="22"/>
        </w:rPr>
        <w:t xml:space="preserve">Intake Duration: Phone screening 5–15 minutes; full intake 45–90 minutes. Statute of Limitations: General negligence 2–3 years; government entities 45–180 days notice; wrongful death from date of death; minors' clock starts at 18th birthday. Cases within 60–90 days of SOL must be escalated to an attorney immediately.</w:t>
      </w:r>
    </w:p>
    <w:p>
      <w:pPr>
        <w:spacing w:after="200" w:line="276"/>
      </w:pPr>
      <w:r>
        <w:rPr>
          <w:rFonts w:ascii="Helvetica" w:cs="Helvetica" w:eastAsia="Helvetica" w:hAnsi="Helvetica"/>
          <w:color w:val="404040"/>
          <w:sz w:val="22"/>
          <w:szCs w:val="22"/>
        </w:rPr>
        <w:t xml:space="preserve">Documents Collected: Police/accident report, photos of scene/damage/injuries, insurance ID cards, medical records release authorization, declaration page of auto policy, prior claims documentation, pay stubs for lost wages, recorded statement transcripts.</w:t>
      </w:r>
    </w:p>
    <w:p>
      <w:pPr>
        <w:pStyle w:val="Heading2"/>
        <w:spacing w:after="140" w:before="280"/>
      </w:pPr>
      <w:r>
        <w:rPr>
          <w:rFonts w:ascii="Helvetica" w:cs="Helvetica" w:eastAsia="Helvetica" w:hAnsi="Helvetica"/>
          <w:b/>
          <w:bCs/>
          <w:color w:val="0E2841"/>
          <w:sz w:val="28"/>
          <w:szCs w:val="28"/>
        </w:rPr>
        <w:t xml:space="preserve">1.2 Family Law</w:t>
      </w:r>
    </w:p>
    <w:p>
      <w:pPr>
        <w:spacing w:after="200" w:line="276"/>
      </w:pPr>
      <w:r>
        <w:rPr>
          <w:rFonts w:ascii="Helvetica" w:cs="Helvetica" w:eastAsia="Helvetica" w:hAnsi="Helvetica"/>
          <w:color w:val="404040"/>
          <w:sz w:val="22"/>
          <w:szCs w:val="22"/>
        </w:rPr>
        <w:t xml:space="preserve">Family law covers divorce, custody, child support, adoption, prenuptial agreements, and domestic violence. Intake is emotionally intensive and requires careful screening for safety concerns. Best practice is to send the questionnaire 48 hours in advance so the client can gather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Category</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Questions Asked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Personal Information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Full legal names (client + spouse, including maiden name), addresses, DOBs, SSNs (last 4)</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Marriage Details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Date/place of marriage, certificate available, prior marriages for both parties, courts/counties of prior divorces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Separation Details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Currently separated (date), formal agreements in place, living together, spouse aware of divorce intent, spouse's attorney</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Children Information</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Names/DOBs of all children, which are from this marriage, pregnancy status, current living situation, existing custody orders, special needs, custody goals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Financial Information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Employment/income (both parties), income/expense statement, gross/net monthly income, joint accounts, shared debts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Property &amp; Assets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Marital residence (title, down payment, value, mortgage), other real estate, automobiles, retirement accounts, business interests, life insurance</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Safety / Urgent Issues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Domestic violence or abuse instances, immediate safety concerns, firearms in household, immigration status of either party</w:t>
            </w:r>
          </w:p>
        </w:tc>
      </w:tr>
    </w:tbl>
    <w:p>
      <w:pPr>
        <w:spacing w:after="200"/>
      </w:pPr>
    </w:p>
    <w:p>
      <w:pPr>
        <w:spacing w:after="200" w:line="276"/>
      </w:pPr>
      <w:r>
        <w:rPr>
          <w:rFonts w:ascii="Helvetica" w:cs="Helvetica" w:eastAsia="Helvetica" w:hAnsi="Helvetica"/>
          <w:color w:val="404040"/>
          <w:sz w:val="22"/>
          <w:szCs w:val="22"/>
        </w:rPr>
        <w:t xml:space="preserve">Qualification Criteria:</w:t>
      </w:r>
    </w:p>
    <w:p>
      <w:pPr>
        <w:pStyle w:val="ListParagraph"/>
        <w:numPr>
          <w:ilvl w:val="0"/>
          <w:numId w:val="2"/>
        </w:numPr>
        <w:spacing w:after="80"/>
      </w:pPr>
      <w:r>
        <w:rPr>
          <w:rFonts w:ascii="Helvetica" w:cs="Helvetica" w:eastAsia="Helvetica" w:hAnsi="Helvetica"/>
          <w:color w:val="404040"/>
          <w:sz w:val="22"/>
          <w:szCs w:val="22"/>
        </w:rPr>
        <w:t xml:space="preserve">Client resides in jurisdiction and meets residency requirements for filing</w:t>
      </w:r>
    </w:p>
    <w:p>
      <w:pPr>
        <w:pStyle w:val="ListParagraph"/>
        <w:numPr>
          <w:ilvl w:val="0"/>
          <w:numId w:val="2"/>
        </w:numPr>
        <w:spacing w:after="80"/>
      </w:pPr>
      <w:r>
        <w:rPr>
          <w:rFonts w:ascii="Helvetica" w:cs="Helvetica" w:eastAsia="Helvetica" w:hAnsi="Helvetica"/>
          <w:color w:val="404040"/>
          <w:sz w:val="22"/>
          <w:szCs w:val="22"/>
        </w:rPr>
        <w:t xml:space="preserve">Assets exist to divide or clear child custody dispute worth pursuing</w:t>
      </w:r>
    </w:p>
    <w:p>
      <w:pPr>
        <w:pStyle w:val="ListParagraph"/>
        <w:numPr>
          <w:ilvl w:val="0"/>
          <w:numId w:val="2"/>
        </w:numPr>
        <w:spacing w:after="80"/>
      </w:pPr>
      <w:r>
        <w:rPr>
          <w:rFonts w:ascii="Helvetica" w:cs="Helvetica" w:eastAsia="Helvetica" w:hAnsi="Helvetica"/>
          <w:color w:val="404040"/>
          <w:sz w:val="22"/>
          <w:szCs w:val="22"/>
        </w:rPr>
        <w:t xml:space="preserve">Client can afford retainer or qualifies for sliding scale/legal aid</w:t>
      </w:r>
    </w:p>
    <w:p>
      <w:pPr>
        <w:pStyle w:val="ListParagraph"/>
        <w:numPr>
          <w:ilvl w:val="0"/>
          <w:numId w:val="2"/>
        </w:numPr>
        <w:spacing w:after="80"/>
      </w:pPr>
      <w:r>
        <w:rPr>
          <w:rFonts w:ascii="Helvetica" w:cs="Helvetica" w:eastAsia="Helvetica" w:hAnsi="Helvetica"/>
          <w:color w:val="404040"/>
          <w:sz w:val="22"/>
          <w:szCs w:val="22"/>
        </w:rPr>
        <w:t xml:space="preserve">Matter falls within firm's specialty (contested vs. uncontested; high-net-worth vs. standard)</w:t>
      </w:r>
    </w:p>
    <w:p>
      <w:pPr>
        <w:pStyle w:val="ListParagraph"/>
        <w:numPr>
          <w:ilvl w:val="0"/>
          <w:numId w:val="2"/>
        </w:numPr>
        <w:spacing w:after="80"/>
      </w:pPr>
      <w:r>
        <w:rPr>
          <w:rFonts w:ascii="Helvetica" w:cs="Helvetica" w:eastAsia="Helvetica" w:hAnsi="Helvetica"/>
          <w:color w:val="404040"/>
          <w:sz w:val="22"/>
          <w:szCs w:val="22"/>
        </w:rPr>
        <w:t xml:space="preserve">Domestic violence present — immediate escalation and emergency filing capability confirmed</w:t>
      </w:r>
    </w:p>
    <w:p>
      <w:pPr>
        <w:spacing w:after="200" w:line="276"/>
      </w:pPr>
      <w:r>
        <w:rPr>
          <w:rFonts w:ascii="Helvetica" w:cs="Helvetica" w:eastAsia="Helvetica" w:hAnsi="Helvetica"/>
          <w:color w:val="404040"/>
          <w:sz w:val="22"/>
          <w:szCs w:val="22"/>
        </w:rPr>
        <w:t xml:space="preserve">Disqualification Criteria:</w:t>
      </w:r>
    </w:p>
    <w:p>
      <w:pPr>
        <w:pStyle w:val="ListParagraph"/>
        <w:numPr>
          <w:ilvl w:val="0"/>
          <w:numId w:val="2"/>
        </w:numPr>
        <w:spacing w:after="80"/>
      </w:pPr>
      <w:r>
        <w:rPr>
          <w:rFonts w:ascii="Helvetica" w:cs="Helvetica" w:eastAsia="Helvetica" w:hAnsi="Helvetica"/>
          <w:color w:val="404040"/>
          <w:sz w:val="22"/>
          <w:szCs w:val="22"/>
        </w:rPr>
        <w:t xml:space="preserve">No assets, no children, and uncontested — refer to legal document prep service</w:t>
      </w:r>
    </w:p>
    <w:p>
      <w:pPr>
        <w:pStyle w:val="ListParagraph"/>
        <w:numPr>
          <w:ilvl w:val="0"/>
          <w:numId w:val="2"/>
        </w:numPr>
        <w:spacing w:after="80"/>
      </w:pPr>
      <w:r>
        <w:rPr>
          <w:rFonts w:ascii="Helvetica" w:cs="Helvetica" w:eastAsia="Helvetica" w:hAnsi="Helvetica"/>
          <w:color w:val="404040"/>
          <w:sz w:val="22"/>
          <w:szCs w:val="22"/>
        </w:rPr>
        <w:t xml:space="preserve">Jurisdiction where firm is not licensed</w:t>
      </w:r>
    </w:p>
    <w:p>
      <w:pPr>
        <w:pStyle w:val="ListParagraph"/>
        <w:numPr>
          <w:ilvl w:val="0"/>
          <w:numId w:val="2"/>
        </w:numPr>
        <w:spacing w:after="80"/>
      </w:pPr>
      <w:r>
        <w:rPr>
          <w:rFonts w:ascii="Helvetica" w:cs="Helvetica" w:eastAsia="Helvetica" w:hAnsi="Helvetica"/>
          <w:color w:val="404040"/>
          <w:sz w:val="22"/>
          <w:szCs w:val="22"/>
        </w:rPr>
        <w:t xml:space="preserve">Conflict of interest (firm represented spouse previously)</w:t>
      </w:r>
    </w:p>
    <w:p>
      <w:pPr>
        <w:pStyle w:val="ListParagraph"/>
        <w:numPr>
          <w:ilvl w:val="0"/>
          <w:numId w:val="2"/>
        </w:numPr>
        <w:spacing w:after="80"/>
      </w:pPr>
      <w:r>
        <w:rPr>
          <w:rFonts w:ascii="Helvetica" w:cs="Helvetica" w:eastAsia="Helvetica" w:hAnsi="Helvetica"/>
          <w:color w:val="404040"/>
          <w:sz w:val="22"/>
          <w:szCs w:val="22"/>
        </w:rPr>
        <w:t xml:space="preserve">Client cannot afford retainer and doesn't qualify for aid</w:t>
      </w:r>
    </w:p>
    <w:p>
      <w:pPr>
        <w:pStyle w:val="ListParagraph"/>
        <w:numPr>
          <w:ilvl w:val="0"/>
          <w:numId w:val="2"/>
        </w:numPr>
        <w:spacing w:after="80"/>
      </w:pPr>
      <w:r>
        <w:rPr>
          <w:rFonts w:ascii="Helvetica" w:cs="Helvetica" w:eastAsia="Helvetica" w:hAnsi="Helvetica"/>
          <w:color w:val="404040"/>
          <w:sz w:val="22"/>
          <w:szCs w:val="22"/>
        </w:rPr>
        <w:t xml:space="preserve">Complex international assets or multinational custody requiring specialist</w:t>
      </w:r>
    </w:p>
    <w:p>
      <w:pPr>
        <w:spacing w:after="200" w:line="276"/>
      </w:pPr>
      <w:r>
        <w:rPr>
          <w:rFonts w:ascii="Helvetica" w:cs="Helvetica" w:eastAsia="Helvetica" w:hAnsi="Helvetica"/>
          <w:color w:val="404040"/>
          <w:sz w:val="22"/>
          <w:szCs w:val="22"/>
        </w:rPr>
        <w:t xml:space="preserve">Fee Structure: Retainer $2,500–$5,000 for most contested divorces. Hourly rate $254–$500/hour nationally. Flat fee $1,500–$3,500 for uncontested divorces. Contingency fees are generally prohibited in family law. Intake Duration: Phone screening 10–20 minutes; initial consultation 60–90 minutes.</w:t>
      </w:r>
    </w:p>
    <w:p>
      <w:pPr>
        <w:spacing w:after="200" w:line="276"/>
      </w:pPr>
      <w:r>
        <w:rPr>
          <w:rFonts w:ascii="Helvetica" w:cs="Helvetica" w:eastAsia="Helvetica" w:hAnsi="Helvetica"/>
          <w:color w:val="404040"/>
          <w:sz w:val="22"/>
          <w:szCs w:val="22"/>
        </w:rPr>
        <w:t xml:space="preserve">Urgency Flags: Domestic violence/emergency protective orders require same-day or next-day action. Child custody with imminent removal threat requires expedited filing. Documents Collected: Marriage/birth certificates, 2 years tax returns, 3–6 months pay stubs, bank statements, retirement/investment statements, property deeds, mortgage statements, vehicle titles, prenuptial agreements, existing court orders.</w:t>
      </w:r>
    </w:p>
    <w:p>
      <w:pPr>
        <w:pStyle w:val="Heading2"/>
        <w:spacing w:after="140" w:before="280"/>
      </w:pPr>
      <w:r>
        <w:rPr>
          <w:rFonts w:ascii="Helvetica" w:cs="Helvetica" w:eastAsia="Helvetica" w:hAnsi="Helvetica"/>
          <w:b/>
          <w:bCs/>
          <w:color w:val="0E2841"/>
          <w:sz w:val="28"/>
          <w:szCs w:val="28"/>
        </w:rPr>
        <w:t xml:space="preserve">1.3 Criminal Defense</w:t>
      </w:r>
    </w:p>
    <w:p>
      <w:pPr>
        <w:spacing w:after="200" w:line="276"/>
      </w:pPr>
      <w:r>
        <w:rPr>
          <w:rFonts w:ascii="Helvetica" w:cs="Helvetica" w:eastAsia="Helvetica" w:hAnsi="Helvetica"/>
          <w:color w:val="404040"/>
          <w:sz w:val="22"/>
          <w:szCs w:val="22"/>
        </w:rPr>
        <w:t xml:space="preserve">Criminal defense covers DUI/DWI, drug charges, assault, theft, white collar crimes, and federal offenses. Criminal defense often requires 24/7 availability given arrest timing. Urgency is typically the highest of any practice area.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Category</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Questions Asked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Personal History</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Full legal name, DOB, race/nationality, SSN, address (+ 10-year history), emergency contact, children</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Employment &amp; Financial</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Employer, position, salary, previous employers (10 years) for character witnesses and stability</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Health</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Overall health status, physician care, addiction issues and treatment history, allergies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Immigration Status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U.S. citizen, visa status, green card, DACA — criminal convictions can trigger deportation</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Legal Information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Aliases, prior record (charge, conviction, date, sentence), probation status/officer, prior questioning</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Present Offense</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Charges filed, bond amount/conditions, co-defendants, date/time/location, incident description, arresting agency/officer, Miranda warning, statements made, lineup participation, attorney request</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DUI-Specific</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BAC reading, 10-day DMV hearing deadline, prior DUI convictions, refused chemical test, field sobriety tests</w:t>
            </w:r>
          </w:p>
        </w:tc>
      </w:tr>
    </w:tbl>
    <w:p>
      <w:pPr>
        <w:spacing w:after="200"/>
      </w:pPr>
    </w:p>
    <w:p>
      <w:pPr>
        <w:spacing w:after="200" w:line="276"/>
      </w:pPr>
      <w:r>
        <w:rPr>
          <w:rFonts w:ascii="Helvetica" w:cs="Helvetica" w:eastAsia="Helvetica" w:hAnsi="Helvetica"/>
          <w:color w:val="404040"/>
          <w:sz w:val="22"/>
          <w:szCs w:val="22"/>
        </w:rPr>
        <w:t xml:space="preserve">Qualification: Firm handles the charge type; client is charged; client can pay retainer; geographic jurisdiction where attorney is licensed. Disqualification: Federal charges at state-only firms; expertise mismatch; conflict with co-defendant or victim; capital murder without capital case capability.</w:t>
      </w:r>
    </w:p>
    <w:p>
      <w:pPr>
        <w:spacing w:after="200" w:line="276"/>
      </w:pPr>
      <w:r>
        <w:rPr>
          <w:rFonts w:ascii="Helvetica" w:cs="Helvetica" w:eastAsia="Helvetica" w:hAnsi="Helvetica"/>
          <w:color w:val="404040"/>
          <w:sz w:val="22"/>
          <w:szCs w:val="22"/>
        </w:rPr>
        <w:t xml:space="preserve">Fee Structure: Misdemeanor DUI flat fee $1,500–$5,000; state felony retainer $5,000–$25,000; federal retainer $25,000–$75,000 (pre-trial only), with separate trial retainer of $50,000–$150,000. Hourly $100–$400 state, $300–$700 federal. Payment plans more common than other practice areas.</w:t>
      </w:r>
    </w:p>
    <w:p>
      <w:pPr>
        <w:spacing w:after="200" w:line="276"/>
      </w:pPr>
      <w:r>
        <w:rPr>
          <w:rFonts w:ascii="Helvetica" w:cs="Helvetica" w:eastAsia="Helvetica" w:hAnsi="Helvetica"/>
          <w:color w:val="404040"/>
          <w:sz w:val="22"/>
          <w:szCs w:val="22"/>
        </w:rPr>
        <w:t xml:space="preserve">Intake Duration: Phone call 10–20 minutes; in-person 45–75 minutes. Urgency: DUI DMV hearing request within 10 days; arraignment within 48–72 hours; speedy trial ~70 days federal. Documents: Arrest/booking paperwork, bond paperwork, charging documents, police report, written statements, probation documents, character references.</w:t>
      </w:r>
    </w:p>
    <w:p>
      <w:pPr>
        <w:pStyle w:val="Heading2"/>
        <w:spacing w:after="140" w:before="280"/>
      </w:pPr>
      <w:r>
        <w:rPr>
          <w:rFonts w:ascii="Helvetica" w:cs="Helvetica" w:eastAsia="Helvetica" w:hAnsi="Helvetica"/>
          <w:b/>
          <w:bCs/>
          <w:color w:val="0E2841"/>
          <w:sz w:val="28"/>
          <w:szCs w:val="28"/>
        </w:rPr>
        <w:t xml:space="preserve">1.4 Immigration</w:t>
      </w:r>
    </w:p>
    <w:p>
      <w:pPr>
        <w:spacing w:after="200" w:line="276"/>
      </w:pPr>
      <w:r>
        <w:rPr>
          <w:rFonts w:ascii="Helvetica" w:cs="Helvetica" w:eastAsia="Helvetica" w:hAnsi="Helvetica"/>
          <w:color w:val="404040"/>
          <w:sz w:val="22"/>
          <w:szCs w:val="22"/>
        </w:rPr>
        <w:t xml:space="preserve">Immigration covers visa applications, green cards, deportation defense, asylum, work permits, and naturalization. Intake consultations are typically longer (60–120 minutes) due to document complexity and often require interpreter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Category</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Questions Asked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Basic Identification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Full legal name, DOB, country of birth/citizenship, A-number, address, contact info</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Immigration History</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Date first entered U.S., all entries/exits with dates, visa type on last entry, current status, prior visa interviews, detention history, border interactions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Removal/Deportation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Ever deported or voluntary departure, immigration court history, signed forms before leaving, prior removal orders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Benefits Sought</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Prior applications (residency, asylum, DACA, TPS, VAWA, U/T visa), paperwork filed on behalf</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Family Ties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Spouse (name, status, marriage date), former spouses, parents/grandparents citizenship, children with status, military family members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Criminal History</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Any arrests, indictments, convictions in U.S. or abroad — critical as many offenses trigger deportability</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Asylum/Fear-Based</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Fear of return to home country, identity of persecutors, domestic abuse by spouse/parent/child, government/group persecution</w:t>
            </w:r>
          </w:p>
        </w:tc>
      </w:tr>
    </w:tbl>
    <w:p>
      <w:pPr>
        <w:spacing w:after="200"/>
      </w:pPr>
    </w:p>
    <w:p>
      <w:pPr>
        <w:spacing w:after="200" w:line="276"/>
      </w:pPr>
      <w:r>
        <w:rPr>
          <w:rFonts w:ascii="Helvetica" w:cs="Helvetica" w:eastAsia="Helvetica" w:hAnsi="Helvetica"/>
          <w:color w:val="404040"/>
          <w:sz w:val="22"/>
          <w:szCs w:val="22"/>
        </w:rPr>
        <w:t xml:space="preserve">Qualification varies by case type: Family-based petition requires USC or LPR petitioner; asylum must be filed within 1 year of entry; cancellation of removal requires LPR 5+ years and 7 years in U.S. (or 10 years non-LPR with qualifying family); U Visa requires victim of qualifying crime cooperating with law enforcement.</w:t>
      </w:r>
    </w:p>
    <w:p>
      <w:pPr>
        <w:spacing w:after="200" w:line="276"/>
      </w:pPr>
      <w:r>
        <w:rPr>
          <w:rFonts w:ascii="Helvetica" w:cs="Helvetica" w:eastAsia="Helvetica" w:hAnsi="Helvetica"/>
          <w:color w:val="404040"/>
          <w:sz w:val="22"/>
          <w:szCs w:val="22"/>
        </w:rPr>
        <w:t xml:space="preserve">Fee Structure: Flat fee is most common — simple family petition (I-130) $1,500–$3,000; adjustment of status $2,000–$5,000; naturalization $500–$2,500; asylum $3,000–$8,000; deportation defense $3,000–$10,000+; employment-based sponsorship $5,000–$15,000. Hourly for complex matters $150–$400/hour.</w:t>
      </w:r>
    </w:p>
    <w:p>
      <w:pPr>
        <w:spacing w:after="200" w:line="276"/>
      </w:pPr>
      <w:r>
        <w:rPr>
          <w:rFonts w:ascii="Helvetica" w:cs="Helvetica" w:eastAsia="Helvetica" w:hAnsi="Helvetica"/>
          <w:color w:val="404040"/>
          <w:sz w:val="22"/>
          <w:szCs w:val="22"/>
        </w:rPr>
        <w:t xml:space="preserve">Critical Deadlines: Asylum 1-year filing deadline (extremely strict); USCIS RFE responses 87 days; motions to reopen 90 days; bond hearings within 5 business days; NTA court dates — missing court results in removal order in absentia.</w:t>
      </w:r>
    </w:p>
    <w:p>
      <w:pPr>
        <w:pStyle w:val="Heading2"/>
        <w:spacing w:after="140" w:before="280"/>
      </w:pPr>
      <w:r>
        <w:rPr>
          <w:rFonts w:ascii="Helvetica" w:cs="Helvetica" w:eastAsia="Helvetica" w:hAnsi="Helvetica"/>
          <w:b/>
          <w:bCs/>
          <w:color w:val="0E2841"/>
          <w:sz w:val="28"/>
          <w:szCs w:val="28"/>
        </w:rPr>
        <w:t xml:space="preserve">1.5 Real Estate</w:t>
      </w:r>
    </w:p>
    <w:p>
      <w:pPr>
        <w:spacing w:after="200" w:line="276"/>
      </w:pPr>
      <w:r>
        <w:rPr>
          <w:rFonts w:ascii="Helvetica" w:cs="Helvetica" w:eastAsia="Helvetica" w:hAnsi="Helvetica"/>
          <w:color w:val="404040"/>
          <w:sz w:val="22"/>
          <w:szCs w:val="22"/>
        </w:rPr>
        <w:t xml:space="preserve">Real estate law covers residential purchase/sale, commercial transactions, landlord-tenant disputes, and zoning. Many real estate attorneys conduct intake via email with documents attached before the first call, making this practice area well-suited to digital intake.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Category</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Questions Asked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Client &amp; Transaction Basics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Full name, contact info, role (buyer/seller/landlord/tenant/investor), property address and type, transaction type, estimated price or lease value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Residential Purchase/Sale</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Real estate agent info, executed purchase agreement, closing date, financing/lender, contingencies, title company, known property issues, liens, HOA documents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Commercial Transactions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Property type, intended use, existing tenants, environmental due diligence, entity structure, 1031 exchange involvement</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Landlord-Tenant Disputes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Landlord or tenant, lease in place, nature of dispute (non-payment/habitability/eviction/deposit), prior court filings, eviction timeline urgency</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Zoning/Land Use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Current zoning designation, proposed use or change, municipality/planning board involved</w:t>
            </w:r>
          </w:p>
        </w:tc>
      </w:tr>
    </w:tbl>
    <w:p>
      <w:pPr>
        <w:spacing w:after="200"/>
      </w:pPr>
    </w:p>
    <w:p>
      <w:pPr>
        <w:spacing w:after="200" w:line="276"/>
      </w:pPr>
      <w:r>
        <w:rPr>
          <w:rFonts w:ascii="Helvetica" w:cs="Helvetica" w:eastAsia="Helvetica" w:hAnsi="Helvetica"/>
          <w:color w:val="404040"/>
          <w:sz w:val="22"/>
          <w:szCs w:val="22"/>
        </w:rPr>
        <w:t xml:space="preserve">Qualification: Transaction is in firm's jurisdiction; value justifies fees; client needs legal services (not just document prep); commercial clients have properly formed entity. Disqualification: Property in another state; both buyer and seller seeking same firm; active litigation requiring specialist; complex environmental issues.</w:t>
      </w:r>
    </w:p>
    <w:p>
      <w:pPr>
        <w:spacing w:after="200" w:line="276"/>
      </w:pPr>
      <w:r>
        <w:rPr>
          <w:rFonts w:ascii="Helvetica" w:cs="Helvetica" w:eastAsia="Helvetica" w:hAnsi="Helvetica"/>
          <w:color w:val="404040"/>
          <w:sz w:val="22"/>
          <w:szCs w:val="22"/>
        </w:rPr>
        <w:t xml:space="preserve">Fee Structure: Residential flat fee $500–$2,500; commercial flat fee $2,500–$10,000+; disputes hourly $200–$450/hour; dispute retainer $2,000–$10,000. Intake Duration: Phone/email screening 15–30 minutes; consultation 30–60 minutes. Urgency: Closing deadlines (30-day windows); eviction notice periods 3–30 days; zoning appeal deadlines 30–60 days.</w:t>
      </w:r>
    </w:p>
    <w:p>
      <w:pPr>
        <w:pStyle w:val="Heading2"/>
        <w:spacing w:after="140" w:before="280"/>
      </w:pPr>
      <w:r>
        <w:rPr>
          <w:rFonts w:ascii="Helvetica" w:cs="Helvetica" w:eastAsia="Helvetica" w:hAnsi="Helvetica"/>
          <w:b/>
          <w:bCs/>
          <w:color w:val="0E2841"/>
          <w:sz w:val="28"/>
          <w:szCs w:val="28"/>
        </w:rPr>
        <w:t xml:space="preserve">1.6 Business Law / Corporate</w:t>
      </w:r>
    </w:p>
    <w:p>
      <w:pPr>
        <w:spacing w:after="200" w:line="276"/>
      </w:pPr>
      <w:r>
        <w:rPr>
          <w:rFonts w:ascii="Helvetica" w:cs="Helvetica" w:eastAsia="Helvetica" w:hAnsi="Helvetica"/>
          <w:color w:val="404040"/>
          <w:sz w:val="22"/>
          <w:szCs w:val="22"/>
        </w:rPr>
        <w:t xml:space="preserve">Business law covers entity formation, contracts, partnerships, M&amp;A, and compliance. Business clients often send materials in advance via email and are typically on retainer or hourly arrangements.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Category</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Questions Asked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Entity Formation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Proposed company name (+ alternate), nature of business, principal office address, state of organization, operating states, number of owners, citizenship of investors, desired entity type, ownership percentages, profit-sharing, transfer restrictions, registered agent, trademarks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Management</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All owners manage or single manager, signing authority, officers (if corporation), member-managed vs. manager-managed, operating agreement/bylaws provisions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Financial</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Startup loans, accountant, EIN obtained, fiscal year, tax treatment election</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Contracts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Nature of contract, parties, key deal terms, prior drafts or term sheets, special concerns (IP, non-compete, indemnification)</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M&amp;A</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Buyer or seller, target company details, deal structure (asset vs. stock purchase), LOI in place, due diligence timeline</w:t>
            </w:r>
          </w:p>
        </w:tc>
      </w:tr>
    </w:tbl>
    <w:p>
      <w:pPr>
        <w:spacing w:after="200"/>
      </w:pPr>
    </w:p>
    <w:p>
      <w:pPr>
        <w:spacing w:after="200" w:line="276"/>
      </w:pPr>
      <w:r>
        <w:rPr>
          <w:rFonts w:ascii="Helvetica" w:cs="Helvetica" w:eastAsia="Helvetica" w:hAnsi="Helvetica"/>
          <w:color w:val="404040"/>
          <w:sz w:val="22"/>
          <w:szCs w:val="22"/>
        </w:rPr>
        <w:t xml:space="preserve">Fee Structure: Entity formation flat fee $500–$2,500; contract drafting $500–$5,000; M&amp;A $5,000–$50,000+ (hourly at $250–$500/hour); ongoing counsel retainer $1,500–$5,000/month. Intake Duration: Phone screening 15–30 minutes; consultation 45–90 minutes. Urgency: Regulatory deadlines, contract execution deadlines, IRS entity elections, VC funding closing dates.</w:t>
      </w:r>
    </w:p>
    <w:p>
      <w:pPr>
        <w:pStyle w:val="Heading2"/>
        <w:spacing w:after="140" w:before="280"/>
      </w:pPr>
      <w:r>
        <w:rPr>
          <w:rFonts w:ascii="Helvetica" w:cs="Helvetica" w:eastAsia="Helvetica" w:hAnsi="Helvetica"/>
          <w:b/>
          <w:bCs/>
          <w:color w:val="0E2841"/>
          <w:sz w:val="28"/>
          <w:szCs w:val="28"/>
        </w:rPr>
        <w:t xml:space="preserve">1.7 Estate Planning / Probate</w:t>
      </w:r>
    </w:p>
    <w:p>
      <w:pPr>
        <w:spacing w:after="200" w:line="276"/>
      </w:pPr>
      <w:r>
        <w:rPr>
          <w:rFonts w:ascii="Helvetica" w:cs="Helvetica" w:eastAsia="Helvetica" w:hAnsi="Helvetica"/>
          <w:color w:val="404040"/>
          <w:sz w:val="22"/>
          <w:szCs w:val="22"/>
        </w:rPr>
        <w:t xml:space="preserve">Estate planning covers wills, trusts, power of attorney, estate administration, and guardianship. Clients often need time to discuss family dynamics, and best practice is to send the intake form at least 2 weeks before the appointment.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Category</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Questions Asked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Client Information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Full legal name, DOB, SSN, citizenship, disabled veteran status, health status, treating physician, referral source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Spouse/Partner</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Same identification fields, date of marriage, prenuptial agreement</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Prior Documents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Existing will or trust, divorce/property settlements, trust name and creation date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Family History</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Parents (living/deceased), siblings (full/half-blood), prior marriages with dates and outcomes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Children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Names, DOBs, addresses of all children (including step), special needs, distribution age from trust, exclusions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Asset Outline</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Real estate (type, title, value, mortgage), bank/investment/retirement accounts with beneficiaries, life insurance, automobiles, business interests, significant personal property, long-term care concerns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Fiduciaries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Executor/Personal Representative (+ alternates), Successor Trustee, Durable POA, Healthcare Proxy, Guardian for minors</w:t>
            </w:r>
          </w:p>
        </w:tc>
      </w:tr>
    </w:tbl>
    <w:p>
      <w:pPr>
        <w:spacing w:after="200"/>
      </w:pPr>
    </w:p>
    <w:p>
      <w:pPr>
        <w:spacing w:after="200" w:line="276"/>
      </w:pPr>
      <w:r>
        <w:rPr>
          <w:rFonts w:ascii="Helvetica" w:cs="Helvetica" w:eastAsia="Helvetica" w:hAnsi="Helvetica"/>
          <w:color w:val="404040"/>
          <w:sz w:val="22"/>
          <w:szCs w:val="22"/>
        </w:rPr>
        <w:t xml:space="preserve">Fee Structure: Simple will $300–$800; will + POA + Healthcare Directive bundle $800–$2,500; revocable living trust package $2,500–$5,000+; complex trust with tax planning $5,000–$25,000+; probate/estate administration hourly $200–$450/hour or 2–4% of estate; guardianship $2,500–$10,000+.</w:t>
      </w:r>
    </w:p>
    <w:p>
      <w:pPr>
        <w:spacing w:after="200" w:line="276"/>
      </w:pPr>
      <w:r>
        <w:rPr>
          <w:rFonts w:ascii="Helvetica" w:cs="Helvetica" w:eastAsia="Helvetica" w:hAnsi="Helvetica"/>
          <w:color w:val="404040"/>
          <w:sz w:val="22"/>
          <w:szCs w:val="22"/>
        </w:rPr>
        <w:t xml:space="preserve">Urgency: Terminal illness/imminent death requires same-day or next-day expedited service with mobile signing. Incapacity without POA may require emergency guardianship proceedings. Probate creditor claim periods run 3–6 months; federal estate tax return due 9 months from date of death.</w:t>
      </w:r>
    </w:p>
    <w:p>
      <w:pPr>
        <w:pStyle w:val="Heading2"/>
        <w:spacing w:after="140" w:before="280"/>
      </w:pPr>
      <w:r>
        <w:rPr>
          <w:rFonts w:ascii="Helvetica" w:cs="Helvetica" w:eastAsia="Helvetica" w:hAnsi="Helvetica"/>
          <w:b/>
          <w:bCs/>
          <w:color w:val="0E2841"/>
          <w:sz w:val="28"/>
          <w:szCs w:val="28"/>
        </w:rPr>
        <w:t xml:space="preserve">1.8 Bankruptcy</w:t>
      </w:r>
    </w:p>
    <w:p>
      <w:pPr>
        <w:spacing w:after="200" w:line="276"/>
      </w:pPr>
      <w:r>
        <w:rPr>
          <w:rFonts w:ascii="Helvetica" w:cs="Helvetica" w:eastAsia="Helvetica" w:hAnsi="Helvetica"/>
          <w:color w:val="404040"/>
          <w:sz w:val="22"/>
          <w:szCs w:val="22"/>
        </w:rPr>
        <w:t xml:space="preserve">Bankruptcy covers Chapter 7, Chapter 13, business bankruptcy (Chapter 11), and debt restructuring. Bankruptcy intake is one of the most document-intensive practice areas — many firms send intake packets in advance and require documents before consultation.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Category</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Questions Asked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Personal Identification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Full legal name, SSN, DOB, current + prior addresses (2 years), marital status, spouse info for joint filing</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Employment &amp; Income</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Employer, position, length of employment, gross monthly income (all sources), spouse income, last 7 months pay stubs, prior 2 years tax returns, self-employment P&amp;L</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Assets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Real estate (value, mortgage, behind on payments), vehicles (value, amount owed), bank accounts, retirement accounts, personal property, business interests, expected tax refunds, expected inheritance within 6 months, pending lawsuits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Debts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Credit cards (creditor, balance, minimum), medical bills, personal loans, student loans, tax debts, mortgages, car loans, child support/alimony, judgments, active garnishment or repossession</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Prior Bankruptcy</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Prior filings (Chapter 7 or 13), dates, discharge status — affects re-filing eligibility (8-year wait for Ch.7, 4-year wait for Ch.13-to-Ch.7)</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Pre-Filing</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Credit counseling certificate from approved agency (mandatory, within 180 days before filing)</w:t>
            </w:r>
          </w:p>
        </w:tc>
      </w:tr>
    </w:tbl>
    <w:p>
      <w:pPr>
        <w:spacing w:after="200"/>
      </w:pPr>
    </w:p>
    <w:p>
      <w:pPr>
        <w:spacing w:after="200" w:line="276"/>
      </w:pPr>
      <w:r>
        <w:rPr>
          <w:rFonts w:ascii="Helvetica" w:cs="Helvetica" w:eastAsia="Helvetica" w:hAnsi="Helvetica"/>
          <w:color w:val="404040"/>
          <w:sz w:val="22"/>
          <w:szCs w:val="22"/>
        </w:rPr>
        <w:t xml:space="preserve">Chapter 7 Qualification: Must pass Means Test (income below state median or insufficient disposable income); no Chapter 7 discharge in past 8 years; no significant non-exempt assets; mostly unsecured debt. Chapter 13 Qualification: Regular income; total debts below $2,750,000; filed tax returns for last 4 years.</w:t>
      </w:r>
    </w:p>
    <w:p>
      <w:pPr>
        <w:spacing w:after="200" w:line="276"/>
      </w:pPr>
      <w:r>
        <w:rPr>
          <w:rFonts w:ascii="Helvetica" w:cs="Helvetica" w:eastAsia="Helvetica" w:hAnsi="Helvetica"/>
          <w:color w:val="404040"/>
          <w:sz w:val="22"/>
          <w:szCs w:val="22"/>
        </w:rPr>
        <w:t xml:space="preserve">Fee Structure: Chapter 7 flat fee $1,000–$2,500 + $338 court filing fee; Chapter 13 $3,500–$6,000 (portion paid upfront, balance through plan); Chapter 11 business bankruptcy $10,000–$50,000+ (complex cases $100,000+). Urgency: Foreclosure sale date (filing triggers automatic stay immediately); wage garnishment (filing stops it); bank levy (expedited filing can recover frozen funds).</w:t>
      </w:r>
    </w:p>
    <w:p>
      <w:pPr>
        <w:pStyle w:val="Heading2"/>
        <w:spacing w:after="140" w:before="280"/>
      </w:pPr>
      <w:r>
        <w:rPr>
          <w:rFonts w:ascii="Helvetica" w:cs="Helvetica" w:eastAsia="Helvetica" w:hAnsi="Helvetica"/>
          <w:b/>
          <w:bCs/>
          <w:color w:val="0E2841"/>
          <w:sz w:val="28"/>
          <w:szCs w:val="28"/>
        </w:rPr>
        <w:t xml:space="preserve">1.9 Employment Law</w:t>
      </w:r>
    </w:p>
    <w:p>
      <w:pPr>
        <w:spacing w:after="200" w:line="276"/>
      </w:pPr>
      <w:r>
        <w:rPr>
          <w:rFonts w:ascii="Helvetica" w:cs="Helvetica" w:eastAsia="Helvetica" w:hAnsi="Helvetica"/>
          <w:color w:val="404040"/>
          <w:sz w:val="22"/>
          <w:szCs w:val="22"/>
        </w:rPr>
        <w:t xml:space="preserve">Employment law covers wrongful termination, discrimination, wage disputes, harassment, and FMLA claims. This area has the most stringent screening — labor and employment firms accept fewer than 5% of cases presented, sometimes as low as 1% (NELA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Category</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Questions Asked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Employer Information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Company name, address, industry, number of employees (Title VII: 15+; ADEA: 20+), job title, supervisor, salary, hourly/overtime, benefits, promotional and disciplinary history</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Type of Claim</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Discrimination (basis: race/sex/age/disability/religion/national origin/pregnancy/sexual orientation), harassment, retaliation, wrongful termination, wage/hour, FMLA, ADA accommodation, whistleblower, non-compete</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Timeline of Events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Date of first and last discriminatory act, date of termination/adverse action, detailed narrative with specific dates, decision-makers, employer's stated reason, why client believes action was discriminatory</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Prior Complaints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Internal complaints (to whom, date, written/verbal), employee handbook complaint process, offer letter/contract/arbitration agreement, performance reviews, disciplinary notices, NDAs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EEOC Status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EEOC charge filed (date, number), right-to-sue notice received, unemployment application outcome, COBRA status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Damages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Lost wages (salary at termination), current employment status/income, emotional distress diagnoses, out-of-pocket expenses</w:t>
            </w:r>
          </w:p>
        </w:tc>
      </w:tr>
    </w:tbl>
    <w:p>
      <w:pPr>
        <w:spacing w:after="200"/>
      </w:pPr>
    </w:p>
    <w:p>
      <w:pPr>
        <w:spacing w:after="200" w:line="276"/>
      </w:pPr>
      <w:r>
        <w:rPr>
          <w:rFonts w:ascii="Helvetica" w:cs="Helvetica" w:eastAsia="Helvetica" w:hAnsi="Helvetica"/>
          <w:color w:val="404040"/>
          <w:sz w:val="22"/>
          <w:szCs w:val="22"/>
        </w:rPr>
        <w:t xml:space="preserve">Qualification: Protected class involved; adverse employment action documented; employer large enough for applicable statute; within statute of limitations; right-to-sue notice received or EEOC deadline approaching; attorney's fees provision in statute; sufficient damages.</w:t>
      </w:r>
    </w:p>
    <w:p>
      <w:pPr>
        <w:spacing w:after="200" w:line="276"/>
      </w:pPr>
      <w:r>
        <w:rPr>
          <w:rFonts w:ascii="Helvetica" w:cs="Helvetica" w:eastAsia="Helvetica" w:hAnsi="Helvetica"/>
          <w:color w:val="404040"/>
          <w:sz w:val="22"/>
          <w:szCs w:val="22"/>
        </w:rPr>
        <w:t xml:space="preserve">Fee Structure: Contingency 33–40% (most common for discrimination/wrongful termination); hourly $250–$500 for business-side employment law; hybrid reduced hourly + smaller contingency; FLSA claims allow prevailing plaintiff attorney fees from defendant.</w:t>
      </w:r>
    </w:p>
    <w:p>
      <w:pPr>
        <w:spacing w:after="200" w:line="276"/>
      </w:pPr>
      <w:r>
        <w:rPr>
          <w:rFonts w:ascii="Helvetica" w:cs="Helvetica" w:eastAsia="Helvetica" w:hAnsi="Helvetica"/>
          <w:color w:val="404040"/>
          <w:sz w:val="22"/>
          <w:szCs w:val="22"/>
        </w:rPr>
        <w:t xml:space="preserve">Critical Deadlines: Title VII/ADEA/ADA EEOC charge within 180 days (300 in FEP states); state claims (e.g., CA FEHA) 3 years; FLSA 2 years (3 if willful); FMLA 2 years (3 if willful); right-to-sue expiration 90 days from receipt. The EEOC charge deadline is frequently missed by clients who delay.</w:t>
      </w:r>
    </w:p>
    <w:p>
      <w:pPr>
        <w:pStyle w:val="Heading2"/>
        <w:spacing w:after="140" w:before="280"/>
      </w:pPr>
      <w:r>
        <w:rPr>
          <w:rFonts w:ascii="Helvetica" w:cs="Helvetica" w:eastAsia="Helvetica" w:hAnsi="Helvetica"/>
          <w:b/>
          <w:bCs/>
          <w:color w:val="0E2841"/>
          <w:sz w:val="28"/>
          <w:szCs w:val="28"/>
        </w:rPr>
        <w:t xml:space="preserve">1.10 Tax Law</w:t>
      </w:r>
    </w:p>
    <w:p>
      <w:pPr>
        <w:spacing w:after="200" w:line="276"/>
      </w:pPr>
      <w:r>
        <w:rPr>
          <w:rFonts w:ascii="Helvetica" w:cs="Helvetica" w:eastAsia="Helvetica" w:hAnsi="Helvetica"/>
          <w:color w:val="404040"/>
          <w:sz w:val="22"/>
          <w:szCs w:val="22"/>
        </w:rPr>
        <w:t xml:space="preserve">Tax law covers IRS audits, tax liens, back taxes, tax planning, and business tax issues. Significant tax debt (typically $10,000+) is needed to justify attorney representation vs. CPA assistance.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Category</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Questions Asked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Client Information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Full legal name, SSN, DOB, business name and EIN, entity type (LLC, S-corp, C-corp, partnership, sole proprietor)</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Nature of Tax Issue</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IRS audit type (correspondence/office/field), unfiled returns, back taxes, tax lien, tax levy, wage garnishment, Offer in Compromise, installment agreement, Tax Court petition, penalty abatement, innocent spouse, criminal investigation, payroll tax, state tax</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Tax History</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Years at issue, filed returns for those years, total amount owed (approximate), IRS notices received, tax transcript availability</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IRS Communications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Prior IRS contact (when, what discussed), admissions/statements to agents, upcoming deadlines, notice types received (CP2000, Notice of Deficiency, Intent to Levy, Tax Lien), 30-day/90-day letters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Financial Overview</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Current income, monthly living expenses, assets (bank accounts, real estate, vehicles, retirement), ability to pay (full, monthly, hardship)</w:t>
            </w:r>
          </w:p>
        </w:tc>
      </w:tr>
    </w:tbl>
    <w:p>
      <w:pPr>
        <w:spacing w:after="200"/>
      </w:pPr>
    </w:p>
    <w:p>
      <w:pPr>
        <w:spacing w:after="200" w:line="276"/>
      </w:pPr>
      <w:r>
        <w:rPr>
          <w:rFonts w:ascii="Helvetica" w:cs="Helvetica" w:eastAsia="Helvetica" w:hAnsi="Helvetica"/>
          <w:color w:val="404040"/>
          <w:sz w:val="22"/>
          <w:szCs w:val="22"/>
        </w:rPr>
        <w:t xml:space="preserve">Fee Structure: Audit representation $2,000–$10,000; Offer in Compromise $3,000–$7,500; Tax Court petition $5,000–$25,000+; installment agreement $1,500–$3,500; hourly $200–$500; retainer $2,500–$10,000.</w:t>
      </w:r>
    </w:p>
    <w:p>
      <w:pPr>
        <w:spacing w:after="200" w:line="276"/>
      </w:pPr>
      <w:r>
        <w:rPr>
          <w:rFonts w:ascii="Helvetica" w:cs="Helvetica" w:eastAsia="Helvetica" w:hAnsi="Helvetica"/>
          <w:color w:val="404040"/>
          <w:sz w:val="22"/>
          <w:szCs w:val="22"/>
        </w:rPr>
        <w:t xml:space="preserve">Critical Deadlines: Collection Due Process hearing request within 30 days; Tax Court petition 90 days from Notice of Deficiency (missing this permanently eliminates Tax Court rights); IRS audit SOL 3 years from filing (6 years if 25%+ income omitted; unlimited for fraud); refund claim 3 years from filing or 2 years from payment; Offer in Compromise must be filed while collection SOL is open (generally 10 years from assessment).</w:t>
      </w:r>
    </w:p>
    <w:p>
      <w:r>
        <w:br w:type="page"/>
      </w:r>
    </w:p>
    <w:p>
      <w:pPr>
        <w:pStyle w:val="Heading1"/>
        <w:spacing w:after="140" w:before="280"/>
      </w:pPr>
      <w:r>
        <w:rPr>
          <w:rFonts w:ascii="Helvetica" w:cs="Helvetica" w:eastAsia="Helvetica" w:hAnsi="Helvetica"/>
          <w:b/>
          <w:bCs/>
          <w:color w:val="0E2841"/>
          <w:sz w:val="36"/>
          <w:szCs w:val="36"/>
        </w:rPr>
        <w:t xml:space="preserve">Section 2: Intake Workflow Patterns</w:t>
      </w:r>
    </w:p>
    <w:p>
      <w:pPr>
        <w:pStyle w:val="Heading2"/>
        <w:spacing w:after="140" w:before="280"/>
      </w:pPr>
      <w:r>
        <w:rPr>
          <w:rFonts w:ascii="Helvetica" w:cs="Helvetica" w:eastAsia="Helvetica" w:hAnsi="Helvetica"/>
          <w:b/>
          <w:bCs/>
          <w:color w:val="0E2841"/>
          <w:sz w:val="28"/>
          <w:szCs w:val="28"/>
        </w:rPr>
        <w:t xml:space="preserve">The Standard Intake Pipeline</w:t>
      </w:r>
    </w:p>
    <w:p>
      <w:pPr>
        <w:spacing w:after="200" w:line="276"/>
      </w:pPr>
      <w:r>
        <w:rPr>
          <w:rFonts w:ascii="Helvetica" w:cs="Helvetica" w:eastAsia="Helvetica" w:hAnsi="Helvetica"/>
          <w:color w:val="404040"/>
          <w:sz w:val="22"/>
          <w:szCs w:val="22"/>
        </w:rPr>
        <w:t xml:space="preserve">Every law firm — regardless of size or practice area — follows a variation of this pipeline:</w:t>
      </w:r>
    </w:p>
    <w:p>
      <w:pPr>
        <w:pStyle w:val="ListParagraph"/>
        <w:numPr>
          <w:ilvl w:val="0"/>
          <w:numId w:val="3"/>
        </w:numPr>
        <w:spacing w:after="80"/>
      </w:pPr>
      <w:r>
        <w:rPr>
          <w:rFonts w:ascii="Helvetica" w:cs="Helvetica" w:eastAsia="Helvetica" w:hAnsi="Helvetica"/>
          <w:color w:val="404040"/>
          <w:sz w:val="22"/>
          <w:szCs w:val="22"/>
        </w:rPr>
        <w:t xml:space="preserve">Lead Capture (phone, web form, referral, directory listing)</w:t>
      </w:r>
    </w:p>
    <w:p>
      <w:pPr>
        <w:pStyle w:val="ListParagraph"/>
        <w:numPr>
          <w:ilvl w:val="0"/>
          <w:numId w:val="3"/>
        </w:numPr>
        <w:spacing w:after="80"/>
      </w:pPr>
      <w:r>
        <w:rPr>
          <w:rFonts w:ascii="Helvetica" w:cs="Helvetica" w:eastAsia="Helvetica" w:hAnsi="Helvetica"/>
          <w:color w:val="404040"/>
          <w:sz w:val="22"/>
          <w:szCs w:val="22"/>
        </w:rPr>
        <w:t xml:space="preserve">Initial Screening (5–15 minute phone call or web form review)</w:t>
      </w:r>
    </w:p>
    <w:p>
      <w:pPr>
        <w:pStyle w:val="ListParagraph"/>
        <w:numPr>
          <w:ilvl w:val="0"/>
          <w:numId w:val="3"/>
        </w:numPr>
        <w:spacing w:after="80"/>
      </w:pPr>
      <w:r>
        <w:rPr>
          <w:rFonts w:ascii="Helvetica" w:cs="Helvetica" w:eastAsia="Helvetica" w:hAnsi="Helvetica"/>
          <w:color w:val="404040"/>
          <w:sz w:val="22"/>
          <w:szCs w:val="22"/>
        </w:rPr>
        <w:t xml:space="preserve">Conflict of Interest Check (run names through firm database)</w:t>
      </w:r>
    </w:p>
    <w:p>
      <w:pPr>
        <w:pStyle w:val="ListParagraph"/>
        <w:numPr>
          <w:ilvl w:val="0"/>
          <w:numId w:val="3"/>
        </w:numPr>
        <w:spacing w:after="80"/>
      </w:pPr>
      <w:r>
        <w:rPr>
          <w:rFonts w:ascii="Helvetica" w:cs="Helvetica" w:eastAsia="Helvetica" w:hAnsi="Helvetica"/>
          <w:color w:val="404040"/>
          <w:sz w:val="22"/>
          <w:szCs w:val="22"/>
        </w:rPr>
        <w:t xml:space="preserve">Consultation Scheduling</w:t>
      </w:r>
    </w:p>
    <w:p>
      <w:pPr>
        <w:pStyle w:val="ListParagraph"/>
        <w:numPr>
          <w:ilvl w:val="0"/>
          <w:numId w:val="3"/>
        </w:numPr>
        <w:spacing w:after="80"/>
      </w:pPr>
      <w:r>
        <w:rPr>
          <w:rFonts w:ascii="Helvetica" w:cs="Helvetica" w:eastAsia="Helvetica" w:hAnsi="Helvetica"/>
          <w:color w:val="404040"/>
          <w:sz w:val="22"/>
          <w:szCs w:val="22"/>
        </w:rPr>
        <w:t xml:space="preserve">Detailed Intake Form Completion (before or during consultation)</w:t>
      </w:r>
    </w:p>
    <w:p>
      <w:pPr>
        <w:pStyle w:val="ListParagraph"/>
        <w:numPr>
          <w:ilvl w:val="0"/>
          <w:numId w:val="3"/>
        </w:numPr>
        <w:spacing w:after="80"/>
      </w:pPr>
      <w:r>
        <w:rPr>
          <w:rFonts w:ascii="Helvetica" w:cs="Helvetica" w:eastAsia="Helvetica" w:hAnsi="Helvetica"/>
          <w:color w:val="404040"/>
          <w:sz w:val="22"/>
          <w:szCs w:val="22"/>
        </w:rPr>
        <w:t xml:space="preserve">Attorney Consultation (30–120 minutes depending on practice area)</w:t>
      </w:r>
    </w:p>
    <w:p>
      <w:pPr>
        <w:pStyle w:val="ListParagraph"/>
        <w:numPr>
          <w:ilvl w:val="0"/>
          <w:numId w:val="3"/>
        </w:numPr>
        <w:spacing w:after="80"/>
      </w:pPr>
      <w:r>
        <w:rPr>
          <w:rFonts w:ascii="Helvetica" w:cs="Helvetica" w:eastAsia="Helvetica" w:hAnsi="Helvetica"/>
          <w:color w:val="404040"/>
          <w:sz w:val="22"/>
          <w:szCs w:val="22"/>
        </w:rPr>
        <w:t xml:space="preserve">Case Evaluation &amp; Fee Discussion</w:t>
      </w:r>
    </w:p>
    <w:p>
      <w:pPr>
        <w:pStyle w:val="ListParagraph"/>
        <w:numPr>
          <w:ilvl w:val="0"/>
          <w:numId w:val="3"/>
        </w:numPr>
        <w:spacing w:after="80"/>
      </w:pPr>
      <w:r>
        <w:rPr>
          <w:rFonts w:ascii="Helvetica" w:cs="Helvetica" w:eastAsia="Helvetica" w:hAnsi="Helvetica"/>
          <w:color w:val="404040"/>
          <w:sz w:val="22"/>
          <w:szCs w:val="22"/>
        </w:rPr>
        <w:t xml:space="preserve">Engagement Letter / Retainer Agreement Signed</w:t>
      </w:r>
    </w:p>
    <w:p>
      <w:pPr>
        <w:pStyle w:val="ListParagraph"/>
        <w:numPr>
          <w:ilvl w:val="0"/>
          <w:numId w:val="3"/>
        </w:numPr>
        <w:spacing w:after="80"/>
      </w:pPr>
      <w:r>
        <w:rPr>
          <w:rFonts w:ascii="Helvetica" w:cs="Helvetica" w:eastAsia="Helvetica" w:hAnsi="Helvetica"/>
          <w:color w:val="404040"/>
          <w:sz w:val="22"/>
          <w:szCs w:val="22"/>
        </w:rPr>
        <w:t xml:space="preserve">Onboarding (document collection, CRM setup, case opened)</w:t>
      </w:r>
    </w:p>
    <w:p>
      <w:pPr>
        <w:spacing w:after="200" w:line="276"/>
      </w:pPr>
      <w:r>
        <w:rPr>
          <w:rFonts w:ascii="Helvetica" w:cs="Helvetica" w:eastAsia="Helvetica" w:hAnsi="Helvetica"/>
          <w:color w:val="404040"/>
          <w:sz w:val="22"/>
          <w:szCs w:val="22"/>
        </w:rPr>
        <w:t xml:space="preserve">Lead sources in rough priority order: (1) referrals from other attorneys and clients, (2) Google organic search/SEO, (3) Google paid ads (PPC), (4) legal directories (Avvo, Martindale, FindLaw, Justia), (5) social media (Facebook for PI, LinkedIn for business law), (6) TV/radio advertising (primarily PI).</w:t>
      </w:r>
    </w:p>
    <w:p>
      <w:pPr>
        <w:pStyle w:val="Heading2"/>
        <w:spacing w:after="140" w:before="280"/>
      </w:pPr>
      <w:r>
        <w:rPr>
          <w:rFonts w:ascii="Helvetica" w:cs="Helvetica" w:eastAsia="Helvetica" w:hAnsi="Helvetica"/>
          <w:b/>
          <w:bCs/>
          <w:color w:val="0E2841"/>
          <w:sz w:val="28"/>
          <w:szCs w:val="28"/>
        </w:rPr>
        <w:t xml:space="preserve">Who Handles Intake by Firm Size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Firm Size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Intake Handler</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Notes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Solo practitioner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Attorney directly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Most inefficient; attorney time spent on non-billable screening</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2–5 attorney firm</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Receptionist or paralegal with attorney review</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Often inconsistent; receptionist may lack legal knowledge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5–20 attorney firm</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Dedicated intake specialist(s)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Growing standard; specialists are neither attorneys nor paralegals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20+ attorney firm</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Intake department with specialists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Tiered screening; specialists handle volume, attorneys handle complex evaluations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High-volume PI firms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Dedicated intake call center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Some operate 60–80 calls per intake specialist per day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All sizes (after hours)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Answering service or voicemail</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Biggest weak point in most firms</w:t>
            </w:r>
          </w:p>
        </w:tc>
      </w:tr>
    </w:tbl>
    <w:p>
      <w:pPr>
        <w:spacing w:after="200"/>
      </w:pPr>
    </w:p>
    <w:p>
      <w:pPr>
        <w:spacing w:after="200" w:line="276"/>
      </w:pPr>
      <w:r>
        <w:rPr>
          <w:rFonts w:ascii="Helvetica" w:cs="Helvetica" w:eastAsia="Helvetica" w:hAnsi="Helvetica"/>
          <w:color w:val="404040"/>
          <w:sz w:val="22"/>
          <w:szCs w:val="22"/>
        </w:rPr>
        <w:t xml:space="preserve">The Legal Intake Specialist is a distinct job function. They answer calls, gather case details, screen leads against firm criteria, enter data into CRM, schedule consultations, follow up with prospects, prepare intake packets, run initial conflict checks, and explain fee structures — but do NOT provide legal advice.</w:t>
      </w:r>
    </w:p>
    <w:p>
      <w:pPr>
        <w:pStyle w:val="Heading2"/>
        <w:spacing w:after="140" w:before="280"/>
      </w:pPr>
      <w:r>
        <w:rPr>
          <w:rFonts w:ascii="Helvetica" w:cs="Helvetica" w:eastAsia="Helvetica" w:hAnsi="Helvetica"/>
          <w:b/>
          <w:bCs/>
          <w:color w:val="0E2841"/>
          <w:sz w:val="28"/>
          <w:szCs w:val="28"/>
        </w:rPr>
        <w:t xml:space="preserve">CRM and Case Management Systems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Platform</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Best For</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Intake Features</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Pricing</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Clio (+ Clio Grow)</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All sizes; dominant market position</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Custom intake forms, online scheduling, client portal, 250+ integrations</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$39–$129/user/mo (Grow: $49+/user/mo)</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MyCase</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Small to mid-size firms</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Built-in client portal, online payments, intake forms, simple UI</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Transparent, competitive pricing</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PracticePanther</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Built-in automation</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Conditional workflow automation at all tiers, document templates, built-in payments</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$49–$89/user/mo</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Filevine</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Litigation-heavy, high volume</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Team collaboration, built-in texting, customizable workflows</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Enterprise pricing</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Lawmatics</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Marketing/intake focused</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Dedicated intake CRM, lead nurturing, automation</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Add-on to existing CMS</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Law Ruler</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Lead management focus</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Lead capture, automated follow-up, multi-practice intake</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Subscription</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Smokeball</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Document automation focus</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Matter management, document generation</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Subscription</w:t>
            </w:r>
          </w:p>
        </w:tc>
      </w:tr>
    </w:tbl>
    <w:p>
      <w:pPr>
        <w:spacing w:after="200"/>
      </w:pPr>
    </w:p>
    <w:p>
      <w:pPr>
        <w:spacing w:after="200" w:line="276"/>
      </w:pPr>
      <w:r>
        <w:rPr>
          <w:rFonts w:ascii="Helvetica" w:cs="Helvetica" w:eastAsia="Helvetica" w:hAnsi="Helvetica"/>
          <w:color w:val="404040"/>
          <w:sz w:val="22"/>
          <w:szCs w:val="22"/>
        </w:rPr>
        <w:t xml:space="preserve">Clio is the dominant platform — referenced in virtually every intake training resource. Building integrations with Clio first is essential for any intake platform. Key insight: Many firms use 5–10 different technology systems to manage a single deal. PracticePanther's all-in-one approach can deliver comparable functionality at 25–40% lower total cost vs. Clio + add-ons, but Clio's ecosystem is larger.</w:t>
      </w:r>
    </w:p>
    <w:p>
      <w:pPr>
        <w:pStyle w:val="Heading2"/>
        <w:spacing w:after="140" w:before="280"/>
      </w:pPr>
      <w:r>
        <w:rPr>
          <w:rFonts w:ascii="Helvetica" w:cs="Helvetica" w:eastAsia="Helvetica" w:hAnsi="Helvetica"/>
          <w:b/>
          <w:bCs/>
          <w:color w:val="0E2841"/>
          <w:sz w:val="28"/>
          <w:szCs w:val="28"/>
        </w:rPr>
        <w:t xml:space="preserve">After-Hours Handling Methods</w:t>
      </w:r>
    </w:p>
    <w:p>
      <w:pPr>
        <w:spacing w:after="200" w:line="276"/>
      </w:pPr>
      <w:r>
        <w:rPr>
          <w:rFonts w:ascii="Helvetica" w:cs="Helvetica" w:eastAsia="Helvetica" w:hAnsi="Helvetica"/>
          <w:color w:val="404040"/>
          <w:sz w:val="22"/>
          <w:szCs w:val="22"/>
        </w:rPr>
        <w:t xml:space="preserve">Current after-hours handling ranked by sophistication:</w:t>
      </w:r>
    </w:p>
    <w:p>
      <w:pPr>
        <w:pStyle w:val="ListParagraph"/>
        <w:numPr>
          <w:ilvl w:val="0"/>
          <w:numId w:val="4"/>
        </w:numPr>
        <w:spacing w:after="80"/>
      </w:pPr>
      <w:r>
        <w:rPr>
          <w:rFonts w:ascii="Helvetica" w:cs="Helvetica" w:eastAsia="Helvetica" w:hAnsi="Helvetica"/>
          <w:color w:val="404040"/>
          <w:sz w:val="22"/>
          <w:szCs w:val="22"/>
        </w:rPr>
        <w:t xml:space="preserve">Voicemail — Most common; highest lead loss; 80% abandonment rate</w:t>
      </w:r>
    </w:p>
    <w:p>
      <w:pPr>
        <w:pStyle w:val="ListParagraph"/>
        <w:numPr>
          <w:ilvl w:val="0"/>
          <w:numId w:val="4"/>
        </w:numPr>
        <w:spacing w:after="80"/>
      </w:pPr>
      <w:r>
        <w:rPr>
          <w:rFonts w:ascii="Helvetica" w:cs="Helvetica" w:eastAsia="Helvetica" w:hAnsi="Helvetica"/>
          <w:color w:val="404040"/>
          <w:sz w:val="22"/>
          <w:szCs w:val="22"/>
        </w:rPr>
        <w:t xml:space="preserve">Generic answering service — Takes message only; not legal-specialized</w:t>
      </w:r>
    </w:p>
    <w:p>
      <w:pPr>
        <w:pStyle w:val="ListParagraph"/>
        <w:numPr>
          <w:ilvl w:val="0"/>
          <w:numId w:val="4"/>
        </w:numPr>
        <w:spacing w:after="80"/>
      </w:pPr>
      <w:r>
        <w:rPr>
          <w:rFonts w:ascii="Helvetica" w:cs="Helvetica" w:eastAsia="Helvetica" w:hAnsi="Helvetica"/>
          <w:color w:val="404040"/>
          <w:sz w:val="22"/>
          <w:szCs w:val="22"/>
        </w:rPr>
        <w:t xml:space="preserve">Legal-specialized answering service — Trained in legal intake; can qualify leads and schedule consultations</w:t>
      </w:r>
    </w:p>
    <w:p>
      <w:pPr>
        <w:pStyle w:val="ListParagraph"/>
        <w:numPr>
          <w:ilvl w:val="0"/>
          <w:numId w:val="4"/>
        </w:numPr>
        <w:spacing w:after="80"/>
      </w:pPr>
      <w:r>
        <w:rPr>
          <w:rFonts w:ascii="Helvetica" w:cs="Helvetica" w:eastAsia="Helvetica" w:hAnsi="Helvetica"/>
          <w:color w:val="404040"/>
          <w:sz w:val="22"/>
          <w:szCs w:val="22"/>
        </w:rPr>
        <w:t xml:space="preserve">On-call attorney — Used primarily by criminal defense (arrests happen at night)</w:t>
      </w:r>
    </w:p>
    <w:p>
      <w:pPr>
        <w:pStyle w:val="ListParagraph"/>
        <w:numPr>
          <w:ilvl w:val="0"/>
          <w:numId w:val="4"/>
        </w:numPr>
        <w:spacing w:after="80"/>
      </w:pPr>
      <w:r>
        <w:rPr>
          <w:rFonts w:ascii="Helvetica" w:cs="Helvetica" w:eastAsia="Helvetica" w:hAnsi="Helvetica"/>
          <w:color w:val="404040"/>
          <w:sz w:val="22"/>
          <w:szCs w:val="22"/>
        </w:rPr>
        <w:t xml:space="preserve">Web chat / chatbot — Captures leads online; quality varies by implementation</w:t>
      </w:r>
    </w:p>
    <w:p>
      <w:pPr>
        <w:pStyle w:val="ListParagraph"/>
        <w:numPr>
          <w:ilvl w:val="0"/>
          <w:numId w:val="4"/>
        </w:numPr>
        <w:spacing w:after="80"/>
      </w:pPr>
      <w:r>
        <w:rPr>
          <w:rFonts w:ascii="Helvetica" w:cs="Helvetica" w:eastAsia="Helvetica" w:hAnsi="Helvetica"/>
          <w:color w:val="404040"/>
          <w:sz w:val="22"/>
          <w:szCs w:val="22"/>
        </w:rPr>
        <w:t xml:space="preserve">AI-powered intake — Emerging; handles full intake conversation 24/7</w:t>
      </w:r>
    </w:p>
    <w:p>
      <w:pPr>
        <w:spacing w:after="200" w:line="276"/>
      </w:pPr>
      <w:r>
        <w:rPr>
          <w:rFonts w:ascii="Helvetica" w:cs="Helvetica" w:eastAsia="Helvetica" w:hAnsi="Helvetica"/>
          <w:color w:val="404040"/>
          <w:sz w:val="22"/>
          <w:szCs w:val="22"/>
        </w:rPr>
        <w:t xml:space="preserve">Warm transfers (intake specialist collects basic info then transfers to available attorney) are preferred but require attorney availability. Callback processes are most common but produce 74% drop-off rates, as 78% of legal consumers hire the first firm to respond.</w:t>
      </w:r>
    </w:p>
    <w:p>
      <w:pPr>
        <w:pStyle w:val="Heading2"/>
        <w:spacing w:after="140" w:before="280"/>
      </w:pPr>
      <w:r>
        <w:rPr>
          <w:rFonts w:ascii="Helvetica" w:cs="Helvetica" w:eastAsia="Helvetica" w:hAnsi="Helvetica"/>
          <w:b/>
          <w:bCs/>
          <w:color w:val="0E2841"/>
          <w:sz w:val="28"/>
          <w:szCs w:val="28"/>
        </w:rPr>
        <w:t xml:space="preserve">Multi-Language Intake Requirements</w:t>
      </w:r>
    </w:p>
    <w:p>
      <w:pPr>
        <w:spacing w:after="200" w:line="276"/>
      </w:pPr>
      <w:r>
        <w:rPr>
          <w:rFonts w:ascii="Helvetica" w:cs="Helvetica" w:eastAsia="Helvetica" w:hAnsi="Helvetica"/>
          <w:color w:val="404040"/>
          <w:sz w:val="22"/>
          <w:szCs w:val="22"/>
        </w:rPr>
        <w:t xml:space="preserve">Spanish is the primary non-English language need. Ruby, Answering Legal, LEX Reception, Smith.ai, and Legal Conversion Center all offer English/Spanish bilingual services. Some immigration firms require additional languages (Portuguese, Mandarin, Vietnamese, Korean). Cultural competence — not just translation — is critical, and fully bilingual services that communicate in both languages without transfers are superior to interpreter-based solutions.</w:t>
      </w:r>
    </w:p>
    <w:p>
      <w:r>
        <w:br w:type="page"/>
      </w:r>
    </w:p>
    <w:p>
      <w:pPr>
        <w:pStyle w:val="Heading1"/>
        <w:spacing w:after="140" w:before="280"/>
      </w:pPr>
      <w:r>
        <w:rPr>
          <w:rFonts w:ascii="Helvetica" w:cs="Helvetica" w:eastAsia="Helvetica" w:hAnsi="Helvetica"/>
          <w:b/>
          <w:bCs/>
          <w:color w:val="0E2841"/>
          <w:sz w:val="36"/>
          <w:szCs w:val="36"/>
        </w:rPr>
        <w:t xml:space="preserve">Section 3: Pain Points in Current Intake</w:t>
      </w:r>
    </w:p>
    <w:p>
      <w:pPr>
        <w:pStyle w:val="Heading2"/>
        <w:spacing w:after="140" w:before="280"/>
      </w:pPr>
      <w:r>
        <w:rPr>
          <w:rFonts w:ascii="Helvetica" w:cs="Helvetica" w:eastAsia="Helvetica" w:hAnsi="Helvetica"/>
          <w:b/>
          <w:bCs/>
          <w:color w:val="0E2841"/>
          <w:sz w:val="28"/>
          <w:szCs w:val="28"/>
        </w:rPr>
        <w:t xml:space="preserve">Top Pain Points Ranked by Frequency and Revenue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Rank</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Pain Point</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Statistic</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After-hours missed calls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35–40%+ of leads never reached; 80% hang up on voicemail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Slow initial response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Only 28% of firms respond within 5-minute window; average response 8+ hours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No follow-up after initial contact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Only 52% of intake personnel follow up with leads at all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4</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Failure to answer during business hours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35% of business-hours calls go unanswered</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Poor email response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Only 33% of firms respond to email inquiries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6</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Vague or absent fee information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Only 12% provide cost estimate; only 41% share any rate info on initial call</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7</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No-show consultations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20–25% no-show rate without reminders; drops to single digits with automation</w:t>
            </w:r>
          </w:p>
        </w:tc>
      </w:tr>
    </w:tbl>
    <w:p>
      <w:pPr>
        <w:spacing w:after="200"/>
      </w:pPr>
    </w:p>
    <w:p>
      <w:pPr>
        <w:pStyle w:val="Heading2"/>
        <w:spacing w:after="140" w:before="280"/>
      </w:pPr>
      <w:r>
        <w:rPr>
          <w:rFonts w:ascii="Helvetica" w:cs="Helvetica" w:eastAsia="Helvetica" w:hAnsi="Helvetica"/>
          <w:b/>
          <w:bCs/>
          <w:color w:val="0E2841"/>
          <w:sz w:val="28"/>
          <w:szCs w:val="28"/>
        </w:rPr>
        <w:t xml:space="preserve">Manual Processes Ripe for Automation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Manual Process</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Automation Opportunity</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Phone call transcription and data entry</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AI transcription — auto-populate CRM fields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Conflict check (running names through database)</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Automated real-time conflict database check</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SOL/deadline calculation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Auto-calculate from incident date input</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Follow-up call scheduling</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Automated SMS/email sequences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Intake form collection and chasing</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Smart forms with reminders; digital document collection</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Consultation reminders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Automated text/email reminders (reduces 20–25% no-shows)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Retainer agreement signature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E-signature with automated document generation</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Document request and collection</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Client portal with checklist and upload tracking</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Case status updates to client</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Automated milestone notifications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Referral tracking</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CRM automation</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Billing and payment follow-up</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LawPay/payment automation integration</w:t>
            </w:r>
          </w:p>
        </w:tc>
      </w:tr>
    </w:tbl>
    <w:p>
      <w:pPr>
        <w:spacing w:after="200"/>
      </w:pPr>
    </w:p>
    <w:p>
      <w:pPr>
        <w:spacing w:after="200" w:line="276"/>
      </w:pPr>
      <w:r>
        <w:rPr>
          <w:rFonts w:ascii="Helvetica" w:cs="Helvetica" w:eastAsia="Helvetica" w:hAnsi="Helvetica"/>
          <w:color w:val="404040"/>
          <w:sz w:val="22"/>
          <w:szCs w:val="22"/>
        </w:rPr>
        <w:t xml:space="preserve">According to Clio's 2024 Legal Trends Report, 74% of a law firm's billable tasks can be automated with AI. Among these, 81% are typically performed by administrative staff, 69% by paralegals, and 57% by lawyers.</w:t>
      </w:r>
    </w:p>
    <w:p>
      <w:pPr>
        <w:pStyle w:val="Heading2"/>
        <w:spacing w:after="140" w:before="280"/>
      </w:pPr>
      <w:r>
        <w:rPr>
          <w:rFonts w:ascii="Helvetica" w:cs="Helvetica" w:eastAsia="Helvetica" w:hAnsi="Helvetica"/>
          <w:b/>
          <w:bCs/>
          <w:color w:val="0E2841"/>
          <w:sz w:val="28"/>
          <w:szCs w:val="28"/>
        </w:rPr>
        <w:t xml:space="preserve">Technology Adoption Gap</w:t>
      </w:r>
    </w:p>
    <w:p>
      <w:pPr>
        <w:pStyle w:val="ListParagraph"/>
        <w:numPr>
          <w:ilvl w:val="0"/>
          <w:numId w:val="2"/>
        </w:numPr>
        <w:spacing w:after="80"/>
      </w:pPr>
      <w:r>
        <w:rPr>
          <w:rFonts w:ascii="Helvetica" w:cs="Helvetica" w:eastAsia="Helvetica" w:hAnsi="Helvetica"/>
          <w:color w:val="404040"/>
          <w:sz w:val="22"/>
          <w:szCs w:val="22"/>
        </w:rPr>
        <w:t xml:space="preserve">Only 50% of lawyers fully utilize available legal technology (Gartner)</w:t>
      </w:r>
    </w:p>
    <w:p>
      <w:pPr>
        <w:pStyle w:val="ListParagraph"/>
        <w:numPr>
          <w:ilvl w:val="0"/>
          <w:numId w:val="2"/>
        </w:numPr>
        <w:spacing w:after="80"/>
      </w:pPr>
      <w:r>
        <w:rPr>
          <w:rFonts w:ascii="Helvetica" w:cs="Helvetica" w:eastAsia="Helvetica" w:hAnsi="Helvetica"/>
          <w:color w:val="404040"/>
          <w:sz w:val="22"/>
          <w:szCs w:val="22"/>
        </w:rPr>
        <w:t xml:space="preserve">44% of attorneys cite resistance to change as primary barrier to technology investment</w:t>
      </w:r>
    </w:p>
    <w:p>
      <w:pPr>
        <w:pStyle w:val="ListParagraph"/>
        <w:numPr>
          <w:ilvl w:val="0"/>
          <w:numId w:val="2"/>
        </w:numPr>
        <w:spacing w:after="80"/>
      </w:pPr>
      <w:r>
        <w:rPr>
          <w:rFonts w:ascii="Helvetica" w:cs="Helvetica" w:eastAsia="Helvetica" w:hAnsi="Helvetica"/>
          <w:color w:val="404040"/>
          <w:sz w:val="22"/>
          <w:szCs w:val="22"/>
        </w:rPr>
        <w:t xml:space="preserve">36% of attorneys lack skills or understanding to use legal tech effectively</w:t>
      </w:r>
    </w:p>
    <w:p>
      <w:pPr>
        <w:pStyle w:val="ListParagraph"/>
        <w:numPr>
          <w:ilvl w:val="0"/>
          <w:numId w:val="2"/>
        </w:numPr>
        <w:spacing w:after="80"/>
      </w:pPr>
      <w:r>
        <w:rPr>
          <w:rFonts w:ascii="Helvetica" w:cs="Helvetica" w:eastAsia="Helvetica" w:hAnsi="Helvetica"/>
          <w:color w:val="404040"/>
          <w:sz w:val="22"/>
          <w:szCs w:val="22"/>
        </w:rPr>
        <w:t xml:space="preserve">45% of legal professionals feel they lack the right tools to succeed</w:t>
      </w:r>
    </w:p>
    <w:p>
      <w:pPr>
        <w:pStyle w:val="ListParagraph"/>
        <w:numPr>
          <w:ilvl w:val="0"/>
          <w:numId w:val="2"/>
        </w:numPr>
        <w:spacing w:after="80"/>
      </w:pPr>
      <w:r>
        <w:rPr>
          <w:rFonts w:ascii="Helvetica" w:cs="Helvetica" w:eastAsia="Helvetica" w:hAnsi="Helvetica"/>
          <w:color w:val="404040"/>
          <w:sz w:val="22"/>
          <w:szCs w:val="22"/>
        </w:rPr>
        <w:t xml:space="preserve">76% of legal staff cling to manual processes that cannot integrate with technology</w:t>
      </w:r>
    </w:p>
    <w:p>
      <w:pPr>
        <w:pStyle w:val="ListParagraph"/>
        <w:numPr>
          <w:ilvl w:val="0"/>
          <w:numId w:val="2"/>
        </w:numPr>
        <w:spacing w:after="80"/>
      </w:pPr>
      <w:r>
        <w:rPr>
          <w:rFonts w:ascii="Helvetica" w:cs="Helvetica" w:eastAsia="Helvetica" w:hAnsi="Helvetica"/>
          <w:color w:val="404040"/>
          <w:sz w:val="22"/>
          <w:szCs w:val="22"/>
        </w:rPr>
        <w:t xml:space="preserve">Law firms typically juggle 5–10 different technology systems to manage a single deal</w:t>
      </w:r>
    </w:p>
    <w:p>
      <w:pPr>
        <w:pStyle w:val="ListParagraph"/>
        <w:numPr>
          <w:ilvl w:val="0"/>
          <w:numId w:val="2"/>
        </w:numPr>
        <w:spacing w:after="80"/>
      </w:pPr>
      <w:r>
        <w:rPr>
          <w:rFonts w:ascii="Helvetica" w:cs="Helvetica" w:eastAsia="Helvetica" w:hAnsi="Helvetica"/>
          <w:color w:val="404040"/>
          <w:sz w:val="22"/>
          <w:szCs w:val="22"/>
        </w:rPr>
        <w:t xml:space="preserve">40% of companies continue investing in antiquated or unused technologies</w:t>
      </w:r>
    </w:p>
    <w:p>
      <w:pPr>
        <w:spacing w:after="200" w:line="276"/>
      </w:pPr>
      <w:r>
        <w:rPr>
          <w:rFonts w:ascii="Helvetica" w:cs="Helvetica" w:eastAsia="Helvetica" w:hAnsi="Helvetica"/>
          <w:color w:val="404040"/>
          <w:sz w:val="22"/>
          <w:szCs w:val="22"/>
        </w:rPr>
        <w:t xml:space="preserve">This technology gap represents the core opportunity for an AI-powered intake platform: firms know they need better systems but struggle with complexity, cost, and change management.</w:t>
      </w:r>
    </w:p>
    <w:p>
      <w:r>
        <w:br w:type="page"/>
      </w:r>
    </w:p>
    <w:p>
      <w:pPr>
        <w:pStyle w:val="Heading1"/>
        <w:spacing w:after="140" w:before="280"/>
      </w:pPr>
      <w:r>
        <w:rPr>
          <w:rFonts w:ascii="Helvetica" w:cs="Helvetica" w:eastAsia="Helvetica" w:hAnsi="Helvetica"/>
          <w:b/>
          <w:bCs/>
          <w:color w:val="0E2841"/>
          <w:sz w:val="36"/>
          <w:szCs w:val="36"/>
        </w:rPr>
        <w:t xml:space="preserve">Section 4: Market Statistics Summary</w:t>
      </w:r>
    </w:p>
    <w:p>
      <w:pPr>
        <w:pStyle w:val="Heading2"/>
        <w:spacing w:after="140" w:before="280"/>
      </w:pPr>
      <w:r>
        <w:rPr>
          <w:rFonts w:ascii="Helvetica" w:cs="Helvetica" w:eastAsia="Helvetica" w:hAnsi="Helvetica"/>
          <w:b/>
          <w:bCs/>
          <w:color w:val="0E2841"/>
          <w:sz w:val="28"/>
          <w:szCs w:val="28"/>
        </w:rPr>
        <w:t xml:space="preserve">Response &amp; Conversion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Statistic</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Value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Source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Firms answering calls during business hours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40%</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Clio 2024</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Firms that called back after missing</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20%</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Clio 2024</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Effectively unreachable by phone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48% of firms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Hyperleap AI</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Firms responding to email</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33%</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Clio 2024</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Voicemail abandonment rate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80%</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LegalNavigator</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Calls unanswered during business hours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35%</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LegalNavigator (1,200 calls)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Average response time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8+ hours (phone); 24+ hours (web form)</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AgentZap</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Intake → retained client conversion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7% average (3%–30% range)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Law Leaders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Firms achieving 5-minute response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28%</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AffiniPay 2025</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Improvement with AI intake systems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35–50% better conversion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Above the Bar Marketing</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Would recommend firm after initial contact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12%</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Clio 2024</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Firms using digital intake (revenue premium)</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52% more revenue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Clio</w:t>
            </w:r>
          </w:p>
        </w:tc>
      </w:tr>
    </w:tbl>
    <w:p>
      <w:pPr>
        <w:spacing w:after="200"/>
      </w:pPr>
    </w:p>
    <w:p>
      <w:pPr>
        <w:pStyle w:val="Heading2"/>
        <w:spacing w:after="140" w:before="280"/>
      </w:pPr>
      <w:r>
        <w:rPr>
          <w:rFonts w:ascii="Helvetica" w:cs="Helvetica" w:eastAsia="Helvetica" w:hAnsi="Helvetica"/>
          <w:b/>
          <w:bCs/>
          <w:color w:val="0E2841"/>
          <w:sz w:val="28"/>
          <w:szCs w:val="28"/>
        </w:rPr>
        <w:t xml:space="preserve">Competitor Pricing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Service</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Entry Price</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Mid-Tier</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Top Tier</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Pricing Model</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Ruby Receptionists</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$245/mo (50 min)</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$1,695/mo (500 min)</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Per-minute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Smith.ai</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$285/mo (30 calls)</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$1,950/mo (300 calls)</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Per-call</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Smith.ai AI Voice</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$97.50/mo (30 calls)</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$825/mo (300 calls)</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Per-call (AI)</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Answering Legal</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$330/mo (100 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$737/mo (250 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Per-minute</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LEX Reception</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$425/mo (150 min)</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$450/mo (300 min)</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$775/mo (500 min)</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Per-minute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AI Intake Platform</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$200–$600/mo</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Unlimited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Unlimited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Flat monthly</w:t>
            </w:r>
          </w:p>
        </w:tc>
      </w:tr>
    </w:tbl>
    <w:p>
      <w:pPr>
        <w:spacing w:after="200"/>
      </w:pPr>
    </w:p>
    <w:p>
      <w:pPr>
        <w:pStyle w:val="Heading2"/>
        <w:spacing w:after="140" w:before="280"/>
      </w:pPr>
      <w:r>
        <w:rPr>
          <w:rFonts w:ascii="Helvetica" w:cs="Helvetica" w:eastAsia="Helvetica" w:hAnsi="Helvetica"/>
          <w:b/>
          <w:bCs/>
          <w:color w:val="0E2841"/>
          <w:sz w:val="28"/>
          <w:szCs w:val="28"/>
        </w:rPr>
        <w:t xml:space="preserve">Practice Area Lead Cost Benchmarks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Metric</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Value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Source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Average law firm cost per lead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$649</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LEX Reception</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PI lead cost range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$700–$1,500</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National Law Review</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Missed after-hours cases (mid-size PI firm)</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$500K–$2M/year potential loss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PILMMA</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AI vs. receptionist savings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87–93% cost reduction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Above the Bar Marketing</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In-house receptionist annual cost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~$52,000/year (with benefits)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Industry average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AI platform annual cost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$2,400–$7,200/year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Market range</w:t>
            </w:r>
          </w:p>
        </w:tc>
      </w:tr>
    </w:tbl>
    <w:p>
      <w:pPr>
        <w:spacing w:after="200"/>
      </w:pPr>
    </w:p>
    <w:p>
      <w:pPr>
        <w:pStyle w:val="Heading2"/>
        <w:spacing w:after="140" w:before="280"/>
      </w:pPr>
      <w:r>
        <w:rPr>
          <w:rFonts w:ascii="Helvetica" w:cs="Helvetica" w:eastAsia="Helvetica" w:hAnsi="Helvetica"/>
          <w:b/>
          <w:bCs/>
          <w:color w:val="0E2841"/>
          <w:sz w:val="28"/>
          <w:szCs w:val="28"/>
        </w:rPr>
        <w:t xml:space="preserve">After-Hours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Statistic</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Value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Source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Legal inquiries after hours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40–42% (some sources: 67% for PI)</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Ferdinand Agent; Above the Bar; PILMMA</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PI inquiry spike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Evenings and weekends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Above the Bar</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Criminal defense cluster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Late nights after arrests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Above the Bar</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Family law peak</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Sunday evenings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Above the Bar</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Billable tasks automatable with AI</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74%</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Clio 2024</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Intake specialists handling calls/day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60–80 calls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Above the Bar</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No-show rate without reminders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20–25%</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Above the Bar</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No-show rate with automated reminders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Single digits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Above the Bar</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Staff following up with leads at all</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52%</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Above the Bar</w:t>
            </w:r>
          </w:p>
        </w:tc>
      </w:tr>
    </w:tbl>
    <w:p>
      <w:pPr>
        <w:spacing w:after="200"/>
      </w:pPr>
    </w:p>
    <w:p>
      <w:r>
        <w:br w:type="page"/>
      </w:r>
    </w:p>
    <w:p>
      <w:pPr>
        <w:pStyle w:val="Heading1"/>
        <w:spacing w:after="140" w:before="280"/>
      </w:pPr>
      <w:r>
        <w:rPr>
          <w:rFonts w:ascii="Helvetica" w:cs="Helvetica" w:eastAsia="Helvetica" w:hAnsi="Helvetica"/>
          <w:b/>
          <w:bCs/>
          <w:color w:val="0E2841"/>
          <w:sz w:val="36"/>
          <w:szCs w:val="36"/>
        </w:rPr>
        <w:t xml:space="preserve">Implications for Legal Concierge Platform</w:t>
      </w:r>
    </w:p>
    <w:p>
      <w:pPr>
        <w:spacing w:after="200" w:line="276"/>
      </w:pPr>
      <w:r>
        <w:rPr>
          <w:rFonts w:ascii="Helvetica" w:cs="Helvetica" w:eastAsia="Helvetica" w:hAnsi="Helvetica"/>
          <w:color w:val="404040"/>
          <w:sz w:val="22"/>
          <w:szCs w:val="22"/>
        </w:rPr>
        <w:t xml:space="preserve">This research provides a comprehensive blueprint for building an AI-powered legal intake concierge that mirrors real-world law firm practices. The findings have direct implications for product design, market positioning, and go-to-market strategy.</w:t>
      </w:r>
    </w:p>
    <w:p>
      <w:pPr>
        <w:pStyle w:val="Heading2"/>
        <w:spacing w:after="140" w:before="280"/>
      </w:pPr>
      <w:r>
        <w:rPr>
          <w:rFonts w:ascii="Helvetica" w:cs="Helvetica" w:eastAsia="Helvetica" w:hAnsi="Helvetica"/>
          <w:b/>
          <w:bCs/>
          <w:color w:val="0E2841"/>
          <w:sz w:val="28"/>
          <w:szCs w:val="28"/>
        </w:rPr>
        <w:t xml:space="preserve">How This Research Shapes Product Design</w:t>
      </w:r>
    </w:p>
    <w:p>
      <w:pPr>
        <w:spacing w:after="200" w:line="276"/>
      </w:pPr>
      <w:r>
        <w:rPr>
          <w:rFonts w:ascii="Helvetica" w:cs="Helvetica" w:eastAsia="Helvetica" w:hAnsi="Helvetica"/>
          <w:color w:val="404040"/>
          <w:sz w:val="22"/>
          <w:szCs w:val="22"/>
        </w:rPr>
        <w:t xml:space="preserve">The Legal Concierge must replicate the decision-making process of an experienced intake specialist — one who knows the right questions to ask, understands qualification criteria, recognizes urgency triggers, and can route leads appropriately. The research reveals that each practice area has fundamentally different intake workflows, making a one-size-fits-all approach ineffective.</w:t>
      </w:r>
    </w:p>
    <w:p>
      <w:pPr>
        <w:pStyle w:val="ListParagraph"/>
        <w:numPr>
          <w:ilvl w:val="0"/>
          <w:numId w:val="2"/>
        </w:numPr>
        <w:spacing w:after="80"/>
      </w:pPr>
      <w:r>
        <w:rPr>
          <w:rFonts w:ascii="Helvetica" w:cs="Helvetica" w:eastAsia="Helvetica" w:hAnsi="Helvetica"/>
          <w:color w:val="404040"/>
          <w:sz w:val="22"/>
          <w:szCs w:val="22"/>
        </w:rPr>
        <w:t xml:space="preserve">Practice-area-specific question trees are essential — the questions for a PI intake differ entirely from bankruptcy or immigration intake</w:t>
      </w:r>
    </w:p>
    <w:p>
      <w:pPr>
        <w:pStyle w:val="ListParagraph"/>
        <w:numPr>
          <w:ilvl w:val="0"/>
          <w:numId w:val="2"/>
        </w:numPr>
        <w:spacing w:after="80"/>
      </w:pPr>
      <w:r>
        <w:rPr>
          <w:rFonts w:ascii="Helvetica" w:cs="Helvetica" w:eastAsia="Helvetica" w:hAnsi="Helvetica"/>
          <w:color w:val="404040"/>
          <w:sz w:val="22"/>
          <w:szCs w:val="22"/>
        </w:rPr>
        <w:t xml:space="preserve">Qualification and disqualification criteria must be built into the screening logic for each practice area</w:t>
      </w:r>
    </w:p>
    <w:p>
      <w:pPr>
        <w:pStyle w:val="ListParagraph"/>
        <w:numPr>
          <w:ilvl w:val="0"/>
          <w:numId w:val="2"/>
        </w:numPr>
        <w:spacing w:after="80"/>
      </w:pPr>
      <w:r>
        <w:rPr>
          <w:rFonts w:ascii="Helvetica" w:cs="Helvetica" w:eastAsia="Helvetica" w:hAnsi="Helvetica"/>
          <w:color w:val="404040"/>
          <w:sz w:val="22"/>
          <w:szCs w:val="22"/>
        </w:rPr>
        <w:t xml:space="preserve">Statute of limitations and urgency calculations must be automated — missing a 90-day Tax Court petition deadline or a 10-day DUI DMV hearing window has permanent consequences</w:t>
      </w:r>
    </w:p>
    <w:p>
      <w:pPr>
        <w:pStyle w:val="ListParagraph"/>
        <w:numPr>
          <w:ilvl w:val="0"/>
          <w:numId w:val="2"/>
        </w:numPr>
        <w:spacing w:after="80"/>
      </w:pPr>
      <w:r>
        <w:rPr>
          <w:rFonts w:ascii="Helvetica" w:cs="Helvetica" w:eastAsia="Helvetica" w:hAnsi="Helvetica"/>
          <w:color w:val="404040"/>
          <w:sz w:val="22"/>
          <w:szCs w:val="22"/>
        </w:rPr>
        <w:t xml:space="preserve">Conflict of interest checks should be triggered automatically before consultation scheduling</w:t>
      </w:r>
    </w:p>
    <w:p>
      <w:pPr>
        <w:pStyle w:val="ListParagraph"/>
        <w:numPr>
          <w:ilvl w:val="0"/>
          <w:numId w:val="2"/>
        </w:numPr>
        <w:spacing w:after="80"/>
      </w:pPr>
      <w:r>
        <w:rPr>
          <w:rFonts w:ascii="Helvetica" w:cs="Helvetica" w:eastAsia="Helvetica" w:hAnsi="Helvetica"/>
          <w:color w:val="404040"/>
          <w:sz w:val="22"/>
          <w:szCs w:val="22"/>
        </w:rPr>
        <w:t xml:space="preserve">Multi-language support (especially Spanish) is a baseline requirement, not a premium feature</w:t>
      </w:r>
    </w:p>
    <w:p>
      <w:pPr>
        <w:pStyle w:val="ListParagraph"/>
        <w:numPr>
          <w:ilvl w:val="0"/>
          <w:numId w:val="2"/>
        </w:numPr>
        <w:spacing w:after="80"/>
      </w:pPr>
      <w:r>
        <w:rPr>
          <w:rFonts w:ascii="Helvetica" w:cs="Helvetica" w:eastAsia="Helvetica" w:hAnsi="Helvetica"/>
          <w:color w:val="404040"/>
          <w:sz w:val="22"/>
          <w:szCs w:val="22"/>
        </w:rPr>
        <w:t xml:space="preserve">Integration with Clio is the top priority CRM connection, followed by PracticePanther and MyCase</w:t>
      </w:r>
    </w:p>
    <w:p>
      <w:pPr>
        <w:pStyle w:val="ListParagraph"/>
        <w:numPr>
          <w:ilvl w:val="0"/>
          <w:numId w:val="2"/>
        </w:numPr>
        <w:spacing w:after="80"/>
      </w:pPr>
      <w:r>
        <w:rPr>
          <w:rFonts w:ascii="Helvetica" w:cs="Helvetica" w:eastAsia="Helvetica" w:hAnsi="Helvetica"/>
          <w:color w:val="404040"/>
          <w:sz w:val="22"/>
          <w:szCs w:val="22"/>
        </w:rPr>
        <w:t xml:space="preserve">Fee structure transparency should be configurable per firm — only 12% currently provide cost estimates, but firms that do convert better</w:t>
      </w:r>
    </w:p>
    <w:p>
      <w:pPr>
        <w:pStyle w:val="ListParagraph"/>
        <w:numPr>
          <w:ilvl w:val="0"/>
          <w:numId w:val="2"/>
        </w:numPr>
        <w:spacing w:after="80"/>
      </w:pPr>
      <w:r>
        <w:rPr>
          <w:rFonts w:ascii="Helvetica" w:cs="Helvetica" w:eastAsia="Helvetica" w:hAnsi="Helvetica"/>
          <w:color w:val="404040"/>
          <w:sz w:val="22"/>
          <w:szCs w:val="22"/>
        </w:rPr>
        <w:t xml:space="preserve">Document collection workflows must be practice-area-specific with intelligent checklists</w:t>
      </w:r>
    </w:p>
    <w:p>
      <w:pPr>
        <w:pStyle w:val="Heading2"/>
        <w:spacing w:after="140" w:before="280"/>
      </w:pPr>
      <w:r>
        <w:rPr>
          <w:rFonts w:ascii="Helvetica" w:cs="Helvetica" w:eastAsia="Helvetica" w:hAnsi="Helvetica"/>
          <w:b/>
          <w:bCs/>
          <w:color w:val="0E2841"/>
          <w:sz w:val="28"/>
          <w:szCs w:val="28"/>
        </w:rPr>
        <w:t xml:space="preserve">The 10 Intake Templates</w:t>
      </w:r>
    </w:p>
    <w:p>
      <w:pPr>
        <w:spacing w:after="200" w:line="276"/>
      </w:pPr>
      <w:r>
        <w:rPr>
          <w:rFonts w:ascii="Helvetica" w:cs="Helvetica" w:eastAsia="Helvetica" w:hAnsi="Helvetica"/>
          <w:color w:val="404040"/>
          <w:sz w:val="22"/>
          <w:szCs w:val="22"/>
        </w:rPr>
        <w:t xml:space="preserve">The platform should launch with 10 configurable intake templates that mirror real firm practice:</w:t>
      </w:r>
    </w:p>
    <w:p>
      <w:pPr>
        <w:pStyle w:val="ListParagraph"/>
        <w:numPr>
          <w:ilvl w:val="0"/>
          <w:numId w:val="5"/>
        </w:numPr>
        <w:spacing w:after="80"/>
      </w:pPr>
      <w:r>
        <w:rPr>
          <w:rFonts w:ascii="Helvetica" w:cs="Helvetica" w:eastAsia="Helvetica" w:hAnsi="Helvetica"/>
          <w:color w:val="404040"/>
          <w:sz w:val="22"/>
          <w:szCs w:val="22"/>
        </w:rPr>
        <w:t xml:space="preserve">Personal Injury / MVA — Contingency-based; high urgency for SOL and government entity claims; detailed medical and insurance screening</w:t>
      </w:r>
    </w:p>
    <w:p>
      <w:pPr>
        <w:pStyle w:val="ListParagraph"/>
        <w:numPr>
          <w:ilvl w:val="0"/>
          <w:numId w:val="5"/>
        </w:numPr>
        <w:spacing w:after="80"/>
      </w:pPr>
      <w:r>
        <w:rPr>
          <w:rFonts w:ascii="Helvetica" w:cs="Helvetica" w:eastAsia="Helvetica" w:hAnsi="Helvetica"/>
          <w:color w:val="404040"/>
          <w:sz w:val="22"/>
          <w:szCs w:val="22"/>
        </w:rPr>
        <w:t xml:space="preserve">Family Law — Retainer-based; safety screening paramount; property and custody complexity tiers</w:t>
      </w:r>
    </w:p>
    <w:p>
      <w:pPr>
        <w:pStyle w:val="ListParagraph"/>
        <w:numPr>
          <w:ilvl w:val="0"/>
          <w:numId w:val="5"/>
        </w:numPr>
        <w:spacing w:after="80"/>
      </w:pPr>
      <w:r>
        <w:rPr>
          <w:rFonts w:ascii="Helvetica" w:cs="Helvetica" w:eastAsia="Helvetica" w:hAnsi="Helvetica"/>
          <w:color w:val="404040"/>
          <w:sz w:val="22"/>
          <w:szCs w:val="22"/>
        </w:rPr>
        <w:t xml:space="preserve">Criminal Defense — 24/7 urgency; flat-fee stages; DUI-specific sub-flow with DMV deadline tracking</w:t>
      </w:r>
    </w:p>
    <w:p>
      <w:pPr>
        <w:pStyle w:val="ListParagraph"/>
        <w:numPr>
          <w:ilvl w:val="0"/>
          <w:numId w:val="5"/>
        </w:numPr>
        <w:spacing w:after="80"/>
      </w:pPr>
      <w:r>
        <w:rPr>
          <w:rFonts w:ascii="Helvetica" w:cs="Helvetica" w:eastAsia="Helvetica" w:hAnsi="Helvetica"/>
          <w:color w:val="404040"/>
          <w:sz w:val="22"/>
          <w:szCs w:val="22"/>
        </w:rPr>
        <w:t xml:space="preserve">Immigration — Multi-language critical; case-type branching (family, employment, asylum, deportation); 1-year asylum deadline tracking</w:t>
      </w:r>
    </w:p>
    <w:p>
      <w:pPr>
        <w:pStyle w:val="ListParagraph"/>
        <w:numPr>
          <w:ilvl w:val="0"/>
          <w:numId w:val="5"/>
        </w:numPr>
        <w:spacing w:after="80"/>
      </w:pPr>
      <w:r>
        <w:rPr>
          <w:rFonts w:ascii="Helvetica" w:cs="Helvetica" w:eastAsia="Helvetica" w:hAnsi="Helvetica"/>
          <w:color w:val="404040"/>
          <w:sz w:val="22"/>
          <w:szCs w:val="22"/>
        </w:rPr>
        <w:t xml:space="preserve">Real Estate — Transaction-type branching; closing deadline awareness; document-heavy but shorter intake</w:t>
      </w:r>
    </w:p>
    <w:p>
      <w:pPr>
        <w:pStyle w:val="ListParagraph"/>
        <w:numPr>
          <w:ilvl w:val="0"/>
          <w:numId w:val="5"/>
        </w:numPr>
        <w:spacing w:after="80"/>
      </w:pPr>
      <w:r>
        <w:rPr>
          <w:rFonts w:ascii="Helvetica" w:cs="Helvetica" w:eastAsia="Helvetica" w:hAnsi="Helvetica"/>
          <w:color w:val="404040"/>
          <w:sz w:val="22"/>
          <w:szCs w:val="22"/>
        </w:rPr>
        <w:t xml:space="preserve">Business Law / Corporate — Entity formation wizard; contract review flow; M&amp;A due diligence checklist</w:t>
      </w:r>
    </w:p>
    <w:p>
      <w:pPr>
        <w:pStyle w:val="ListParagraph"/>
        <w:numPr>
          <w:ilvl w:val="0"/>
          <w:numId w:val="5"/>
        </w:numPr>
        <w:spacing w:after="80"/>
      </w:pPr>
      <w:r>
        <w:rPr>
          <w:rFonts w:ascii="Helvetica" w:cs="Helvetica" w:eastAsia="Helvetica" w:hAnsi="Helvetica"/>
          <w:color w:val="404040"/>
          <w:sz w:val="22"/>
          <w:szCs w:val="22"/>
        </w:rPr>
        <w:t xml:space="preserve">Estate Planning / Probate — Asset inventory workflow; fiduciary nomination; capacity and undue influence screening</w:t>
      </w:r>
    </w:p>
    <w:p>
      <w:pPr>
        <w:pStyle w:val="ListParagraph"/>
        <w:numPr>
          <w:ilvl w:val="0"/>
          <w:numId w:val="5"/>
        </w:numPr>
        <w:spacing w:after="80"/>
      </w:pPr>
      <w:r>
        <w:rPr>
          <w:rFonts w:ascii="Helvetica" w:cs="Helvetica" w:eastAsia="Helvetica" w:hAnsi="Helvetica"/>
          <w:color w:val="404040"/>
          <w:sz w:val="22"/>
          <w:szCs w:val="22"/>
        </w:rPr>
        <w:t xml:space="preserve">Bankruptcy — Means Test pre-screening; Chapter 7 vs. 13 routing; document-intensive with mandatory credit counseling verification</w:t>
      </w:r>
    </w:p>
    <w:p>
      <w:pPr>
        <w:pStyle w:val="ListParagraph"/>
        <w:numPr>
          <w:ilvl w:val="0"/>
          <w:numId w:val="5"/>
        </w:numPr>
        <w:spacing w:after="80"/>
      </w:pPr>
      <w:r>
        <w:rPr>
          <w:rFonts w:ascii="Helvetica" w:cs="Helvetica" w:eastAsia="Helvetica" w:hAnsi="Helvetica"/>
          <w:color w:val="404040"/>
          <w:sz w:val="22"/>
          <w:szCs w:val="22"/>
        </w:rPr>
        <w:t xml:space="preserve">Employment Law — Protected class identification; EEOC deadline checking; 5% acceptance rate means rigorous pre-screening</w:t>
      </w:r>
    </w:p>
    <w:p>
      <w:pPr>
        <w:pStyle w:val="ListParagraph"/>
        <w:numPr>
          <w:ilvl w:val="0"/>
          <w:numId w:val="5"/>
        </w:numPr>
        <w:spacing w:after="80"/>
      </w:pPr>
      <w:r>
        <w:rPr>
          <w:rFonts w:ascii="Helvetica" w:cs="Helvetica" w:eastAsia="Helvetica" w:hAnsi="Helvetica"/>
          <w:color w:val="404040"/>
          <w:sz w:val="22"/>
          <w:szCs w:val="22"/>
        </w:rPr>
        <w:t xml:space="preserve">Tax Law — IRS notice type identification; 90-day letter urgency escalation; financial overview for OIC eligibility</w:t>
      </w:r>
    </w:p>
    <w:p>
      <w:pPr>
        <w:pStyle w:val="Heading2"/>
        <w:spacing w:after="140" w:before="280"/>
      </w:pPr>
      <w:r>
        <w:rPr>
          <w:rFonts w:ascii="Helvetica" w:cs="Helvetica" w:eastAsia="Helvetica" w:hAnsi="Helvetica"/>
          <w:b/>
          <w:bCs/>
          <w:color w:val="0E2841"/>
          <w:sz w:val="28"/>
          <w:szCs w:val="28"/>
        </w:rPr>
        <w:t xml:space="preserve">The Market Opportunity</w:t>
      </w:r>
    </w:p>
    <w:p>
      <w:pPr>
        <w:spacing w:after="200" w:line="276"/>
      </w:pPr>
      <w:r>
        <w:rPr>
          <w:rFonts w:ascii="Helvetica" w:cs="Helvetica" w:eastAsia="Helvetica" w:hAnsi="Helvetica"/>
          <w:color w:val="404040"/>
          <w:sz w:val="22"/>
          <w:szCs w:val="22"/>
        </w:rPr>
        <w:t xml:space="preserve">The platform is positioned to replace $300–$2,000/month human answering services with an AI-powered solution at $200–$600/month that offers superior capabilities: unlimited 24/7 availability, practice-area-specific screening intelligence, automated SOL calculations, real-time conflict checking, CRM integration, and multi-language support.</w:t>
      </w:r>
    </w:p>
    <w:p>
      <w:pPr>
        <w:pStyle w:val="ListParagraph"/>
        <w:numPr>
          <w:ilvl w:val="0"/>
          <w:numId w:val="2"/>
        </w:numPr>
        <w:spacing w:after="80"/>
      </w:pPr>
      <w:r>
        <w:rPr>
          <w:rFonts w:ascii="Helvetica" w:cs="Helvetica" w:eastAsia="Helvetica" w:hAnsi="Helvetica"/>
          <w:color w:val="404040"/>
          <w:sz w:val="22"/>
          <w:szCs w:val="22"/>
        </w:rPr>
        <w:t xml:space="preserve">87–93% cost reduction vs. in-house receptionist ($2,400–$7,200/year vs. ~$52,000/year)</w:t>
      </w:r>
    </w:p>
    <w:p>
      <w:pPr>
        <w:pStyle w:val="ListParagraph"/>
        <w:numPr>
          <w:ilvl w:val="0"/>
          <w:numId w:val="2"/>
        </w:numPr>
        <w:spacing w:after="80"/>
      </w:pPr>
      <w:r>
        <w:rPr>
          <w:rFonts w:ascii="Helvetica" w:cs="Helvetica" w:eastAsia="Helvetica" w:hAnsi="Helvetica"/>
          <w:color w:val="404040"/>
          <w:sz w:val="22"/>
          <w:szCs w:val="22"/>
        </w:rPr>
        <w:t xml:space="preserve">35–50% improvement in intake-to-retained-client conversion with AI intake systems</w:t>
      </w:r>
    </w:p>
    <w:p>
      <w:pPr>
        <w:pStyle w:val="ListParagraph"/>
        <w:numPr>
          <w:ilvl w:val="0"/>
          <w:numId w:val="2"/>
        </w:numPr>
        <w:spacing w:after="80"/>
      </w:pPr>
      <w:r>
        <w:rPr>
          <w:rFonts w:ascii="Helvetica" w:cs="Helvetica" w:eastAsia="Helvetica" w:hAnsi="Helvetica"/>
          <w:color w:val="404040"/>
          <w:sz w:val="22"/>
          <w:szCs w:val="22"/>
        </w:rPr>
        <w:t xml:space="preserve">52% revenue premium for firms using digital intake (Clio data)</w:t>
      </w:r>
    </w:p>
    <w:p>
      <w:pPr>
        <w:pStyle w:val="ListParagraph"/>
        <w:numPr>
          <w:ilvl w:val="0"/>
          <w:numId w:val="2"/>
        </w:numPr>
        <w:spacing w:after="80"/>
      </w:pPr>
      <w:r>
        <w:rPr>
          <w:rFonts w:ascii="Helvetica" w:cs="Helvetica" w:eastAsia="Helvetica" w:hAnsi="Helvetica"/>
          <w:color w:val="404040"/>
          <w:sz w:val="22"/>
          <w:szCs w:val="22"/>
        </w:rPr>
        <w:t xml:space="preserve">Addresses the core technology adoption gap — 50% of lawyers don't fully utilize available legal tech, largely due to complexity and cost</w:t>
      </w:r>
    </w:p>
    <w:p>
      <w:pPr>
        <w:pStyle w:val="ListParagraph"/>
        <w:numPr>
          <w:ilvl w:val="0"/>
          <w:numId w:val="2"/>
        </w:numPr>
        <w:spacing w:after="80"/>
      </w:pPr>
      <w:r>
        <w:rPr>
          <w:rFonts w:ascii="Helvetica" w:cs="Helvetica" w:eastAsia="Helvetica" w:hAnsi="Helvetica"/>
          <w:color w:val="404040"/>
          <w:sz w:val="22"/>
          <w:szCs w:val="22"/>
        </w:rPr>
        <w:t xml:space="preserve">TAM includes every law firm spending on answering services, intake specialists, or losing leads to voicemail</w:t>
      </w:r>
    </w:p>
    <w:p>
      <w:pPr>
        <w:pStyle w:val="ListParagraph"/>
        <w:numPr>
          <w:ilvl w:val="0"/>
          <w:numId w:val="2"/>
        </w:numPr>
        <w:spacing w:after="80"/>
      </w:pPr>
      <w:r>
        <w:rPr>
          <w:rFonts w:ascii="Helvetica" w:cs="Helvetica" w:eastAsia="Helvetica" w:hAnsi="Helvetica"/>
          <w:color w:val="404040"/>
          <w:sz w:val="22"/>
          <w:szCs w:val="22"/>
        </w:rPr>
        <w:t xml:space="preserve">Initial target: solo practitioners and 2–20 attorney firms where intake is handled by attorneys, receptionists, or voicemail — the segments with the most to gain</w:t>
      </w:r>
    </w:p>
    <w:p>
      <w:pPr>
        <w:spacing w:after="200" w:line="276"/>
      </w:pPr>
      <w:r>
        <w:rPr>
          <w:rFonts w:ascii="Helvetica" w:cs="Helvetica" w:eastAsia="Helvetica" w:hAnsi="Helvetica"/>
          <w:color w:val="404040"/>
          <w:sz w:val="22"/>
          <w:szCs w:val="22"/>
        </w:rPr>
        <w:t xml:space="preserve">The convergence of high lead costs ($649 average per lead), massive after-hours loss (40–42% of inquiries), and the proven 21x qualification multiplier for 5-minute response times creates a compelling ROI story for every law firm considering this solution.</w:t>
      </w:r>
    </w:p>
    <w:p>
      <w:pPr>
        <w:spacing w:after="0" w:before="300"/>
      </w:pPr>
    </w:p>
    <w:p>
      <w:pPr>
        <w:spacing w:after="300"/>
      </w:pPr>
      <w:r>
        <w:rPr>
          <w:rFonts w:ascii="Helvetica" w:cs="Helvetica" w:eastAsia="Helvetica" w:hAnsi="Helvetica"/>
          <w:color w:val="404040"/>
          <w:sz w:val="22"/>
          <w:szCs w:val="22"/>
        </w:rPr>
        <w:t xml:space="preserve">Respectfully submitted,</w:t>
      </w:r>
    </w:p>
    <w:p>
      <w:pPr>
        <w:spacing w:after="0"/>
      </w:pPr>
      <w:r>
        <w:rPr>
          <w:rFonts w:ascii="Helvetica" w:cs="Helvetica" w:eastAsia="Helvetica" w:hAnsi="Helvetica"/>
          <w:b/>
          <w:bCs/>
          <w:color w:val="404040"/>
          <w:sz w:val="22"/>
          <w:szCs w:val="22"/>
        </w:rPr>
        <w:t xml:space="preserve">Walter White</w:t>
      </w:r>
    </w:p>
    <w:p>
      <w:pPr>
        <w:spacing w:after="0"/>
      </w:pPr>
      <w:r>
        <w:rPr>
          <w:rFonts w:ascii="Helvetica" w:cs="Helvetica" w:eastAsia="Helvetica" w:hAnsi="Helvetica"/>
          <w:i/>
          <w:iCs/>
          <w:color w:val="404040"/>
          <w:sz w:val="22"/>
          <w:szCs w:val="22"/>
        </w:rPr>
        <w:t xml:space="preserve">Liaison to David Pierce</w:t>
      </w:r>
    </w:p>
    <w:p>
      <w:pPr>
        <w:spacing w:after="0"/>
      </w:pPr>
      <w:r>
        <w:rPr>
          <w:rFonts w:ascii="Helvetica" w:cs="Helvetica" w:eastAsia="Helvetica" w:hAnsi="Helvetica"/>
          <w:color w:val="404040"/>
          <w:sz w:val="22"/>
          <w:szCs w:val="22"/>
        </w:rPr>
        <w:t xml:space="preserve">ConnexUS AI</w:t>
      </w:r>
    </w:p>
    <w:sectPr>
      <w:headerReference w:type="default" r:id="rId7"/>
      <w:footerReference w:type="default" r:id="rId8"/>
      <w:pgSz w:w="12240" w:h="15840" w:orient="portrait"/>
      <w:pgMar w:top="1440" w:right="1440" w:bottom="1080" w:left="180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9" w:sz="3" w:space="4"/>
      </w:pBdr>
      <w:spacing w:before="100"/>
      <w:jc w:val="center"/>
    </w:pPr>
    <w:r>
      <w:rPr>
        <w:rFonts w:ascii="Helvetica" w:cs="Helvetica" w:eastAsia="Helvetica" w:hAnsi="Helvetica"/>
        <w:color w:val="404040"/>
        <w:sz w:val="16"/>
        <w:szCs w:val="16"/>
      </w:rPr>
      <w:t xml:space="preserve">1.888.888.3371   |   info@theconnexus.ai          www.theconnexus.ai   |   www.ragbox.co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drawing>
        <wp:inline distT="0" distB="0" distL="0" distR="0">
          <wp:extent cx="1905000" cy="447675"/>
          <wp:effectExtent t="0" r="0" b="0" l="0"/>
          <wp:docPr id="1" name="connexus-logo" descr="ConnexUS AI company logo" title="ConnexUS 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47675"/>
                  </a:xfrm>
                  <a:prstGeom prst="rect">
                    <a:avLst/>
                  </a:prstGeom>
                </pic:spPr>
              </pic:pic>
            </a:graphicData>
          </a:graphic>
        </wp:inline>
      </w:drawing>
    </w:r>
    <w:r>
      <w:rPr>
        <w:rFonts w:ascii="Helvetica" w:cs="Helvetica" w:eastAsia="Helvetica" w:hAnsi="Helvetica"/>
      </w:rPr>
      <w:t xml:space="preserve">	</w:t>
    </w:r>
    <w:r>
      <w:drawing>
        <wp:inline distT="0" distB="0" distL="0" distR="0">
          <wp:extent cx="762000" cy="161925"/>
          <wp:effectExtent t="0" r="0" b="0" l="0"/>
          <wp:docPr id="1" name="ragbox-logo" descr="RAGbox.co logo" title="RAGbo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62000" cy="161925"/>
                  </a:xfrm>
                  <a:prstGeom prst="rect">
                    <a:avLst/>
                  </a:prstGeom>
                </pic:spPr>
              </pic:pic>
            </a:graphicData>
          </a:graphic>
        </wp:inline>
      </w:drawing>
    </w:r>
  </w:p>
  <w:p>
    <w:pPr>
      <w:pBdr>
        <w:bottom w:val="single" w:color="E8E8E9" w:sz="3" w:space="4"/>
      </w:pBdr>
      <w:tabs>
        <w:tab w:val="right" w:pos="9026"/>
      </w:tabs>
      <w:spacing w:after="120" w:before="0"/>
    </w:pPr>
    <w:r>
      <w:t xml:space="preserve">	</w:t>
    </w:r>
    <w:r>
      <w:rPr>
        <w:rFonts w:ascii="Helvetica" w:cs="Helvetica" w:eastAsia="Helvetica" w:hAnsi="Helvetica"/>
        <w:b/>
        <w:bCs/>
        <w:color w:val="000000"/>
        <w:sz w:val="16"/>
        <w:szCs w:val="16"/>
      </w:rPr>
      <w:t xml:space="preserve">3301 N University Drive, Coral Springs FL 33065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Helvetica" w:cs="Helvetica" w:eastAsia="Helvetica" w:hAnsi="Helvetica"/>
      <w:b/>
      <w:bCs/>
      <w:color w:val="0E2841"/>
      <w:sz w:val="36"/>
      <w:szCs w:val="36"/>
    </w:rPr>
  </w:style>
  <w:style w:type="paragraph" w:styleId="Heading2">
    <w:name w:val="Heading 2"/>
    <w:basedOn w:val="Normal"/>
    <w:next w:val="Normal"/>
    <w:qFormat/>
    <w:pPr>
      <w:spacing w:after="110" w:before="220"/>
      <w:outlineLvl w:val="1"/>
    </w:pPr>
    <w:rPr>
      <w:rFonts w:ascii="Helvetica" w:cs="Helvetica" w:eastAsia="Helvetica" w:hAnsi="Helvetica"/>
      <w:b/>
      <w:bCs/>
      <w:color w:val="0E2841"/>
      <w:sz w:val="28"/>
      <w:szCs w:val="28"/>
    </w:rPr>
  </w:style>
  <w:style w:type="paragraph" w:styleId="Heading3">
    <w:name w:val="Heading 3"/>
    <w:basedOn w:val="Normal"/>
    <w:next w:val="Normal"/>
    <w:qFormat/>
    <w:pPr>
      <w:spacing w:after="90" w:before="180"/>
      <w:outlineLvl w:val="2"/>
    </w:pPr>
    <w:rPr>
      <w:rFonts w:ascii="Helvetica" w:cs="Helvetica" w:eastAsia="Helvetica" w:hAnsi="Helvetica"/>
      <w:b/>
      <w:bCs/>
      <w:color w:val="0E28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1a75df0c9365b81da5f9f138061bc1b5b5affc2.png"/><Relationship Id="rId1" Type="http://schemas.openxmlformats.org/officeDocument/2006/relationships/image" Target="media/1f898a4a4b2519a3d62190bc1c8ca0ff935764c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2026-04-08T00:55:54.449Z</dcterms:created>
  <dcterms:modified xsi:type="dcterms:W3CDTF">2026-04-08T00:55:54.785Z</dcterms:modified>
</cp:coreProperties>
</file>

<file path=docProps/custom.xml><?xml version="1.0" encoding="utf-8"?>
<Properties xmlns="http://schemas.openxmlformats.org/officeDocument/2006/custom-properties" xmlns:vt="http://schemas.openxmlformats.org/officeDocument/2006/docPropsVTypes"/>
</file>