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30979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52"/>
          <w:szCs w:val="52"/>
          <w:u w:val="thick"/>
        </w:rPr>
        <w:t>API &amp; Backend Infrastructure</w:t>
      </w:r>
    </w:p>
    <w:p w14:paraId="6A31B116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01</w:t>
      </w:r>
      <w:r>
        <w:rPr>
          <w:sz w:val="32"/>
          <w:szCs w:val="32"/>
        </w:rPr>
        <w:t>: API rate limiting.</w:t>
      </w:r>
    </w:p>
    <w:p w14:paraId="7C4EE5D4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02</w:t>
      </w:r>
      <w:r>
        <w:rPr>
          <w:sz w:val="32"/>
          <w:szCs w:val="32"/>
        </w:rPr>
        <w:t>: IDOR validation.</w:t>
      </w:r>
    </w:p>
    <w:p w14:paraId="4B08B4D0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03</w:t>
      </w:r>
      <w:r>
        <w:rPr>
          <w:sz w:val="32"/>
          <w:szCs w:val="32"/>
        </w:rPr>
        <w:t>: Backward compatibility.</w:t>
      </w:r>
    </w:p>
    <w:p w14:paraId="3A4959D1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04</w:t>
      </w:r>
      <w:r>
        <w:rPr>
          <w:sz w:val="32"/>
          <w:szCs w:val="32"/>
        </w:rPr>
        <w:t>: Sync latency handling.</w:t>
      </w:r>
    </w:p>
    <w:p w14:paraId="1A054E7B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05</w:t>
      </w:r>
      <w:r>
        <w:rPr>
          <w:sz w:val="32"/>
          <w:szCs w:val="32"/>
        </w:rPr>
        <w:t>: Token expiry behavior.</w:t>
      </w:r>
    </w:p>
    <w:p w14:paraId="1B879C5A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06</w:t>
      </w:r>
      <w:bookmarkStart w:id="0" w:name="_GoBack"/>
      <w:bookmarkEnd w:id="0"/>
      <w:r>
        <w:rPr>
          <w:sz w:val="32"/>
          <w:szCs w:val="32"/>
        </w:rPr>
        <w:t>: Large attachment sync.</w:t>
      </w:r>
    </w:p>
    <w:p w14:paraId="1CAE04A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4D77B"/>
    <w:multiLevelType w:val="singleLevel"/>
    <w:tmpl w:val="4364D77B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A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2026-02-02T10:48:01Z</dcterms:created>
  <dc:creator>Rimel</dc:creator>
  <cp:lastModifiedBy>Rimel</cp:lastModifiedBy>
  <dcterms:modified xsi:type="dcterms:W3CDTF">2026-02-02T10:48:45Z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A45908CA05A444149634B03D34F04473_12</vt:lpwstr>
  </property>
</Properties>
</file>