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  <w:jc w:val="center"/>
      </w:pPr>
      <w:r>
        <w:rPr>
          <w:rFonts w:ascii="Calibri" w:hAnsi="Calibri" w:eastAsia="Microsoft YaHei"/>
          <w:b/>
          <w:i w:val="0"/>
          <w:sz w:val="24"/>
        </w:rPr>
        <w:t>{{company.company_name}}</w:t>
      </w:r>
    </w:p>
    <w:p>
      <w:pPr>
        <w:keepNext/>
        <w:spacing w:after="20"/>
        <w:jc w:val="center"/>
      </w:pPr>
      <w:r>
        <w:rPr>
          <w:rFonts w:ascii="Calibri" w:hAnsi="Calibri" w:eastAsia="Microsoft YaHei"/>
          <w:b w:val="0"/>
          <w:i w:val="0"/>
          <w:sz w:val="20"/>
        </w:rPr>
        <w:t>Company Registration No. {{company.uen}}</w:t>
      </w:r>
    </w:p>
    <w:p>
      <w:pPr>
        <w:keepNext/>
        <w:spacing w:after="20"/>
        <w:jc w:val="center"/>
      </w:pPr>
      <w:r>
        <w:rPr>
          <w:rFonts w:ascii="Calibri" w:hAnsi="Calibri" w:eastAsia="Microsoft YaHei"/>
          <w:b w:val="0"/>
          <w:i w:val="0"/>
          <w:sz w:val="20"/>
        </w:rPr>
        <w:t>(Incorporated in the Republic of Singapore)</w:t>
      </w:r>
    </w:p>
    <w:p>
      <w:pPr>
        <w:keepNext/>
        <w:spacing w:after="240"/>
        <w:jc w:val="center"/>
      </w:pPr>
      <w:r>
        <w:rPr>
          <w:rFonts w:ascii="Calibri" w:hAnsi="Calibri" w:eastAsia="Microsoft YaHei"/>
          <w:b w:val="0"/>
          <w:i w:val="0"/>
          <w:sz w:val="20"/>
        </w:rPr>
        <w:t>(the "Company")</w:t>
      </w:r>
    </w:p>
    <w:p>
      <w:pPr>
        <w:keepNext/>
        <w:spacing w:after="280"/>
        <w:jc w:val="center"/>
      </w:pPr>
      <w:r>
        <w:rPr>
          <w:rFonts w:ascii="Calibri" w:hAnsi="Calibri" w:eastAsia="Microsoft YaHei"/>
          <w:b/>
          <w:i w:val="0"/>
          <w:sz w:val="24"/>
        </w:rPr>
        <w:t>INTERNAL REGISTER AND STAMP DUTY REVIEW CHECKLIST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This checklist is for internal review before releasing the share transfer package or updating the Company's statutory records.</w:t>
      </w:r>
    </w:p>
    <w:p>
      <w:pPr>
        <w:spacing w:after="0"/>
      </w:pPr>
      <w:r>
        <w:rPr>
          <w:rFonts w:ascii="Calibri" w:hAnsi="Calibri" w:eastAsia="Microsoft YaHei"/>
          <w:b w:val="0"/>
          <w:i w:val="0"/>
          <w:color w:val="FFFFFF"/>
          <w:sz w:val="2"/>
        </w:rPr>
        <w:t>[[REPEAT m03.checklist_items[]]]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2350"/>
        <w:gridCol w:w="1450"/>
        <w:gridCol w:w="5560"/>
      </w:tblGrid>
      <w:tr>
        <w:tc>
          <w:tcPr>
            <w:tcW w:type="dxa" w:w="23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Item</w:t>
            </w:r>
          </w:p>
        </w:tc>
        <w:tc>
          <w:tcPr>
            <w:tcW w:type="dxa" w:w="14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Status</w:t>
            </w:r>
          </w:p>
        </w:tc>
        <w:tc>
          <w:tcPr>
            <w:tcW w:type="dxa" w:w="556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Review note</w:t>
            </w:r>
          </w:p>
        </w:tc>
      </w:tr>
      <w:tr>
        <w:tc>
          <w:tcPr>
            <w:tcW w:type="dxa" w:w="23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{{check.item}}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{{check.status}}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{{check.note}}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TRANSFER SUMMARY</w:t>
      </w:r>
    </w:p>
    <w:p>
      <w:pPr>
        <w:spacing w:after="0"/>
      </w:pPr>
      <w:r>
        <w:rPr>
          <w:rFonts w:ascii="Calibri" w:hAnsi="Calibri" w:eastAsia="Microsoft YaHei"/>
          <w:b w:val="0"/>
          <w:i w:val="0"/>
          <w:color w:val="FFFFFF"/>
          <w:sz w:val="2"/>
        </w:rPr>
        <w:t>[[REPEAT m03.transfers[]]]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1580"/>
        <w:gridCol w:w="1580"/>
        <w:gridCol w:w="1100"/>
        <w:gridCol w:w="1160"/>
        <w:gridCol w:w="1260"/>
        <w:gridCol w:w="2680"/>
      </w:tblGrid>
      <w:tr>
        <w:tc>
          <w:tcPr>
            <w:tcW w:type="dxa" w:w="158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Transferor</w:t>
            </w:r>
          </w:p>
        </w:tc>
        <w:tc>
          <w:tcPr>
            <w:tcW w:type="dxa" w:w="158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Transferee</w:t>
            </w:r>
          </w:p>
        </w:tc>
        <w:tc>
          <w:tcPr>
            <w:tcW w:type="dxa" w:w="11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Class</w:t>
            </w:r>
          </w:p>
        </w:tc>
        <w:tc>
          <w:tcPr>
            <w:tcW w:type="dxa" w:w="116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No. of shares</w:t>
            </w:r>
          </w:p>
        </w:tc>
        <w:tc>
          <w:tcPr>
            <w:tcW w:type="dxa" w:w="126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Transfer date</w:t>
            </w:r>
          </w:p>
        </w:tc>
        <w:tc>
          <w:tcPr>
            <w:tcW w:type="dxa" w:w="268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Consideration / certificates</w:t>
            </w:r>
          </w:p>
        </w:tc>
      </w:tr>
      <w:tr>
        <w:tc>
          <w:tcPr>
            <w:tcW w:type="dxa" w:w="158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{{transfer.transferor_name}}</w:t>
            </w:r>
          </w:p>
        </w:tc>
        <w:tc>
          <w:tcPr>
            <w:tcW w:type="dxa" w:w="158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{{transfer.transferee_name}}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{{transfer.share_class}}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{{transfer.shares_transferred}}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{{transfer.transfer_date}}</w:t>
            </w:r>
          </w:p>
        </w:tc>
        <w:tc>
          <w:tcPr>
            <w:tcW w:type="dxa" w:w="268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{{transfer.consideration_and_certificate_text}}</w:t>
            </w:r>
          </w:p>
        </w:tc>
      </w:tr>
    </w:tbl>
    <w:p>
      <w:pPr>
        <w:spacing w:after="80"/>
      </w:pPr>
    </w:p>
    <w:p>
      <w:pPr>
        <w:pStyle w:val="SignatureBlock"/>
        <w:spacing w:before="240" w:after="120"/>
      </w:pPr>
      <w:r>
        <w:rPr>
          <w:rFonts w:ascii="Calibri" w:hAnsi="Calibri" w:eastAsia="Microsoft YaHei"/>
          <w:b w:val="0"/>
          <w:i w:val="0"/>
        </w:rPr>
        <w:t>Prepared by: ______________________________</w:t>
      </w:r>
    </w:p>
    <w:p>
      <w:pPr>
        <w:pStyle w:val="SignatureBlock"/>
        <w:spacing w:after="120"/>
      </w:pPr>
      <w:r>
        <w:rPr>
          <w:rFonts w:ascii="Calibri" w:hAnsi="Calibri" w:eastAsia="Microsoft YaHei"/>
          <w:b w:val="0"/>
          <w:i w:val="0"/>
        </w:rPr>
        <w:t>Reviewed by: ______________________________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36B78"/>
        <w:sz w:val="17"/>
      </w:rPr>
      <w:t xml:space="preserve">Page </w:t>
    </w:r>
    <w: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36B78"/>
        <w:sz w:val="17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1182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11827"/>
      <w:spacing w:val="5"/>
      <w:kern w:val="28"/>
      <w:sz w:val="2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Clause">
    <w:name w:val="Legal Clause"/>
    <w:pPr>
      <w:spacing w:before="0" w:after="80" w:line="264" w:lineRule="auto"/>
    </w:pPr>
    <w:rPr>
      <w:rFonts w:ascii="Calibri" w:hAnsi="Calibri" w:eastAsia="Microsoft YaHei"/>
      <w:b w:val="0"/>
      <w:color w:val="111827"/>
      <w:sz w:val="21"/>
    </w:rPr>
  </w:style>
  <w:style w:type="paragraph" w:customStyle="1" w:styleId="SignatureBlock">
    <w:name w:val="Signature Block"/>
    <w:pPr>
      <w:spacing w:before="0" w:after="80" w:line="264" w:lineRule="auto"/>
    </w:pPr>
    <w:rPr>
      <w:rFonts w:ascii="Calibri" w:hAnsi="Calibri" w:eastAsia="Microsoft YaHei"/>
      <w:b w:val="0"/>
      <w:color w:val="111827"/>
      <w:sz w:val="21"/>
    </w:rPr>
  </w:style>
  <w:style w:type="paragraph" w:customStyle="1" w:styleId="SmallNote">
    <w:name w:val="Small Note"/>
    <w:pPr>
      <w:spacing w:before="0" w:after="80" w:line="264" w:lineRule="auto"/>
    </w:pPr>
    <w:rPr>
      <w:rFonts w:ascii="Calibri" w:hAnsi="Calibri" w:eastAsia="Microsoft YaHei"/>
      <w:b w:val="0"/>
      <w:color w:val="636B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M03 Register and Stamp Duty Checklist</dc:title>
  <dc:subject>P2 internal share transfer checklist</dc:subject>
  <dc:creator>RSIN template rebuild</dc:creator>
  <cp:keywords/>
  <dc:description>M03 P2 share transfer package master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