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20"/>
        <w:jc w:val="center"/>
      </w:pPr>
      <w:r>
        <w:rPr>
          <w:rFonts w:ascii="Calibri" w:hAnsi="Calibri" w:eastAsia="Microsoft YaHei"/>
          <w:b/>
          <w:i w:val="0"/>
          <w:sz w:val="24"/>
        </w:rPr>
        <w:t>{{company.company_name}}</w:t>
      </w:r>
    </w:p>
    <w:p>
      <w:pPr>
        <w:keepNext/>
        <w:spacing w:after="20"/>
        <w:jc w:val="center"/>
      </w:pPr>
      <w:r>
        <w:rPr>
          <w:rFonts w:ascii="Calibri" w:hAnsi="Calibri" w:eastAsia="Microsoft YaHei"/>
          <w:b w:val="0"/>
          <w:i w:val="0"/>
          <w:sz w:val="20"/>
        </w:rPr>
        <w:t>Company Registration No. {{company.uen}}</w:t>
      </w:r>
    </w:p>
    <w:p>
      <w:pPr>
        <w:keepNext/>
        <w:spacing w:after="20"/>
        <w:jc w:val="center"/>
      </w:pPr>
      <w:r>
        <w:rPr>
          <w:rFonts w:ascii="Calibri" w:hAnsi="Calibri" w:eastAsia="Microsoft YaHei"/>
          <w:b w:val="0"/>
          <w:i w:val="0"/>
          <w:sz w:val="20"/>
        </w:rPr>
        <w:t>(Incorporated in the Republic of Singapore)</w:t>
      </w:r>
    </w:p>
    <w:p>
      <w:pPr>
        <w:keepNext/>
        <w:spacing w:after="240"/>
        <w:jc w:val="center"/>
      </w:pPr>
      <w:r>
        <w:rPr>
          <w:rFonts w:ascii="Calibri" w:hAnsi="Calibri" w:eastAsia="Microsoft YaHei"/>
          <w:b w:val="0"/>
          <w:i w:val="0"/>
          <w:sz w:val="20"/>
        </w:rPr>
        <w:t>(the "Company")</w:t>
      </w:r>
    </w:p>
    <w:p>
      <w:pPr>
        <w:keepNext/>
        <w:spacing w:after="280"/>
        <w:jc w:val="center"/>
      </w:pPr>
      <w:r>
        <w:rPr>
          <w:rFonts w:ascii="Calibri" w:hAnsi="Calibri" w:eastAsia="Microsoft YaHei"/>
          <w:b/>
          <w:i w:val="0"/>
          <w:sz w:val="24"/>
        </w:rPr>
        <w:t>INTERNAL ALLOTMENT AND REGISTER UPDATE CHECKLIST</w:t>
      </w:r>
    </w:p>
    <w:p>
      <w:pPr>
        <w:pStyle w:val="LegalClause"/>
      </w:pPr>
      <w:r>
        <w:rPr>
          <w:rFonts w:ascii="Calibri" w:hAnsi="Calibri" w:eastAsia="Microsoft YaHei"/>
          <w:b w:val="0"/>
          <w:i w:val="0"/>
        </w:rPr>
        <w:t>This checklist is for internal review before releasing the allotment package or updating the Company's statutory records.</w:t>
      </w:r>
    </w:p>
    <w:p>
      <w:pPr>
        <w:spacing w:after="0"/>
      </w:pPr>
      <w:r>
        <w:rPr>
          <w:rFonts w:ascii="Calibri" w:hAnsi="Calibri" w:eastAsia="Microsoft YaHei"/>
          <w:b w:val="0"/>
          <w:i w:val="0"/>
          <w:color w:val="FFFFFF"/>
          <w:sz w:val="2"/>
        </w:rPr>
        <w:t>[[REPEAT m04.checklist_items[]]]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B8C1CC"/>
          <w:left w:val="single" w:sz="4" w:space="0" w:color="B8C1CC"/>
          <w:bottom w:val="single" w:sz="4" w:space="0" w:color="B8C1CC"/>
          <w:right w:val="single" w:sz="4" w:space="0" w:color="B8C1CC"/>
          <w:insideH w:val="single" w:sz="4" w:space="0" w:color="B8C1CC"/>
          <w:insideV w:val="single" w:sz="4" w:space="0" w:color="B8C1CC"/>
        </w:tblBorders>
        <w:tblCellMar>
          <w:top w:w="90" w:type="dxa"/>
          <w:bottom w:w="90" w:type="dxa"/>
          <w:start w:w="110" w:type="dxa"/>
          <w:end w:w="110" w:type="dxa"/>
        </w:tblCellMar>
      </w:tblPr>
      <w:tblGrid>
        <w:gridCol w:w="2350"/>
        <w:gridCol w:w="1450"/>
        <w:gridCol w:w="5560"/>
      </w:tblGrid>
      <w:tr>
        <w:tc>
          <w:tcPr>
            <w:tcW w:type="dxa" w:w="2350"/>
            <w:shd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Item</w:t>
            </w:r>
          </w:p>
        </w:tc>
        <w:tc>
          <w:tcPr>
            <w:tcW w:type="dxa" w:w="1450"/>
            <w:shd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Status</w:t>
            </w:r>
          </w:p>
        </w:tc>
        <w:tc>
          <w:tcPr>
            <w:tcW w:type="dxa" w:w="5560"/>
            <w:shd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Review note</w:t>
            </w:r>
          </w:p>
        </w:tc>
      </w:tr>
      <w:tr>
        <w:tc>
          <w:tcPr>
            <w:tcW w:type="dxa" w:w="2350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 w:val="0"/>
                <w:sz w:val="18"/>
              </w:rPr>
              <w:t>{{check.item}}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 w:val="0"/>
                <w:sz w:val="18"/>
              </w:rPr>
              <w:t>{{check.status}}</w:t>
            </w:r>
          </w:p>
        </w:tc>
        <w:tc>
          <w:tcPr>
            <w:tcW w:type="dxa" w:w="5560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 w:val="0"/>
                <w:sz w:val="18"/>
              </w:rPr>
              <w:t>{{check.note}}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rPr>
          <w:rFonts w:ascii="Calibri" w:hAnsi="Calibri" w:eastAsia="Microsoft YaHei"/>
          <w:b w:val="0"/>
          <w:i w:val="0"/>
        </w:rPr>
        <w:t>ALLOTMENT SUMMARY</w:t>
      </w:r>
    </w:p>
    <w:p>
      <w:pPr>
        <w:spacing w:after="0"/>
      </w:pPr>
      <w:r>
        <w:rPr>
          <w:rFonts w:ascii="Calibri" w:hAnsi="Calibri" w:eastAsia="Microsoft YaHei"/>
          <w:b w:val="0"/>
          <w:i w:val="0"/>
          <w:color w:val="FFFFFF"/>
          <w:sz w:val="2"/>
        </w:rPr>
        <w:t>[[REPEAT m04.allotments[]]]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B8C1CC"/>
          <w:left w:val="single" w:sz="4" w:space="0" w:color="B8C1CC"/>
          <w:bottom w:val="single" w:sz="4" w:space="0" w:color="B8C1CC"/>
          <w:right w:val="single" w:sz="4" w:space="0" w:color="B8C1CC"/>
          <w:insideH w:val="single" w:sz="4" w:space="0" w:color="B8C1CC"/>
          <w:insideV w:val="single" w:sz="4" w:space="0" w:color="B8C1CC"/>
        </w:tblBorders>
        <w:tblCellMar>
          <w:top w:w="90" w:type="dxa"/>
          <w:bottom w:w="90" w:type="dxa"/>
          <w:start w:w="110" w:type="dxa"/>
          <w:end w:w="110" w:type="dxa"/>
        </w:tblCellMar>
      </w:tblPr>
      <w:tblGrid>
        <w:gridCol w:w="2050"/>
        <w:gridCol w:w="950"/>
        <w:gridCol w:w="1200"/>
        <w:gridCol w:w="1650"/>
        <w:gridCol w:w="1650"/>
        <w:gridCol w:w="1860"/>
      </w:tblGrid>
      <w:tr>
        <w:tc>
          <w:tcPr>
            <w:tcW w:type="dxa" w:w="2050"/>
            <w:shd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Allottee</w:t>
            </w:r>
          </w:p>
        </w:tc>
        <w:tc>
          <w:tcPr>
            <w:tcW w:type="dxa" w:w="950"/>
            <w:shd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Class</w:t>
            </w:r>
          </w:p>
        </w:tc>
        <w:tc>
          <w:tcPr>
            <w:tcW w:type="dxa" w:w="1200"/>
            <w:shd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Shares</w:t>
            </w:r>
          </w:p>
        </w:tc>
        <w:tc>
          <w:tcPr>
            <w:tcW w:type="dxa" w:w="1650"/>
            <w:shd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Issued capital</w:t>
            </w:r>
          </w:p>
        </w:tc>
        <w:tc>
          <w:tcPr>
            <w:tcW w:type="dxa" w:w="1650"/>
            <w:shd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Paid-up capital</w:t>
            </w:r>
          </w:p>
        </w:tc>
        <w:tc>
          <w:tcPr>
            <w:tcW w:type="dxa" w:w="1860"/>
            <w:shd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Allotment date</w:t>
            </w:r>
          </w:p>
        </w:tc>
      </w:tr>
      <w:tr>
        <w:tc>
          <w:tcPr>
            <w:tcW w:type="dxa" w:w="2050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 w:val="0"/>
                <w:sz w:val="18"/>
              </w:rPr>
              <w:t>{{allotment.allottee_name}}</w:t>
            </w:r>
          </w:p>
        </w:tc>
        <w:tc>
          <w:tcPr>
            <w:tcW w:type="dxa" w:w="95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{{allotment.share_class}}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{{allotment.shares_allotted}}</w:t>
            </w:r>
          </w:p>
        </w:tc>
        <w:tc>
          <w:tcPr>
            <w:tcW w:type="dxa" w:w="165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{{allotment.issued_share_capital_text}}</w:t>
            </w:r>
          </w:p>
        </w:tc>
        <w:tc>
          <w:tcPr>
            <w:tcW w:type="dxa" w:w="165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{{allotment.paid_up_share_capital_text}}</w:t>
            </w:r>
          </w:p>
        </w:tc>
        <w:tc>
          <w:tcPr>
            <w:tcW w:type="dxa" w:w="186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{{allotment.allotment_date}}</w:t>
            </w:r>
          </w:p>
        </w:tc>
      </w:tr>
    </w:tbl>
    <w:p>
      <w:pPr>
        <w:spacing w:after="80"/>
      </w:pPr>
    </w:p>
    <w:p>
      <w:pPr>
        <w:pStyle w:val="SignatureBlock"/>
        <w:spacing w:before="240" w:after="120"/>
      </w:pPr>
      <w:r>
        <w:rPr>
          <w:rFonts w:ascii="Calibri" w:hAnsi="Calibri" w:eastAsia="Microsoft YaHei"/>
          <w:b w:val="0"/>
          <w:i w:val="0"/>
        </w:rPr>
        <w:t>Prepared by: ______________________________</w:t>
      </w:r>
    </w:p>
    <w:p>
      <w:pPr>
        <w:pStyle w:val="SignatureBlock"/>
        <w:spacing w:after="120"/>
      </w:pPr>
      <w:r>
        <w:rPr>
          <w:rFonts w:ascii="Calibri" w:hAnsi="Calibri" w:eastAsia="Microsoft YaHei"/>
          <w:b w:val="0"/>
          <w:i w:val="0"/>
        </w:rPr>
        <w:t>Reviewed by: ______________________________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 w:eastAsia="Microsoft YaHei"/>
        <w:color w:val="636B78"/>
        <w:sz w:val="17"/>
      </w:rPr>
      <w:t xml:space="preserve">Page </w:t>
    </w:r>
    <w:r>
      <w:fldChar w:fldCharType="begin"/>
      <w:instrText xml:space="preserve">PAGE</w:instrText>
      <w:fldChar w:fldCharType="end"/>
    </w:r>
    <w:r>
      <w:rPr>
        <w:rFonts w:ascii="Calibri" w:hAnsi="Calibri" w:eastAsia="Microsoft YaHei"/>
        <w:color w:val="636B78"/>
        <w:sz w:val="17"/>
      </w:rPr>
      <w:t xml:space="preserve"> of </w:t>
    </w:r>
    <w:r>
      <w:fldChar w:fldCharType="begin"/>
      <w:instrText xml:space="preserve">NUMPAGES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/>
      <w:b w:val="0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 w:line="252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111827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 w:line="252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111827"/>
      <w:spacing w:val="5"/>
      <w:kern w:val="28"/>
      <w:sz w:val="25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galClause">
    <w:name w:val="Legal Clause"/>
    <w:pPr>
      <w:spacing w:before="0" w:after="80" w:line="264" w:lineRule="auto"/>
    </w:pPr>
    <w:rPr>
      <w:rFonts w:ascii="Calibri" w:hAnsi="Calibri" w:eastAsia="Microsoft YaHei"/>
      <w:b w:val="0"/>
      <w:color w:val="111827"/>
      <w:sz w:val="21"/>
    </w:rPr>
  </w:style>
  <w:style w:type="paragraph" w:customStyle="1" w:styleId="SignatureBlock">
    <w:name w:val="Signature Block"/>
    <w:pPr>
      <w:spacing w:before="0" w:after="80" w:line="264" w:lineRule="auto"/>
    </w:pPr>
    <w:rPr>
      <w:rFonts w:ascii="Calibri" w:hAnsi="Calibri" w:eastAsia="Microsoft YaHei"/>
      <w:b w:val="0"/>
      <w:color w:val="111827"/>
      <w:sz w:val="21"/>
    </w:rPr>
  </w:style>
  <w:style w:type="paragraph" w:customStyle="1" w:styleId="SmallNote">
    <w:name w:val="Small Note"/>
    <w:pPr>
      <w:spacing w:before="0" w:after="80" w:line="264" w:lineRule="auto"/>
    </w:pPr>
    <w:rPr>
      <w:rFonts w:ascii="Calibri" w:hAnsi="Calibri" w:eastAsia="Microsoft YaHei"/>
      <w:b w:val="0"/>
      <w:color w:val="636B78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M04 Register Update Checklist</dc:title>
  <dc:subject>P2 internal share allotment checklist</dc:subject>
  <dc:creator>RSIN template rebuild</dc:creator>
  <cp:keywords/>
  <dc:description>M03 P2 share transfer package master template.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