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"/>
        <w:jc w:val="center"/>
      </w:pPr>
      <w:r>
        <w:rPr>
          <w:rFonts w:ascii="Calibri" w:hAnsi="Calibri" w:eastAsia="Microsoft YaHei"/>
          <w:b/>
          <w:i w:val="0"/>
          <w:sz w:val="24"/>
        </w:rPr>
        <w:t>{{company.company_name}}</w:t>
      </w:r>
    </w:p>
    <w:p>
      <w:pPr>
        <w:keepNext/>
        <w:spacing w:after="20"/>
        <w:jc w:val="center"/>
      </w:pPr>
      <w:r>
        <w:rPr>
          <w:rFonts w:ascii="Calibri" w:hAnsi="Calibri" w:eastAsia="Microsoft YaHei"/>
          <w:b w:val="0"/>
          <w:i w:val="0"/>
          <w:sz w:val="20"/>
        </w:rPr>
        <w:t>Company Registration No. {{company.uen}}</w:t>
      </w:r>
    </w:p>
    <w:p>
      <w:pPr>
        <w:keepNext/>
        <w:spacing w:after="20"/>
        <w:jc w:val="center"/>
      </w:pPr>
      <w:r>
        <w:rPr>
          <w:rFonts w:ascii="Calibri" w:hAnsi="Calibri" w:eastAsia="Microsoft YaHei"/>
          <w:b w:val="0"/>
          <w:i w:val="0"/>
          <w:sz w:val="20"/>
        </w:rPr>
        <w:t>(Incorporated in the Republic of Singapore)</w:t>
      </w:r>
    </w:p>
    <w:p>
      <w:pPr>
        <w:keepNext/>
        <w:spacing w:after="240"/>
        <w:jc w:val="center"/>
      </w:pPr>
      <w:r>
        <w:rPr>
          <w:rFonts w:ascii="Calibri" w:hAnsi="Calibri" w:eastAsia="Microsoft YaHei"/>
          <w:b w:val="0"/>
          <w:i w:val="0"/>
          <w:sz w:val="20"/>
        </w:rPr>
        <w:t>(the "Company")</w:t>
      </w:r>
    </w:p>
    <w:p>
      <w:pPr>
        <w:keepNext/>
        <w:spacing w:after="280"/>
        <w:jc w:val="center"/>
      </w:pPr>
      <w:r>
        <w:rPr>
          <w:rFonts w:ascii="Calibri" w:hAnsi="Calibri" w:eastAsia="Microsoft YaHei"/>
          <w:b/>
          <w:i w:val="0"/>
          <w:sz w:val="24"/>
        </w:rPr>
        <w:t>ANNUAL REVIEW INTERNAL CHECKLIST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B8C1CC"/>
          <w:left w:val="single" w:sz="4" w:space="0" w:color="B8C1CC"/>
          <w:bottom w:val="single" w:sz="4" w:space="0" w:color="B8C1CC"/>
          <w:right w:val="single" w:sz="4" w:space="0" w:color="B8C1CC"/>
          <w:insideH w:val="single" w:sz="4" w:space="0" w:color="B8C1CC"/>
          <w:insideV w:val="single" w:sz="4" w:space="0" w:color="B8C1CC"/>
        </w:tblBorders>
        <w:tblCellMar>
          <w:top w:w="100" w:type="dxa"/>
          <w:bottom w:w="100" w:type="dxa"/>
          <w:start w:w="130" w:type="dxa"/>
          <w:end w:w="130" w:type="dxa"/>
        </w:tblCellMar>
      </w:tblPr>
      <w:tblGrid>
        <w:gridCol w:w="1900"/>
        <w:gridCol w:w="1900"/>
        <w:gridCol w:w="3100"/>
        <w:gridCol w:w="2460"/>
      </w:tblGrid>
      <w:tr>
        <w:trPr>
          <w:cantSplit/>
        </w:trPr>
        <w:tc>
          <w:tcPr>
            <w:tcW w:type="dxa" w:w="19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FYE</w:t>
            </w:r>
          </w:p>
        </w:tc>
        <w:tc>
          <w:tcPr>
            <w:tcW w:type="dxa" w:w="19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AGM date</w:t>
            </w:r>
          </w:p>
        </w:tc>
        <w:tc>
          <w:tcPr>
            <w:tcW w:type="dxa" w:w="31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Annual review method</w:t>
            </w:r>
          </w:p>
        </w:tc>
        <w:tc>
          <w:tcPr>
            <w:tcW w:type="dxa" w:w="246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Accounts status</w:t>
            </w:r>
          </w:p>
        </w:tc>
      </w:tr>
      <w:tr>
        <w:trPr>
          <w:cantSplit/>
        </w:trPr>
        <w:tc>
          <w:tcPr>
            <w:tcW w:type="dxa" w:w="190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{{m05.fye_date}}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{{m05.agm_date}}</w:t>
            </w:r>
          </w:p>
        </w:tc>
        <w:tc>
          <w:tcPr>
            <w:tcW w:type="dxa" w:w="310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{{m05.agm_mode_label}}</w:t>
            </w:r>
          </w:p>
        </w:tc>
        <w:tc>
          <w:tcPr>
            <w:tcW w:type="dxa" w:w="246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{{m05.accounts_status_label}}</w:t>
            </w:r>
          </w:p>
        </w:tc>
      </w:tr>
    </w:tbl>
    <w:p>
      <w:pPr>
        <w:spacing w:after="0"/>
      </w:pPr>
    </w:p>
    <w:p>
      <w:pPr>
        <w:spacing w:after="0"/>
      </w:pPr>
      <w:r>
        <w:rPr>
          <w:rFonts w:ascii="Calibri" w:hAnsi="Calibri" w:eastAsia="Microsoft YaHei"/>
          <w:b w:val="0"/>
          <w:i w:val="0"/>
          <w:color w:val="FFFFFF"/>
          <w:sz w:val="2"/>
        </w:rPr>
        <w:t>[[REPEAT m05.checklist_items[]]]</w:t>
      </w:r>
    </w:p>
    <w:tbl>
      <w:tblPr>
        <w:tblW w:type="dxa" w:w="9360"/>
        <w:tblLook w:firstColumn="1" w:firstRow="1" w:lastColumn="0" w:lastRow="0" w:noHBand="0" w:noVBand="1" w:val="04A0"/>
        <w:tblBorders>
          <w:top w:val="single" w:sz="4" w:space="0" w:color="B8C1CC"/>
          <w:left w:val="single" w:sz="4" w:space="0" w:color="B8C1CC"/>
          <w:bottom w:val="single" w:sz="4" w:space="0" w:color="B8C1CC"/>
          <w:right w:val="single" w:sz="4" w:space="0" w:color="B8C1CC"/>
          <w:insideH w:val="single" w:sz="4" w:space="0" w:color="B8C1CC"/>
          <w:insideV w:val="single" w:sz="4" w:space="0" w:color="B8C1CC"/>
        </w:tblBorders>
        <w:tblCellMar>
          <w:top w:w="90" w:type="dxa"/>
          <w:bottom w:w="90" w:type="dxa"/>
          <w:start w:w="110" w:type="dxa"/>
          <w:end w:w="110" w:type="dxa"/>
        </w:tblCellMar>
      </w:tblPr>
      <w:tblGrid>
        <w:gridCol w:w="2350"/>
        <w:gridCol w:w="1450"/>
        <w:gridCol w:w="5560"/>
      </w:tblGrid>
      <w:tr>
        <w:tc>
          <w:tcPr>
            <w:tcW w:type="dxa" w:w="23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Item</w:t>
            </w:r>
          </w:p>
        </w:tc>
        <w:tc>
          <w:tcPr>
            <w:tcW w:type="dxa" w:w="14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Status</w:t>
            </w:r>
          </w:p>
        </w:tc>
        <w:tc>
          <w:tcPr>
            <w:tcW w:type="dxa" w:w="556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Review note</w:t>
            </w:r>
          </w:p>
        </w:tc>
      </w:tr>
      <w:tr>
        <w:tc>
          <w:tcPr>
            <w:tcW w:type="dxa" w:w="23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{{check.item}}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{{check.status}}</w:t>
            </w:r>
          </w:p>
        </w:tc>
        <w:tc>
          <w:tcPr>
            <w:tcW w:type="dxa" w:w="556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{{check.note}}</w:t>
            </w:r>
          </w:p>
        </w:tc>
      </w:tr>
    </w:tbl>
    <w:p>
      <w:pPr>
        <w:spacing w:after="80"/>
      </w:pPr>
    </w:p>
    <w:p>
      <w:pPr>
        <w:pStyle w:val="SmallNote"/>
        <w:spacing w:before="160" w:after="0"/>
      </w:pPr>
      <w:r>
        <w:rPr>
          <w:rFonts w:ascii="Calibri" w:hAnsi="Calibri" w:eastAsia="Microsoft YaHei"/>
          <w:b w:val="0"/>
          <w:i w:val="0"/>
        </w:rPr>
        <w:t>This checklist is for internal review only and should not be treated as confirmation that ACRA / BizFile filing has been completed.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color w:val="636B78"/>
        <w:sz w:val="17"/>
      </w:rPr>
      <w:t xml:space="preserve">Page </w:t>
    </w:r>
    <w:r>
      <w:fldChar w:fldCharType="begin"/>
      <w:instrText xml:space="preserve">PAGE</w:instrText>
      <w:fldChar w:fldCharType="end"/>
    </w:r>
    <w:r>
      <w:rPr>
        <w:rFonts w:ascii="Calibri" w:hAnsi="Calibri" w:eastAsia="Microsoft YaHei"/>
        <w:color w:val="636B78"/>
        <w:sz w:val="17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52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1182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11827"/>
      <w:spacing w:val="5"/>
      <w:kern w:val="28"/>
      <w:sz w:val="25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Clause">
    <w:name w:val="Legal Clause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ignatureBlock">
    <w:name w:val="Signature Block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mallNote">
    <w:name w:val="Small Note"/>
    <w:pPr>
      <w:spacing w:before="0" w:after="80" w:line="264" w:lineRule="auto"/>
    </w:pPr>
    <w:rPr>
      <w:rFonts w:ascii="Calibri" w:hAnsi="Calibri" w:eastAsia="Microsoft YaHei"/>
      <w:b w:val="0"/>
      <w:color w:val="636B7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M05 Annual Review Checklist</dc:title>
  <dc:subject>P2 annual review internal checklist</dc:subject>
  <dc:creator>RSIN template rebuild</dc:creator>
  <cp:keywords/>
  <dc:description>M03 P2 share transfer package master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