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color w:val="1F6F50"/>
          <w:sz w:val="19"/>
        </w:rPr>
        <w:t>DBMS ASSIGNMENT SERIES</w:t>
      </w:r>
    </w:p>
    <w:p>
      <w:pPr>
        <w:pStyle w:val="Title"/>
        <w:spacing w:after="40"/>
      </w:pPr>
      <w:r>
        <w:t>Assignment 4: Relational Database vs. NoSQL Database</w:t>
      </w:r>
    </w:p>
    <w:p>
      <w:pPr>
        <w:spacing w:after="160"/>
      </w:pPr>
      <w:r>
        <w:rPr>
          <w:rFonts w:ascii="Calibri" w:hAnsi="Calibri" w:cs="Calibri" w:eastAsia="Calibri"/>
          <w:color w:val="6B7280"/>
          <w:sz w:val="26"/>
        </w:rPr>
        <w:t>Campus Sustainability and ESG Assessment System</w:t>
      </w:r>
    </w:p>
    <w:tbl>
      <w:tblPr>
        <w:tblW w:type="auto" w:w="0"/>
        <w:jc w:val="center"/>
        <w:tblLayout w:type="fixed"/>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CellMar>
          <w:top w:w="60" w:type="dxa"/>
          <w:left w:w="100" w:type="dxa"/>
          <w:bottom w:w="60" w:type="dxa"/>
          <w:right w:w="100" w:type="dxa"/>
        </w:tblCellMar>
      </w:tblPr>
      <w:tblGrid>
        <w:gridCol w:w="2409"/>
        <w:gridCol w:w="2409"/>
        <w:gridCol w:w="2409"/>
        <w:gridCol w:w="2409"/>
      </w:tblGrid>
      <w:tr>
        <w:tc>
          <w:tcPr>
            <w:tcW w:type="dxa" w:w="1587"/>
            <w:vAlign w:val="center"/>
            <w:shd w:val="clear" w:color="auto" w:fill="DDEBE4"/>
          </w:tcPr>
          <w:p>
            <w:pPr>
              <w:spacing w:after="0"/>
            </w:pPr>
            <w:r>
              <w:rPr>
                <w:rFonts w:ascii="Calibri" w:hAnsi="Calibri" w:cs="Calibri" w:eastAsia="Calibri"/>
                <w:b/>
                <w:color w:val="1F6F50"/>
                <w:sz w:val="19"/>
              </w:rPr>
              <w:t>Student Name</w:t>
            </w:r>
          </w:p>
        </w:tc>
        <w:tc>
          <w:tcPr>
            <w:tcW w:type="dxa" w:w="3231"/>
            <w:vAlign w:val="center"/>
          </w:tcPr>
          <w:p>
            <w:pPr>
              <w:spacing w:after="0"/>
            </w:pPr>
            <w:r>
              <w:rPr>
                <w:rFonts w:ascii="Calibri" w:hAnsi="Calibri" w:cs="Calibri" w:eastAsia="Calibri"/>
                <w:color w:val="1F2937"/>
                <w:sz w:val="20"/>
              </w:rPr>
              <w:t>Fabian Brice Rodrigues</w:t>
            </w:r>
          </w:p>
        </w:tc>
        <w:tc>
          <w:tcPr>
            <w:tcW w:type="dxa" w:w="1361"/>
            <w:vAlign w:val="center"/>
            <w:shd w:val="clear" w:color="auto" w:fill="DDEBE4"/>
          </w:tcPr>
          <w:p>
            <w:pPr>
              <w:spacing w:after="0"/>
            </w:pPr>
            <w:r>
              <w:rPr>
                <w:rFonts w:ascii="Calibri" w:hAnsi="Calibri" w:cs="Calibri" w:eastAsia="Calibri"/>
                <w:b/>
                <w:color w:val="1F6F50"/>
                <w:sz w:val="19"/>
              </w:rPr>
              <w:t>Program</w:t>
            </w:r>
          </w:p>
        </w:tc>
        <w:tc>
          <w:tcPr>
            <w:tcW w:type="dxa" w:w="3458"/>
            <w:vAlign w:val="center"/>
          </w:tcPr>
          <w:p>
            <w:pPr>
              <w:spacing w:after="0"/>
            </w:pPr>
            <w:r>
              <w:rPr>
                <w:rFonts w:ascii="Calibri" w:hAnsi="Calibri" w:cs="Calibri" w:eastAsia="Calibri"/>
                <w:color w:val="1F2937"/>
                <w:sz w:val="20"/>
              </w:rPr>
              <w:t>Bachelor of Computer Applications</w:t>
            </w:r>
          </w:p>
        </w:tc>
      </w:tr>
      <w:tr>
        <w:tc>
          <w:tcPr>
            <w:tcW w:type="dxa" w:w="1587"/>
            <w:vAlign w:val="center"/>
            <w:shd w:val="clear" w:color="auto" w:fill="DDEBE4"/>
          </w:tcPr>
          <w:p>
            <w:pPr>
              <w:spacing w:after="0"/>
            </w:pPr>
            <w:r>
              <w:rPr>
                <w:rFonts w:ascii="Calibri" w:hAnsi="Calibri" w:cs="Calibri" w:eastAsia="Calibri"/>
                <w:b/>
                <w:color w:val="1F6F50"/>
                <w:sz w:val="19"/>
              </w:rPr>
              <w:t>Institution</w:t>
            </w:r>
          </w:p>
        </w:tc>
        <w:tc>
          <w:tcPr>
            <w:tcW w:type="dxa" w:w="3231"/>
            <w:vAlign w:val="center"/>
          </w:tcPr>
          <w:p>
            <w:pPr>
              <w:spacing w:after="0"/>
            </w:pPr>
            <w:r>
              <w:rPr>
                <w:rFonts w:ascii="Calibri" w:hAnsi="Calibri" w:cs="Calibri" w:eastAsia="Calibri"/>
                <w:color w:val="1F2937"/>
                <w:sz w:val="20"/>
              </w:rPr>
              <w:t>Alliance University</w:t>
            </w:r>
          </w:p>
        </w:tc>
        <w:tc>
          <w:tcPr>
            <w:tcW w:type="dxa" w:w="1361"/>
            <w:vAlign w:val="center"/>
            <w:shd w:val="clear" w:color="auto" w:fill="DDEBE4"/>
          </w:tcPr>
          <w:p>
            <w:pPr>
              <w:spacing w:after="0"/>
            </w:pPr>
            <w:r>
              <w:rPr>
                <w:rFonts w:ascii="Calibri" w:hAnsi="Calibri" w:cs="Calibri" w:eastAsia="Calibri"/>
                <w:b/>
                <w:color w:val="1F6F50"/>
                <w:sz w:val="19"/>
              </w:rPr>
              <w:t>Date</w:t>
            </w:r>
          </w:p>
        </w:tc>
        <w:tc>
          <w:tcPr>
            <w:tcW w:type="dxa" w:w="3458"/>
            <w:vAlign w:val="center"/>
          </w:tcPr>
          <w:p>
            <w:pPr>
              <w:spacing w:after="0"/>
            </w:pPr>
            <w:r>
              <w:rPr>
                <w:rFonts w:ascii="Calibri" w:hAnsi="Calibri" w:cs="Calibri" w:eastAsia="Calibri"/>
                <w:color w:val="1F2937"/>
                <w:sz w:val="20"/>
              </w:rPr>
              <w:t>23 October 2026</w:t>
            </w:r>
          </w:p>
        </w:tc>
      </w:tr>
      <w:tr>
        <w:tc>
          <w:tcPr>
            <w:tcW w:type="dxa" w:w="1587"/>
            <w:vAlign w:val="center"/>
            <w:shd w:val="clear" w:color="auto" w:fill="DDEBE4"/>
          </w:tcPr>
          <w:p>
            <w:pPr>
              <w:spacing w:after="0"/>
            </w:pPr>
            <w:r>
              <w:rPr>
                <w:rFonts w:ascii="Calibri" w:hAnsi="Calibri" w:cs="Calibri" w:eastAsia="Calibri"/>
                <w:b/>
                <w:color w:val="1F6F50"/>
                <w:sz w:val="19"/>
              </w:rPr>
              <w:t>Project Topic</w:t>
            </w:r>
          </w:p>
        </w:tc>
        <w:tc>
          <w:tcPr>
            <w:tcW w:type="dxa" w:w="3231"/>
            <w:vAlign w:val="center"/>
          </w:tcPr>
          <w:p>
            <w:pPr>
              <w:spacing w:after="0"/>
            </w:pPr>
            <w:r>
              <w:rPr>
                <w:rFonts w:ascii="Calibri" w:hAnsi="Calibri" w:cs="Calibri" w:eastAsia="Calibri"/>
                <w:color w:val="1F2937"/>
                <w:sz w:val="20"/>
              </w:rPr>
              <w:t>Campus Sustainability and ESG Assessment System</w:t>
            </w:r>
          </w:p>
        </w:tc>
        <w:tc>
          <w:tcPr>
            <w:tcW w:type="dxa" w:w="1361"/>
            <w:vAlign w:val="center"/>
            <w:shd w:val="clear" w:color="auto" w:fill="DDEBE4"/>
          </w:tcPr>
          <w:p>
            <w:pPr>
              <w:spacing w:after="0"/>
            </w:pPr>
            <w:r>
              <w:rPr>
                <w:rFonts w:ascii="Calibri" w:hAnsi="Calibri" w:cs="Calibri" w:eastAsia="Calibri"/>
                <w:b/>
                <w:color w:val="1F6F50"/>
                <w:sz w:val="19"/>
              </w:rPr>
              <w:t>Assignment</w:t>
            </w:r>
          </w:p>
        </w:tc>
        <w:tc>
          <w:tcPr>
            <w:tcW w:type="dxa" w:w="3458"/>
            <w:vAlign w:val="center"/>
          </w:tcPr>
          <w:p>
            <w:pPr>
              <w:spacing w:after="0"/>
            </w:pPr>
            <w:r>
              <w:rPr>
                <w:rFonts w:ascii="Calibri" w:hAnsi="Calibri" w:cs="Calibri" w:eastAsia="Calibri"/>
                <w:color w:val="1F2937"/>
                <w:sz w:val="20"/>
              </w:rPr>
              <w:t>Assignment 4</w:t>
            </w:r>
          </w:p>
        </w:tc>
      </w:tr>
    </w:tbl>
    <w:p>
      <w:pPr>
        <w:spacing w:after="40"/>
      </w:pPr>
    </w:p>
    <w:p>
      <w:pPr>
        <w:pStyle w:val="Heading1"/>
        <w:pBdr>
          <w:bottom w:val="single" w:sz="6" w:space="3" w:color="BFD5CA"/>
        </w:pBdr>
      </w:pPr>
      <w:r>
        <w:t>1. Objective</w:t>
      </w:r>
    </w:p>
    <w:p>
      <w:pPr>
        <w:jc w:val="both"/>
      </w:pPr>
      <w:r>
        <w:t xml:space="preserve">This report compares relational databases (RDBMS) and NoSQL databases with respect to </w:t>
      </w:r>
      <w:r>
        <w:rPr>
          <w:b/>
        </w:rPr>
        <w:t>scalability, consistency, performance and use cases</w:t>
      </w:r>
      <w:r>
        <w:t xml:space="preserve">, explains why organisations choose different database technologies, and recommends the technology (or combination) best suited to the </w:t>
      </w:r>
      <w:r>
        <w:rPr>
          <w:b/>
        </w:rPr>
        <w:t>Campus Sustainability and ESG Assessment System</w:t>
      </w:r>
      <w:r>
        <w:t>. Real-world examples are included.</w:t>
      </w:r>
    </w:p>
    <w:p>
      <w:pPr>
        <w:pStyle w:val="Heading1"/>
        <w:pBdr>
          <w:bottom w:val="single" w:sz="6" w:space="3" w:color="BFD5CA"/>
        </w:pBdr>
      </w:pPr>
      <w:r>
        <w:t>2. Data Characteristics of the Proposed System</w:t>
      </w:r>
    </w:p>
    <w:p>
      <w:pPr>
        <w:jc w:val="both"/>
      </w:pPr>
      <w:r>
        <w:t>Choosing a database starts with understanding the data. The ESG system manages the following kinds of data:</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1814"/>
            <w:shd w:val="clear" w:color="auto" w:fill="DDEBE4"/>
          </w:tcPr>
          <w:p>
            <w:pPr>
              <w:keepNext/>
              <w:spacing w:after="0"/>
            </w:pPr>
            <w:r>
              <w:rPr>
                <w:rFonts w:ascii="Calibri" w:hAnsi="Calibri" w:cs="Calibri" w:eastAsia="Calibri"/>
                <w:b/>
                <w:color w:val="1F6F50"/>
                <w:sz w:val="17"/>
              </w:rPr>
              <w:t>Data</w:t>
            </w:r>
          </w:p>
        </w:tc>
        <w:tc>
          <w:tcPr>
            <w:tcW w:type="dxa" w:w="3118"/>
            <w:shd w:val="clear" w:color="auto" w:fill="DDEBE4"/>
          </w:tcPr>
          <w:p>
            <w:pPr>
              <w:keepNext/>
              <w:spacing w:after="0"/>
            </w:pPr>
            <w:r>
              <w:rPr>
                <w:rFonts w:ascii="Calibri" w:hAnsi="Calibri" w:cs="Calibri" w:eastAsia="Calibri"/>
                <w:b/>
                <w:color w:val="1F6F50"/>
                <w:sz w:val="17"/>
              </w:rPr>
              <w:t>Example</w:t>
            </w:r>
          </w:p>
        </w:tc>
        <w:tc>
          <w:tcPr>
            <w:tcW w:type="dxa" w:w="2438"/>
            <w:shd w:val="clear" w:color="auto" w:fill="DDEBE4"/>
          </w:tcPr>
          <w:p>
            <w:pPr>
              <w:keepNext/>
              <w:spacing w:after="0"/>
            </w:pPr>
            <w:r>
              <w:rPr>
                <w:rFonts w:ascii="Calibri" w:hAnsi="Calibri" w:cs="Calibri" w:eastAsia="Calibri"/>
                <w:b/>
                <w:color w:val="1F6F50"/>
                <w:sz w:val="17"/>
              </w:rPr>
              <w:t>Nature</w:t>
            </w:r>
          </w:p>
        </w:tc>
        <w:tc>
          <w:tcPr>
            <w:tcW w:type="dxa" w:w="2268"/>
            <w:shd w:val="clear" w:color="auto" w:fill="DDEBE4"/>
          </w:tcPr>
          <w:p>
            <w:pPr>
              <w:keepNext/>
              <w:spacing w:after="0"/>
            </w:pPr>
            <w:r>
              <w:rPr>
                <w:rFonts w:ascii="Calibri" w:hAnsi="Calibri" w:cs="Calibri" w:eastAsia="Calibri"/>
                <w:b/>
                <w:color w:val="1F6F50"/>
                <w:sz w:val="17"/>
              </w:rPr>
              <w:t>Volume / change rate</w:t>
            </w:r>
          </w:p>
        </w:tc>
      </w:tr>
      <w:tr>
        <w:trPr>
          <w:cantSplit w:val="true"/>
        </w:trPr>
        <w:tc>
          <w:tcPr>
            <w:tcW w:type="dxa" w:w="1814"/>
          </w:tcPr>
          <w:p>
            <w:pPr>
              <w:spacing w:after="0" w:line="240" w:lineRule="auto"/>
            </w:pPr>
            <w:r>
              <w:rPr>
                <w:rFonts w:ascii="Calibri" w:hAnsi="Calibri" w:cs="Calibri" w:eastAsia="Calibri"/>
                <w:b/>
                <w:i w:val="0"/>
                <w:color w:val="1F2937"/>
                <w:sz w:val="17"/>
              </w:rPr>
              <w:t>Master data</w:t>
            </w:r>
          </w:p>
        </w:tc>
        <w:tc>
          <w:tcPr>
            <w:tcW w:type="dxa" w:w="3118"/>
          </w:tcPr>
          <w:p>
            <w:pPr>
              <w:spacing w:after="0" w:line="240" w:lineRule="auto"/>
            </w:pPr>
            <w:r>
              <w:rPr>
                <w:rFonts w:ascii="Calibri" w:hAnsi="Calibri" w:cs="Calibri" w:eastAsia="Calibri"/>
                <w:b w:val="0"/>
                <w:i w:val="0"/>
                <w:color w:val="1F2937"/>
                <w:sz w:val="17"/>
              </w:rPr>
              <w:t>Departments, facilities, ESG indicators, assessors</w:t>
            </w:r>
          </w:p>
        </w:tc>
        <w:tc>
          <w:tcPr>
            <w:tcW w:type="dxa" w:w="2438"/>
          </w:tcPr>
          <w:p>
            <w:pPr>
              <w:spacing w:after="0" w:line="240" w:lineRule="auto"/>
            </w:pPr>
            <w:r>
              <w:rPr>
                <w:rFonts w:ascii="Calibri" w:hAnsi="Calibri" w:cs="Calibri" w:eastAsia="Calibri"/>
                <w:b w:val="0"/>
                <w:i w:val="0"/>
                <w:color w:val="1F2937"/>
                <w:sz w:val="17"/>
              </w:rPr>
              <w:t>Structured, many relationships</w:t>
            </w:r>
          </w:p>
        </w:tc>
        <w:tc>
          <w:tcPr>
            <w:tcW w:type="dxa" w:w="2268"/>
          </w:tcPr>
          <w:p>
            <w:pPr>
              <w:spacing w:after="0" w:line="240" w:lineRule="auto"/>
            </w:pPr>
            <w:r>
              <w:rPr>
                <w:rFonts w:ascii="Calibri" w:hAnsi="Calibri" w:cs="Calibri" w:eastAsia="Calibri"/>
                <w:b w:val="0"/>
                <w:i w:val="0"/>
                <w:color w:val="1F2937"/>
                <w:sz w:val="17"/>
              </w:rPr>
              <w:t>Hundreds of rows, rarely changes</w:t>
            </w:r>
          </w:p>
        </w:tc>
      </w:tr>
      <w:tr>
        <w:trPr>
          <w:cantSplit w:val="true"/>
        </w:trPr>
        <w:tc>
          <w:tcPr>
            <w:tcW w:type="dxa" w:w="1814"/>
            <w:shd w:val="clear" w:color="auto" w:fill="F7FAF8"/>
          </w:tcPr>
          <w:p>
            <w:pPr>
              <w:spacing w:after="0" w:line="240" w:lineRule="auto"/>
            </w:pPr>
            <w:r>
              <w:rPr>
                <w:rFonts w:ascii="Calibri" w:hAnsi="Calibri" w:cs="Calibri" w:eastAsia="Calibri"/>
                <w:b/>
                <w:i w:val="0"/>
                <w:color w:val="1F2937"/>
                <w:sz w:val="17"/>
              </w:rPr>
              <w:t>Assessment results</w:t>
            </w:r>
          </w:p>
        </w:tc>
        <w:tc>
          <w:tcPr>
            <w:tcW w:type="dxa" w:w="3118"/>
            <w:shd w:val="clear" w:color="auto" w:fill="F7FAF8"/>
          </w:tcPr>
          <w:p>
            <w:pPr>
              <w:spacing w:after="0" w:line="240" w:lineRule="auto"/>
            </w:pPr>
            <w:r>
              <w:rPr>
                <w:rFonts w:ascii="Calibri" w:hAnsi="Calibri" w:cs="Calibri" w:eastAsia="Calibri"/>
                <w:b w:val="0"/>
                <w:i w:val="0"/>
                <w:color w:val="1F2937"/>
                <w:sz w:val="17"/>
              </w:rPr>
              <w:t>Measured value of an indicator for a facility in a year</w:t>
            </w:r>
          </w:p>
        </w:tc>
        <w:tc>
          <w:tcPr>
            <w:tcW w:type="dxa" w:w="2438"/>
            <w:shd w:val="clear" w:color="auto" w:fill="F7FAF8"/>
          </w:tcPr>
          <w:p>
            <w:pPr>
              <w:spacing w:after="0" w:line="240" w:lineRule="auto"/>
            </w:pPr>
            <w:r>
              <w:rPr>
                <w:rFonts w:ascii="Calibri" w:hAnsi="Calibri" w:cs="Calibri" w:eastAsia="Calibri"/>
                <w:b w:val="0"/>
                <w:i w:val="0"/>
                <w:color w:val="1F2937"/>
                <w:sz w:val="17"/>
              </w:rPr>
              <w:t>Structured, audit-critical</w:t>
            </w:r>
          </w:p>
        </w:tc>
        <w:tc>
          <w:tcPr>
            <w:tcW w:type="dxa" w:w="2268"/>
            <w:shd w:val="clear" w:color="auto" w:fill="F7FAF8"/>
          </w:tcPr>
          <w:p>
            <w:pPr>
              <w:spacing w:after="0" w:line="240" w:lineRule="auto"/>
            </w:pPr>
            <w:r>
              <w:rPr>
                <w:rFonts w:ascii="Calibri" w:hAnsi="Calibri" w:cs="Calibri" w:eastAsia="Calibri"/>
                <w:b w:val="0"/>
                <w:i w:val="0"/>
                <w:color w:val="1F2937"/>
                <w:sz w:val="17"/>
              </w:rPr>
              <w:t>Thousands of rows per year, append-heavy</w:t>
            </w:r>
          </w:p>
        </w:tc>
      </w:tr>
      <w:tr>
        <w:trPr>
          <w:cantSplit w:val="true"/>
        </w:trPr>
        <w:tc>
          <w:tcPr>
            <w:tcW w:type="dxa" w:w="1814"/>
          </w:tcPr>
          <w:p>
            <w:pPr>
              <w:spacing w:after="0" w:line="240" w:lineRule="auto"/>
            </w:pPr>
            <w:r>
              <w:rPr>
                <w:rFonts w:ascii="Calibri" w:hAnsi="Calibri" w:cs="Calibri" w:eastAsia="Calibri"/>
                <w:b/>
                <w:i w:val="0"/>
                <w:color w:val="1F2937"/>
                <w:sz w:val="17"/>
              </w:rPr>
              <w:t>Initiatives and budgets</w:t>
            </w:r>
          </w:p>
        </w:tc>
        <w:tc>
          <w:tcPr>
            <w:tcW w:type="dxa" w:w="3118"/>
          </w:tcPr>
          <w:p>
            <w:pPr>
              <w:spacing w:after="0" w:line="240" w:lineRule="auto"/>
            </w:pPr>
            <w:r>
              <w:rPr>
                <w:rFonts w:ascii="Calibri" w:hAnsi="Calibri" w:cs="Calibri" w:eastAsia="Calibri"/>
                <w:b w:val="0"/>
                <w:i w:val="0"/>
                <w:color w:val="1F2937"/>
                <w:sz w:val="17"/>
              </w:rPr>
              <w:t>Rooftop solar project, Rs. 45,00,000</w:t>
            </w:r>
          </w:p>
        </w:tc>
        <w:tc>
          <w:tcPr>
            <w:tcW w:type="dxa" w:w="2438"/>
          </w:tcPr>
          <w:p>
            <w:pPr>
              <w:spacing w:after="0" w:line="240" w:lineRule="auto"/>
            </w:pPr>
            <w:r>
              <w:rPr>
                <w:rFonts w:ascii="Calibri" w:hAnsi="Calibri" w:cs="Calibri" w:eastAsia="Calibri"/>
                <w:b w:val="0"/>
                <w:i w:val="0"/>
                <w:color w:val="1F2937"/>
                <w:sz w:val="17"/>
              </w:rPr>
              <w:t>Structured, financial</w:t>
            </w:r>
          </w:p>
        </w:tc>
        <w:tc>
          <w:tcPr>
            <w:tcW w:type="dxa" w:w="2268"/>
          </w:tcPr>
          <w:p>
            <w:pPr>
              <w:spacing w:after="0" w:line="240" w:lineRule="auto"/>
            </w:pPr>
            <w:r>
              <w:rPr>
                <w:rFonts w:ascii="Calibri" w:hAnsi="Calibri" w:cs="Calibri" w:eastAsia="Calibri"/>
                <w:b w:val="0"/>
                <w:i w:val="0"/>
                <w:color w:val="1F2937"/>
                <w:sz w:val="17"/>
              </w:rPr>
              <w:t>Dozens of rows, updated occasionally</w:t>
            </w:r>
          </w:p>
        </w:tc>
      </w:tr>
      <w:tr>
        <w:trPr>
          <w:cantSplit w:val="true"/>
        </w:trPr>
        <w:tc>
          <w:tcPr>
            <w:tcW w:type="dxa" w:w="1814"/>
            <w:shd w:val="clear" w:color="auto" w:fill="F7FAF8"/>
          </w:tcPr>
          <w:p>
            <w:pPr>
              <w:spacing w:after="0" w:line="240" w:lineRule="auto"/>
            </w:pPr>
            <w:r>
              <w:rPr>
                <w:rFonts w:ascii="Calibri" w:hAnsi="Calibri" w:cs="Calibri" w:eastAsia="Calibri"/>
                <w:b/>
                <w:i w:val="0"/>
                <w:color w:val="1F2937"/>
                <w:sz w:val="17"/>
              </w:rPr>
              <w:t>Sensor readings (future)</w:t>
            </w:r>
          </w:p>
        </w:tc>
        <w:tc>
          <w:tcPr>
            <w:tcW w:type="dxa" w:w="3118"/>
            <w:shd w:val="clear" w:color="auto" w:fill="F7FAF8"/>
          </w:tcPr>
          <w:p>
            <w:pPr>
              <w:spacing w:after="0" w:line="240" w:lineRule="auto"/>
            </w:pPr>
            <w:r>
              <w:rPr>
                <w:rFonts w:ascii="Calibri" w:hAnsi="Calibri" w:cs="Calibri" w:eastAsia="Calibri"/>
                <w:b w:val="0"/>
                <w:i w:val="0"/>
                <w:color w:val="1F2937"/>
                <w:sz w:val="17"/>
              </w:rPr>
              <w:t>Smart electricity and water meters</w:t>
            </w:r>
          </w:p>
        </w:tc>
        <w:tc>
          <w:tcPr>
            <w:tcW w:type="dxa" w:w="2438"/>
            <w:shd w:val="clear" w:color="auto" w:fill="F7FAF8"/>
          </w:tcPr>
          <w:p>
            <w:pPr>
              <w:spacing w:after="0" w:line="240" w:lineRule="auto"/>
            </w:pPr>
            <w:r>
              <w:rPr>
                <w:rFonts w:ascii="Calibri" w:hAnsi="Calibri" w:cs="Calibri" w:eastAsia="Calibri"/>
                <w:b w:val="0"/>
                <w:i w:val="0"/>
                <w:color w:val="1F2937"/>
                <w:sz w:val="17"/>
              </w:rPr>
              <w:t>Time-series, very high velocity</w:t>
            </w:r>
          </w:p>
        </w:tc>
        <w:tc>
          <w:tcPr>
            <w:tcW w:type="dxa" w:w="2268"/>
            <w:shd w:val="clear" w:color="auto" w:fill="F7FAF8"/>
          </w:tcPr>
          <w:p>
            <w:pPr>
              <w:spacing w:after="0" w:line="240" w:lineRule="auto"/>
            </w:pPr>
            <w:r>
              <w:rPr>
                <w:rFonts w:ascii="Calibri" w:hAnsi="Calibri" w:cs="Calibri" w:eastAsia="Calibri"/>
                <w:b w:val="0"/>
                <w:i w:val="0"/>
                <w:color w:val="1F2937"/>
                <w:sz w:val="17"/>
              </w:rPr>
              <w:t>Millions of readings per day</w:t>
            </w:r>
          </w:p>
        </w:tc>
      </w:tr>
      <w:tr>
        <w:trPr>
          <w:cantSplit w:val="true"/>
        </w:trPr>
        <w:tc>
          <w:tcPr>
            <w:tcW w:type="dxa" w:w="1814"/>
          </w:tcPr>
          <w:p>
            <w:pPr>
              <w:spacing w:after="0" w:line="240" w:lineRule="auto"/>
            </w:pPr>
            <w:r>
              <w:rPr>
                <w:rFonts w:ascii="Calibri" w:hAnsi="Calibri" w:cs="Calibri" w:eastAsia="Calibri"/>
                <w:b/>
                <w:i w:val="0"/>
                <w:color w:val="1F2937"/>
                <w:sz w:val="17"/>
              </w:rPr>
              <w:t>Evidence and notes (future)</w:t>
            </w:r>
          </w:p>
        </w:tc>
        <w:tc>
          <w:tcPr>
            <w:tcW w:type="dxa" w:w="3118"/>
          </w:tcPr>
          <w:p>
            <w:pPr>
              <w:spacing w:after="0" w:line="240" w:lineRule="auto"/>
            </w:pPr>
            <w:r>
              <w:rPr>
                <w:rFonts w:ascii="Calibri" w:hAnsi="Calibri" w:cs="Calibri" w:eastAsia="Calibri"/>
                <w:b w:val="0"/>
                <w:i w:val="0"/>
                <w:color w:val="1F2937"/>
                <w:sz w:val="17"/>
              </w:rPr>
              <w:t>Audit photos, inspection remarks, certificates</w:t>
            </w:r>
          </w:p>
        </w:tc>
        <w:tc>
          <w:tcPr>
            <w:tcW w:type="dxa" w:w="2438"/>
          </w:tcPr>
          <w:p>
            <w:pPr>
              <w:spacing w:after="0" w:line="240" w:lineRule="auto"/>
            </w:pPr>
            <w:r>
              <w:rPr>
                <w:rFonts w:ascii="Calibri" w:hAnsi="Calibri" w:cs="Calibri" w:eastAsia="Calibri"/>
                <w:b w:val="0"/>
                <w:i w:val="0"/>
                <w:color w:val="1F2937"/>
                <w:sz w:val="17"/>
              </w:rPr>
              <w:t>Semi/unstructured, varying shape</w:t>
            </w:r>
          </w:p>
        </w:tc>
        <w:tc>
          <w:tcPr>
            <w:tcW w:type="dxa" w:w="2268"/>
          </w:tcPr>
          <w:p>
            <w:pPr>
              <w:spacing w:after="0" w:line="240" w:lineRule="auto"/>
            </w:pPr>
            <w:r>
              <w:rPr>
                <w:rFonts w:ascii="Calibri" w:hAnsi="Calibri" w:cs="Calibri" w:eastAsia="Calibri"/>
                <w:b w:val="0"/>
                <w:i w:val="0"/>
                <w:color w:val="1F2937"/>
                <w:sz w:val="17"/>
              </w:rPr>
              <w:t>Grows steadily</w:t>
            </w:r>
          </w:p>
        </w:tc>
      </w:tr>
    </w:tbl>
    <w:p>
      <w:pPr>
        <w:spacing w:after="80" w:line="144" w:lineRule="auto"/>
      </w:pPr>
    </w:p>
    <w:p>
      <w:pPr>
        <w:pStyle w:val="Heading1"/>
        <w:pBdr>
          <w:bottom w:val="single" w:sz="6" w:space="3" w:color="BFD5CA"/>
        </w:pBdr>
      </w:pPr>
      <w:r>
        <w:t>3. Overview of the Two Database Families</w:t>
      </w:r>
    </w:p>
    <w:p>
      <w:pPr>
        <w:pStyle w:val="Heading2"/>
      </w:pPr>
      <w:r>
        <w:t>3.1 Relational databases (RDBMS)</w:t>
      </w:r>
    </w:p>
    <w:p>
      <w:pPr>
        <w:jc w:val="both"/>
      </w:pPr>
      <w:r>
        <w:t xml:space="preserve">An RDBMS such as MySQL, PostgreSQL, Oracle or SQL Server stores data in </w:t>
      </w:r>
      <w:r>
        <w:rPr>
          <w:b/>
        </w:rPr>
        <w:t>tables</w:t>
      </w:r>
      <w:r>
        <w:t xml:space="preserve"> of rows and columns with a fixed schema (schema-on-write). Relationships are expressed with primary and foreign keys and data is queried with the standard language SQL, including joins and aggregations. Transactions follow the </w:t>
      </w:r>
      <w:r>
        <w:rPr>
          <w:b/>
        </w:rPr>
        <w:t>ACID</w:t>
      </w:r>
      <w:r>
        <w:t xml:space="preserve"> properties: Atomicity, Consistency, Isolation and Durability. The relational model was introduced by E. F. Codd in 1970.</w:t>
      </w:r>
    </w:p>
    <w:p>
      <w:pPr>
        <w:pStyle w:val="Heading2"/>
      </w:pPr>
      <w:r>
        <w:t>3.2 NoSQL databases</w:t>
      </w:r>
    </w:p>
    <w:p>
      <w:pPr>
        <w:jc w:val="both"/>
      </w:pPr>
      <w:r>
        <w:t>NoSQL ('not only SQL') databases drop the rigid table model in favour of flexible schemas and easier distribution over many servers. There are four main families, plus specialised stores: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1361"/>
            <w:shd w:val="clear" w:color="auto" w:fill="DDEBE4"/>
          </w:tcPr>
          <w:p>
            <w:pPr>
              <w:keepNext/>
              <w:spacing w:after="0"/>
            </w:pPr>
            <w:r>
              <w:rPr>
                <w:rFonts w:ascii="Calibri" w:hAnsi="Calibri" w:cs="Calibri" w:eastAsia="Calibri"/>
                <w:b/>
                <w:color w:val="1F6F50"/>
                <w:sz w:val="17"/>
              </w:rPr>
              <w:t>Type</w:t>
            </w:r>
          </w:p>
        </w:tc>
        <w:tc>
          <w:tcPr>
            <w:tcW w:type="dxa" w:w="2154"/>
            <w:shd w:val="clear" w:color="auto" w:fill="DDEBE4"/>
          </w:tcPr>
          <w:p>
            <w:pPr>
              <w:keepNext/>
              <w:spacing w:after="0"/>
            </w:pPr>
            <w:r>
              <w:rPr>
                <w:rFonts w:ascii="Calibri" w:hAnsi="Calibri" w:cs="Calibri" w:eastAsia="Calibri"/>
                <w:b/>
                <w:color w:val="1F6F50"/>
                <w:sz w:val="17"/>
              </w:rPr>
              <w:t>Examples</w:t>
            </w:r>
          </w:p>
        </w:tc>
        <w:tc>
          <w:tcPr>
            <w:tcW w:type="dxa" w:w="2381"/>
            <w:shd w:val="clear" w:color="auto" w:fill="DDEBE4"/>
          </w:tcPr>
          <w:p>
            <w:pPr>
              <w:keepNext/>
              <w:spacing w:after="0"/>
            </w:pPr>
            <w:r>
              <w:rPr>
                <w:rFonts w:ascii="Calibri" w:hAnsi="Calibri" w:cs="Calibri" w:eastAsia="Calibri"/>
                <w:b/>
                <w:color w:val="1F6F50"/>
                <w:sz w:val="17"/>
              </w:rPr>
              <w:t>Data model</w:t>
            </w:r>
          </w:p>
        </w:tc>
        <w:tc>
          <w:tcPr>
            <w:tcW w:type="dxa" w:w="3742"/>
            <w:shd w:val="clear" w:color="auto" w:fill="DDEBE4"/>
          </w:tcPr>
          <w:p>
            <w:pPr>
              <w:keepNext/>
              <w:spacing w:after="0"/>
            </w:pPr>
            <w:r>
              <w:rPr>
                <w:rFonts w:ascii="Calibri" w:hAnsi="Calibri" w:cs="Calibri" w:eastAsia="Calibri"/>
                <w:b/>
                <w:color w:val="1F6F50"/>
                <w:sz w:val="17"/>
              </w:rPr>
              <w:t>Possible use in the ESG system</w:t>
            </w:r>
          </w:p>
        </w:tc>
      </w:tr>
      <w:tr>
        <w:trPr>
          <w:cantSplit w:val="true"/>
        </w:trPr>
        <w:tc>
          <w:tcPr>
            <w:tcW w:type="dxa" w:w="1361"/>
          </w:tcPr>
          <w:p>
            <w:pPr>
              <w:spacing w:after="0" w:line="240" w:lineRule="auto"/>
            </w:pPr>
            <w:r>
              <w:rPr>
                <w:rFonts w:ascii="Calibri" w:hAnsi="Calibri" w:cs="Calibri" w:eastAsia="Calibri"/>
                <w:b/>
                <w:i w:val="0"/>
                <w:color w:val="1F2937"/>
                <w:sz w:val="17"/>
              </w:rPr>
              <w:t>Document</w:t>
            </w:r>
          </w:p>
        </w:tc>
        <w:tc>
          <w:tcPr>
            <w:tcW w:type="dxa" w:w="2154"/>
          </w:tcPr>
          <w:p>
            <w:pPr>
              <w:spacing w:after="0" w:line="240" w:lineRule="auto"/>
            </w:pPr>
            <w:r>
              <w:rPr>
                <w:rFonts w:ascii="Calibri" w:hAnsi="Calibri" w:cs="Calibri" w:eastAsia="Calibri"/>
                <w:b w:val="0"/>
                <w:i w:val="0"/>
                <w:color w:val="1F2937"/>
                <w:sz w:val="17"/>
              </w:rPr>
              <w:t>MongoDB, CouchDB</w:t>
            </w:r>
          </w:p>
        </w:tc>
        <w:tc>
          <w:tcPr>
            <w:tcW w:type="dxa" w:w="2381"/>
          </w:tcPr>
          <w:p>
            <w:pPr>
              <w:spacing w:after="0" w:line="240" w:lineRule="auto"/>
            </w:pPr>
            <w:r>
              <w:rPr>
                <w:rFonts w:ascii="Calibri" w:hAnsi="Calibri" w:cs="Calibri" w:eastAsia="Calibri"/>
                <w:b w:val="0"/>
                <w:i w:val="0"/>
                <w:color w:val="1F2937"/>
                <w:sz w:val="17"/>
              </w:rPr>
              <w:t>JSON-like documents</w:t>
            </w:r>
          </w:p>
        </w:tc>
        <w:tc>
          <w:tcPr>
            <w:tcW w:type="dxa" w:w="3742"/>
          </w:tcPr>
          <w:p>
            <w:pPr>
              <w:spacing w:after="0" w:line="240" w:lineRule="auto"/>
            </w:pPr>
            <w:r>
              <w:rPr>
                <w:rFonts w:ascii="Calibri" w:hAnsi="Calibri" w:cs="Calibri" w:eastAsia="Calibri"/>
                <w:b w:val="0"/>
                <w:i w:val="0"/>
                <w:color w:val="1F2937"/>
                <w:sz w:val="17"/>
              </w:rPr>
              <w:t>Inspection reports with varying fields, evidence metadata</w:t>
            </w:r>
          </w:p>
        </w:tc>
      </w:tr>
      <w:tr>
        <w:trPr>
          <w:cantSplit w:val="true"/>
        </w:trPr>
        <w:tc>
          <w:tcPr>
            <w:tcW w:type="dxa" w:w="1361"/>
            <w:shd w:val="clear" w:color="auto" w:fill="F7FAF8"/>
          </w:tcPr>
          <w:p>
            <w:pPr>
              <w:spacing w:after="0" w:line="240" w:lineRule="auto"/>
            </w:pPr>
            <w:r>
              <w:rPr>
                <w:rFonts w:ascii="Calibri" w:hAnsi="Calibri" w:cs="Calibri" w:eastAsia="Calibri"/>
                <w:b/>
                <w:i w:val="0"/>
                <w:color w:val="1F2937"/>
                <w:sz w:val="17"/>
              </w:rPr>
              <w:t>Key-value</w:t>
            </w:r>
          </w:p>
        </w:tc>
        <w:tc>
          <w:tcPr>
            <w:tcW w:type="dxa" w:w="2154"/>
            <w:shd w:val="clear" w:color="auto" w:fill="F7FAF8"/>
          </w:tcPr>
          <w:p>
            <w:pPr>
              <w:spacing w:after="0" w:line="240" w:lineRule="auto"/>
            </w:pPr>
            <w:r>
              <w:rPr>
                <w:rFonts w:ascii="Calibri" w:hAnsi="Calibri" w:cs="Calibri" w:eastAsia="Calibri"/>
                <w:b w:val="0"/>
                <w:i w:val="0"/>
                <w:color w:val="1F2937"/>
                <w:sz w:val="17"/>
              </w:rPr>
              <w:t>Redis, Amazon DynamoDB</w:t>
            </w:r>
          </w:p>
        </w:tc>
        <w:tc>
          <w:tcPr>
            <w:tcW w:type="dxa" w:w="2381"/>
            <w:shd w:val="clear" w:color="auto" w:fill="F7FAF8"/>
          </w:tcPr>
          <w:p>
            <w:pPr>
              <w:spacing w:after="0" w:line="240" w:lineRule="auto"/>
            </w:pPr>
            <w:r>
              <w:rPr>
                <w:rFonts w:ascii="Calibri" w:hAnsi="Calibri" w:cs="Calibri" w:eastAsia="Calibri"/>
                <w:b w:val="0"/>
                <w:i w:val="0"/>
                <w:color w:val="1F2937"/>
                <w:sz w:val="17"/>
              </w:rPr>
              <w:t>Key -&gt; value</w:t>
            </w:r>
          </w:p>
        </w:tc>
        <w:tc>
          <w:tcPr>
            <w:tcW w:type="dxa" w:w="3742"/>
            <w:shd w:val="clear" w:color="auto" w:fill="F7FAF8"/>
          </w:tcPr>
          <w:p>
            <w:pPr>
              <w:spacing w:after="0" w:line="240" w:lineRule="auto"/>
            </w:pPr>
            <w:r>
              <w:rPr>
                <w:rFonts w:ascii="Calibri" w:hAnsi="Calibri" w:cs="Calibri" w:eastAsia="Calibri"/>
                <w:b w:val="0"/>
                <w:i w:val="0"/>
                <w:color w:val="1F2937"/>
                <w:sz w:val="17"/>
              </w:rPr>
              <w:t>Caching dashboard results, user sessions</w:t>
            </w:r>
          </w:p>
        </w:tc>
      </w:tr>
      <w:tr>
        <w:trPr>
          <w:cantSplit w:val="true"/>
        </w:trPr>
        <w:tc>
          <w:tcPr>
            <w:tcW w:type="dxa" w:w="1361"/>
          </w:tcPr>
          <w:p>
            <w:pPr>
              <w:spacing w:after="0" w:line="240" w:lineRule="auto"/>
            </w:pPr>
            <w:r>
              <w:rPr>
                <w:rFonts w:ascii="Calibri" w:hAnsi="Calibri" w:cs="Calibri" w:eastAsia="Calibri"/>
                <w:b/>
                <w:i w:val="0"/>
                <w:color w:val="1F2937"/>
                <w:sz w:val="17"/>
              </w:rPr>
              <w:t>Wide-column</w:t>
            </w:r>
          </w:p>
        </w:tc>
        <w:tc>
          <w:tcPr>
            <w:tcW w:type="dxa" w:w="2154"/>
          </w:tcPr>
          <w:p>
            <w:pPr>
              <w:spacing w:after="0" w:line="240" w:lineRule="auto"/>
            </w:pPr>
            <w:r>
              <w:rPr>
                <w:rFonts w:ascii="Calibri" w:hAnsi="Calibri" w:cs="Calibri" w:eastAsia="Calibri"/>
                <w:b w:val="0"/>
                <w:i w:val="0"/>
                <w:color w:val="1F2937"/>
                <w:sz w:val="17"/>
              </w:rPr>
              <w:t>Apache Cassandra, HBase</w:t>
            </w:r>
          </w:p>
        </w:tc>
        <w:tc>
          <w:tcPr>
            <w:tcW w:type="dxa" w:w="2381"/>
          </w:tcPr>
          <w:p>
            <w:pPr>
              <w:spacing w:after="0" w:line="240" w:lineRule="auto"/>
            </w:pPr>
            <w:r>
              <w:rPr>
                <w:rFonts w:ascii="Calibri" w:hAnsi="Calibri" w:cs="Calibri" w:eastAsia="Calibri"/>
                <w:b w:val="0"/>
                <w:i w:val="0"/>
                <w:color w:val="1F2937"/>
                <w:sz w:val="17"/>
              </w:rPr>
              <w:t>Rows with dynamic column families</w:t>
            </w:r>
          </w:p>
        </w:tc>
        <w:tc>
          <w:tcPr>
            <w:tcW w:type="dxa" w:w="3742"/>
          </w:tcPr>
          <w:p>
            <w:pPr>
              <w:spacing w:after="0" w:line="240" w:lineRule="auto"/>
            </w:pPr>
            <w:r>
              <w:rPr>
                <w:rFonts w:ascii="Calibri" w:hAnsi="Calibri" w:cs="Calibri" w:eastAsia="Calibri"/>
                <w:b w:val="0"/>
                <w:i w:val="0"/>
                <w:color w:val="1F2937"/>
                <w:sz w:val="17"/>
              </w:rPr>
              <w:t>Very large write-heavy meter data</w:t>
            </w:r>
          </w:p>
        </w:tc>
      </w:tr>
      <w:tr>
        <w:trPr>
          <w:cantSplit w:val="true"/>
        </w:trPr>
        <w:tc>
          <w:tcPr>
            <w:tcW w:type="dxa" w:w="1361"/>
            <w:shd w:val="clear" w:color="auto" w:fill="F7FAF8"/>
          </w:tcPr>
          <w:p>
            <w:pPr>
              <w:spacing w:after="0" w:line="240" w:lineRule="auto"/>
            </w:pPr>
            <w:r>
              <w:rPr>
                <w:rFonts w:ascii="Calibri" w:hAnsi="Calibri" w:cs="Calibri" w:eastAsia="Calibri"/>
                <w:b/>
                <w:i w:val="0"/>
                <w:color w:val="1F2937"/>
                <w:sz w:val="17"/>
              </w:rPr>
              <w:t>Graph</w:t>
            </w:r>
          </w:p>
        </w:tc>
        <w:tc>
          <w:tcPr>
            <w:tcW w:type="dxa" w:w="2154"/>
            <w:shd w:val="clear" w:color="auto" w:fill="F7FAF8"/>
          </w:tcPr>
          <w:p>
            <w:pPr>
              <w:spacing w:after="0" w:line="240" w:lineRule="auto"/>
            </w:pPr>
            <w:r>
              <w:rPr>
                <w:rFonts w:ascii="Calibri" w:hAnsi="Calibri" w:cs="Calibri" w:eastAsia="Calibri"/>
                <w:b w:val="0"/>
                <w:i w:val="0"/>
                <w:color w:val="1F2937"/>
                <w:sz w:val="17"/>
              </w:rPr>
              <w:t>Neo4j</w:t>
            </w:r>
          </w:p>
        </w:tc>
        <w:tc>
          <w:tcPr>
            <w:tcW w:type="dxa" w:w="2381"/>
            <w:shd w:val="clear" w:color="auto" w:fill="F7FAF8"/>
          </w:tcPr>
          <w:p>
            <w:pPr>
              <w:spacing w:after="0" w:line="240" w:lineRule="auto"/>
            </w:pPr>
            <w:r>
              <w:rPr>
                <w:rFonts w:ascii="Calibri" w:hAnsi="Calibri" w:cs="Calibri" w:eastAsia="Calibri"/>
                <w:b w:val="0"/>
                <w:i w:val="0"/>
                <w:color w:val="1F2937"/>
                <w:sz w:val="17"/>
              </w:rPr>
              <w:t>Nodes and relationships</w:t>
            </w:r>
          </w:p>
        </w:tc>
        <w:tc>
          <w:tcPr>
            <w:tcW w:type="dxa" w:w="3742"/>
            <w:shd w:val="clear" w:color="auto" w:fill="F7FAF8"/>
          </w:tcPr>
          <w:p>
            <w:pPr>
              <w:spacing w:after="0" w:line="240" w:lineRule="auto"/>
            </w:pPr>
            <w:r>
              <w:rPr>
                <w:rFonts w:ascii="Calibri" w:hAnsi="Calibri" w:cs="Calibri" w:eastAsia="Calibri"/>
                <w:b w:val="0"/>
                <w:i w:val="0"/>
                <w:color w:val="1F2937"/>
                <w:sz w:val="17"/>
              </w:rPr>
              <w:t>Tracing supply chains / carbon flows between facilities</w:t>
            </w:r>
          </w:p>
        </w:tc>
      </w:tr>
      <w:tr>
        <w:trPr>
          <w:cantSplit w:val="true"/>
        </w:trPr>
        <w:tc>
          <w:tcPr>
            <w:tcW w:type="dxa" w:w="1361"/>
          </w:tcPr>
          <w:p>
            <w:pPr>
              <w:spacing w:after="0" w:line="240" w:lineRule="auto"/>
            </w:pPr>
            <w:r>
              <w:rPr>
                <w:rFonts w:ascii="Calibri" w:hAnsi="Calibri" w:cs="Calibri" w:eastAsia="Calibri"/>
                <w:b/>
                <w:i w:val="0"/>
                <w:color w:val="1F2937"/>
                <w:sz w:val="17"/>
              </w:rPr>
              <w:t>Time-series</w:t>
            </w:r>
          </w:p>
        </w:tc>
        <w:tc>
          <w:tcPr>
            <w:tcW w:type="dxa" w:w="2154"/>
          </w:tcPr>
          <w:p>
            <w:pPr>
              <w:spacing w:after="0" w:line="240" w:lineRule="auto"/>
            </w:pPr>
            <w:r>
              <w:rPr>
                <w:rFonts w:ascii="Calibri" w:hAnsi="Calibri" w:cs="Calibri" w:eastAsia="Calibri"/>
                <w:b w:val="0"/>
                <w:i w:val="0"/>
                <w:color w:val="1F2937"/>
                <w:sz w:val="17"/>
              </w:rPr>
              <w:t>InfluxDB, TimescaleDB</w:t>
            </w:r>
          </w:p>
        </w:tc>
        <w:tc>
          <w:tcPr>
            <w:tcW w:type="dxa" w:w="2381"/>
          </w:tcPr>
          <w:p>
            <w:pPr>
              <w:spacing w:after="0" w:line="240" w:lineRule="auto"/>
            </w:pPr>
            <w:r>
              <w:rPr>
                <w:rFonts w:ascii="Calibri" w:hAnsi="Calibri" w:cs="Calibri" w:eastAsia="Calibri"/>
                <w:b w:val="0"/>
                <w:i w:val="0"/>
                <w:color w:val="1F2937"/>
                <w:sz w:val="17"/>
              </w:rPr>
              <w:t>Timestamped measurements</w:t>
            </w:r>
          </w:p>
        </w:tc>
        <w:tc>
          <w:tcPr>
            <w:tcW w:type="dxa" w:w="3742"/>
          </w:tcPr>
          <w:p>
            <w:pPr>
              <w:spacing w:after="0" w:line="240" w:lineRule="auto"/>
            </w:pPr>
            <w:r>
              <w:rPr>
                <w:rFonts w:ascii="Calibri" w:hAnsi="Calibri" w:cs="Calibri" w:eastAsia="Calibri"/>
                <w:b w:val="0"/>
                <w:i w:val="0"/>
                <w:color w:val="1F2937"/>
                <w:sz w:val="17"/>
              </w:rPr>
              <w:t>Minute-by-minute energy and water readings</w:t>
            </w:r>
          </w:p>
        </w:tc>
      </w:tr>
    </w:tbl>
    <w:p>
      <w:pPr>
        <w:spacing w:after="80" w:line="144" w:lineRule="auto"/>
      </w:pPr>
    </w:p>
    <w:p>
      <w:pPr>
        <w:jc w:val="both"/>
      </w:pPr>
      <w:r>
        <w:t xml:space="preserve">Most NoSQL systems follow the </w:t>
      </w:r>
      <w:r>
        <w:rPr>
          <w:b/>
        </w:rPr>
        <w:t>BASE</w:t>
      </w:r>
      <w:r>
        <w:t xml:space="preserve"> philosophy (Basically Available, Soft state, Eventual consistency) rather than strict ACID, although several modern products now offer multi-document transactions.</w:t>
      </w:r>
    </w:p>
    <w:p>
      <w:pPr>
        <w:pStyle w:val="Heading1"/>
        <w:pBdr>
          <w:bottom w:val="single" w:sz="6" w:space="3" w:color="BFD5CA"/>
        </w:pBdr>
      </w:pPr>
      <w:r>
        <w:t>4. Comparison Summary</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1304"/>
            <w:shd w:val="clear" w:color="auto" w:fill="DDEBE4"/>
          </w:tcPr>
          <w:p>
            <w:pPr>
              <w:keepNext/>
              <w:spacing w:after="0"/>
            </w:pPr>
            <w:r>
              <w:rPr>
                <w:rFonts w:ascii="Calibri" w:hAnsi="Calibri" w:cs="Calibri" w:eastAsia="Calibri"/>
                <w:b/>
                <w:color w:val="1F6F50"/>
                <w:sz w:val="17"/>
              </w:rPr>
              <w:t>Criterion</w:t>
            </w:r>
          </w:p>
        </w:tc>
        <w:tc>
          <w:tcPr>
            <w:tcW w:type="dxa" w:w="2665"/>
            <w:shd w:val="clear" w:color="auto" w:fill="DDEBE4"/>
          </w:tcPr>
          <w:p>
            <w:pPr>
              <w:keepNext/>
              <w:spacing w:after="0"/>
            </w:pPr>
            <w:r>
              <w:rPr>
                <w:rFonts w:ascii="Calibri" w:hAnsi="Calibri" w:cs="Calibri" w:eastAsia="Calibri"/>
                <w:b/>
                <w:color w:val="1F6F50"/>
                <w:sz w:val="17"/>
              </w:rPr>
              <w:t>Relational (e.g. MySQL)</w:t>
            </w:r>
          </w:p>
        </w:tc>
        <w:tc>
          <w:tcPr>
            <w:tcW w:type="dxa" w:w="2835"/>
            <w:shd w:val="clear" w:color="auto" w:fill="DDEBE4"/>
          </w:tcPr>
          <w:p>
            <w:pPr>
              <w:keepNext/>
              <w:spacing w:after="0"/>
            </w:pPr>
            <w:r>
              <w:rPr>
                <w:rFonts w:ascii="Calibri" w:hAnsi="Calibri" w:cs="Calibri" w:eastAsia="Calibri"/>
                <w:b/>
                <w:color w:val="1F6F50"/>
                <w:sz w:val="17"/>
              </w:rPr>
              <w:t>NoSQL (e.g. MongoDB, Cassandra)</w:t>
            </w:r>
          </w:p>
        </w:tc>
        <w:tc>
          <w:tcPr>
            <w:tcW w:type="dxa" w:w="2835"/>
            <w:shd w:val="clear" w:color="auto" w:fill="DDEBE4"/>
          </w:tcPr>
          <w:p>
            <w:pPr>
              <w:keepNext/>
              <w:spacing w:after="0"/>
            </w:pPr>
            <w:r>
              <w:rPr>
                <w:rFonts w:ascii="Calibri" w:hAnsi="Calibri" w:cs="Calibri" w:eastAsia="Calibri"/>
                <w:b/>
                <w:color w:val="1F6F50"/>
                <w:sz w:val="17"/>
              </w:rPr>
              <w:t>Meaning for the ESG system</w:t>
            </w:r>
          </w:p>
        </w:tc>
      </w:tr>
      <w:tr>
        <w:trPr>
          <w:cantSplit w:val="true"/>
        </w:trPr>
        <w:tc>
          <w:tcPr>
            <w:tcW w:type="dxa" w:w="1304"/>
          </w:tcPr>
          <w:p>
            <w:pPr>
              <w:spacing w:after="0" w:line="240" w:lineRule="auto"/>
            </w:pPr>
            <w:r>
              <w:rPr>
                <w:rFonts w:ascii="Calibri" w:hAnsi="Calibri" w:cs="Calibri" w:eastAsia="Calibri"/>
                <w:b/>
                <w:i w:val="0"/>
                <w:color w:val="1F2937"/>
                <w:sz w:val="17"/>
              </w:rPr>
              <w:t>Scalability</w:t>
            </w:r>
          </w:p>
        </w:tc>
        <w:tc>
          <w:tcPr>
            <w:tcW w:type="dxa" w:w="2665"/>
          </w:tcPr>
          <w:p>
            <w:pPr>
              <w:spacing w:after="0" w:line="240" w:lineRule="auto"/>
            </w:pPr>
            <w:r>
              <w:rPr>
                <w:rFonts w:ascii="Calibri" w:hAnsi="Calibri" w:cs="Calibri" w:eastAsia="Calibri"/>
                <w:b w:val="0"/>
                <w:i w:val="0"/>
                <w:color w:val="1F2937"/>
                <w:sz w:val="17"/>
              </w:rPr>
              <w:t>Scales up (bigger server); scales out with read replicas, partitioning or sharding with extra effort</w:t>
            </w:r>
          </w:p>
        </w:tc>
        <w:tc>
          <w:tcPr>
            <w:tcW w:type="dxa" w:w="2835"/>
          </w:tcPr>
          <w:p>
            <w:pPr>
              <w:spacing w:after="0" w:line="240" w:lineRule="auto"/>
            </w:pPr>
            <w:r>
              <w:rPr>
                <w:rFonts w:ascii="Calibri" w:hAnsi="Calibri" w:cs="Calibri" w:eastAsia="Calibri"/>
                <w:b w:val="0"/>
                <w:i w:val="0"/>
                <w:color w:val="1F2937"/>
                <w:sz w:val="17"/>
              </w:rPr>
              <w:t>Designed to scale out horizontally across commodity servers with built-in sharding and replication</w:t>
            </w:r>
          </w:p>
        </w:tc>
        <w:tc>
          <w:tcPr>
            <w:tcW w:type="dxa" w:w="2835"/>
          </w:tcPr>
          <w:p>
            <w:pPr>
              <w:spacing w:after="0" w:line="240" w:lineRule="auto"/>
            </w:pPr>
            <w:r>
              <w:rPr>
                <w:rFonts w:ascii="Calibri" w:hAnsi="Calibri" w:cs="Calibri" w:eastAsia="Calibri"/>
                <w:b w:val="0"/>
                <w:i w:val="0"/>
                <w:color w:val="1F2937"/>
                <w:sz w:val="17"/>
              </w:rPr>
              <w:t>ESG master and result data is small; only sensor streams need scale-out</w:t>
            </w:r>
          </w:p>
        </w:tc>
      </w:tr>
      <w:tr>
        <w:trPr>
          <w:cantSplit w:val="true"/>
        </w:trPr>
        <w:tc>
          <w:tcPr>
            <w:tcW w:type="dxa" w:w="1304"/>
            <w:shd w:val="clear" w:color="auto" w:fill="F7FAF8"/>
          </w:tcPr>
          <w:p>
            <w:pPr>
              <w:spacing w:after="0" w:line="240" w:lineRule="auto"/>
            </w:pPr>
            <w:r>
              <w:rPr>
                <w:rFonts w:ascii="Calibri" w:hAnsi="Calibri" w:cs="Calibri" w:eastAsia="Calibri"/>
                <w:b/>
                <w:i w:val="0"/>
                <w:color w:val="1F2937"/>
                <w:sz w:val="17"/>
              </w:rPr>
              <w:t>Consistency</w:t>
            </w:r>
          </w:p>
        </w:tc>
        <w:tc>
          <w:tcPr>
            <w:tcW w:type="dxa" w:w="2665"/>
            <w:shd w:val="clear" w:color="auto" w:fill="F7FAF8"/>
          </w:tcPr>
          <w:p>
            <w:pPr>
              <w:spacing w:after="0" w:line="240" w:lineRule="auto"/>
            </w:pPr>
            <w:r>
              <w:rPr>
                <w:rFonts w:ascii="Calibri" w:hAnsi="Calibri" w:cs="Calibri" w:eastAsia="Calibri"/>
                <w:b w:val="0"/>
                <w:i w:val="0"/>
                <w:color w:val="1F2937"/>
                <w:sz w:val="17"/>
              </w:rPr>
              <w:t>Strong consistency, full ACID transactions, enforced constraints</w:t>
            </w:r>
          </w:p>
        </w:tc>
        <w:tc>
          <w:tcPr>
            <w:tcW w:type="dxa" w:w="2835"/>
            <w:shd w:val="clear" w:color="auto" w:fill="F7FAF8"/>
          </w:tcPr>
          <w:p>
            <w:pPr>
              <w:spacing w:after="0" w:line="240" w:lineRule="auto"/>
            </w:pPr>
            <w:r>
              <w:rPr>
                <w:rFonts w:ascii="Calibri" w:hAnsi="Calibri" w:cs="Calibri" w:eastAsia="Calibri"/>
                <w:b w:val="0"/>
                <w:i w:val="0"/>
                <w:color w:val="1F2937"/>
                <w:sz w:val="17"/>
              </w:rPr>
              <w:t>Often eventual or tunable consistency (BASE); trade-off described by the CAP theorem</w:t>
            </w:r>
          </w:p>
        </w:tc>
        <w:tc>
          <w:tcPr>
            <w:tcW w:type="dxa" w:w="2835"/>
            <w:shd w:val="clear" w:color="auto" w:fill="F7FAF8"/>
          </w:tcPr>
          <w:p>
            <w:pPr>
              <w:spacing w:after="0" w:line="240" w:lineRule="auto"/>
            </w:pPr>
            <w:r>
              <w:rPr>
                <w:rFonts w:ascii="Calibri" w:hAnsi="Calibri" w:cs="Calibri" w:eastAsia="Calibri"/>
                <w:b w:val="0"/>
                <w:i w:val="0"/>
                <w:color w:val="1F2937"/>
                <w:sz w:val="17"/>
              </w:rPr>
              <w:t>Scores, budgets and audit trails must be exact -&gt; strong consistency</w:t>
            </w:r>
          </w:p>
        </w:tc>
      </w:tr>
      <w:tr>
        <w:trPr>
          <w:cantSplit w:val="true"/>
        </w:trPr>
        <w:tc>
          <w:tcPr>
            <w:tcW w:type="dxa" w:w="1304"/>
          </w:tcPr>
          <w:p>
            <w:pPr>
              <w:spacing w:after="0" w:line="240" w:lineRule="auto"/>
            </w:pPr>
            <w:r>
              <w:rPr>
                <w:rFonts w:ascii="Calibri" w:hAnsi="Calibri" w:cs="Calibri" w:eastAsia="Calibri"/>
                <w:b/>
                <w:i w:val="0"/>
                <w:color w:val="1F2937"/>
                <w:sz w:val="17"/>
              </w:rPr>
              <w:t>Performance</w:t>
            </w:r>
          </w:p>
        </w:tc>
        <w:tc>
          <w:tcPr>
            <w:tcW w:type="dxa" w:w="2665"/>
          </w:tcPr>
          <w:p>
            <w:pPr>
              <w:spacing w:after="0" w:line="240" w:lineRule="auto"/>
            </w:pPr>
            <w:r>
              <w:rPr>
                <w:rFonts w:ascii="Calibri" w:hAnsi="Calibri" w:cs="Calibri" w:eastAsia="Calibri"/>
                <w:b w:val="0"/>
                <w:i w:val="0"/>
                <w:color w:val="1F2937"/>
                <w:sz w:val="17"/>
              </w:rPr>
              <w:t>Excellent for joins, aggregates and ad-hoc analytical queries with indexes and an optimiser</w:t>
            </w:r>
          </w:p>
        </w:tc>
        <w:tc>
          <w:tcPr>
            <w:tcW w:type="dxa" w:w="2835"/>
          </w:tcPr>
          <w:p>
            <w:pPr>
              <w:spacing w:after="0" w:line="240" w:lineRule="auto"/>
            </w:pPr>
            <w:r>
              <w:rPr>
                <w:rFonts w:ascii="Calibri" w:hAnsi="Calibri" w:cs="Calibri" w:eastAsia="Calibri"/>
                <w:b w:val="0"/>
                <w:i w:val="0"/>
                <w:color w:val="1F2937"/>
                <w:sz w:val="17"/>
              </w:rPr>
              <w:t>Excellent for simple key/document lookups and very high write throughput; joins and cross-document aggregation are costlier</w:t>
            </w:r>
          </w:p>
        </w:tc>
        <w:tc>
          <w:tcPr>
            <w:tcW w:type="dxa" w:w="2835"/>
          </w:tcPr>
          <w:p>
            <w:pPr>
              <w:spacing w:after="0" w:line="240" w:lineRule="auto"/>
            </w:pPr>
            <w:r>
              <w:rPr>
                <w:rFonts w:ascii="Calibri" w:hAnsi="Calibri" w:cs="Calibri" w:eastAsia="Calibri"/>
                <w:b w:val="0"/>
                <w:i w:val="0"/>
                <w:color w:val="1F2937"/>
                <w:sz w:val="17"/>
              </w:rPr>
              <w:t>Reports need joins across 4-5 tables -&gt; relational advantage</w:t>
            </w:r>
          </w:p>
        </w:tc>
      </w:tr>
      <w:tr>
        <w:trPr>
          <w:cantSplit w:val="true"/>
        </w:trPr>
        <w:tc>
          <w:tcPr>
            <w:tcW w:type="dxa" w:w="1304"/>
            <w:shd w:val="clear" w:color="auto" w:fill="F7FAF8"/>
          </w:tcPr>
          <w:p>
            <w:pPr>
              <w:spacing w:after="0" w:line="240" w:lineRule="auto"/>
            </w:pPr>
            <w:r>
              <w:rPr>
                <w:rFonts w:ascii="Calibri" w:hAnsi="Calibri" w:cs="Calibri" w:eastAsia="Calibri"/>
                <w:b/>
                <w:i w:val="0"/>
                <w:color w:val="1F2937"/>
                <w:sz w:val="17"/>
              </w:rPr>
              <w:t>Schema</w:t>
            </w:r>
          </w:p>
        </w:tc>
        <w:tc>
          <w:tcPr>
            <w:tcW w:type="dxa" w:w="2665"/>
            <w:shd w:val="clear" w:color="auto" w:fill="F7FAF8"/>
          </w:tcPr>
          <w:p>
            <w:pPr>
              <w:spacing w:after="0" w:line="240" w:lineRule="auto"/>
            </w:pPr>
            <w:r>
              <w:rPr>
                <w:rFonts w:ascii="Calibri" w:hAnsi="Calibri" w:cs="Calibri" w:eastAsia="Calibri"/>
                <w:b w:val="0"/>
                <w:i w:val="0"/>
                <w:color w:val="1F2937"/>
                <w:sz w:val="17"/>
              </w:rPr>
              <w:t>Fixed, enforced schema; changes need ALTER TABLE</w:t>
            </w:r>
          </w:p>
        </w:tc>
        <w:tc>
          <w:tcPr>
            <w:tcW w:type="dxa" w:w="2835"/>
            <w:shd w:val="clear" w:color="auto" w:fill="F7FAF8"/>
          </w:tcPr>
          <w:p>
            <w:pPr>
              <w:spacing w:after="0" w:line="240" w:lineRule="auto"/>
            </w:pPr>
            <w:r>
              <w:rPr>
                <w:rFonts w:ascii="Calibri" w:hAnsi="Calibri" w:cs="Calibri" w:eastAsia="Calibri"/>
                <w:b w:val="0"/>
                <w:i w:val="0"/>
                <w:color w:val="1F2937"/>
                <w:sz w:val="17"/>
              </w:rPr>
              <w:t>Flexible schema; fields may differ per document</w:t>
            </w:r>
          </w:p>
        </w:tc>
        <w:tc>
          <w:tcPr>
            <w:tcW w:type="dxa" w:w="2835"/>
            <w:shd w:val="clear" w:color="auto" w:fill="F7FAF8"/>
          </w:tcPr>
          <w:p>
            <w:pPr>
              <w:spacing w:after="0" w:line="240" w:lineRule="auto"/>
            </w:pPr>
            <w:r>
              <w:rPr>
                <w:rFonts w:ascii="Calibri" w:hAnsi="Calibri" w:cs="Calibri" w:eastAsia="Calibri"/>
                <w:b w:val="0"/>
                <w:i w:val="0"/>
                <w:color w:val="1F2937"/>
                <w:sz w:val="17"/>
              </w:rPr>
              <w:t>Indicators and facilities are well defined -&gt; fixed schema is a benefit</w:t>
            </w:r>
          </w:p>
        </w:tc>
      </w:tr>
      <w:tr>
        <w:trPr>
          <w:cantSplit w:val="true"/>
        </w:trPr>
        <w:tc>
          <w:tcPr>
            <w:tcW w:type="dxa" w:w="1304"/>
          </w:tcPr>
          <w:p>
            <w:pPr>
              <w:spacing w:after="0" w:line="240" w:lineRule="auto"/>
            </w:pPr>
            <w:r>
              <w:rPr>
                <w:rFonts w:ascii="Calibri" w:hAnsi="Calibri" w:cs="Calibri" w:eastAsia="Calibri"/>
                <w:b/>
                <w:i w:val="0"/>
                <w:color w:val="1F2937"/>
                <w:sz w:val="17"/>
              </w:rPr>
              <w:t>Query language</w:t>
            </w:r>
          </w:p>
        </w:tc>
        <w:tc>
          <w:tcPr>
            <w:tcW w:type="dxa" w:w="2665"/>
          </w:tcPr>
          <w:p>
            <w:pPr>
              <w:spacing w:after="0" w:line="240" w:lineRule="auto"/>
            </w:pPr>
            <w:r>
              <w:rPr>
                <w:rFonts w:ascii="Calibri" w:hAnsi="Calibri" w:cs="Calibri" w:eastAsia="Calibri"/>
                <w:b w:val="0"/>
                <w:i w:val="0"/>
                <w:color w:val="1F2937"/>
                <w:sz w:val="17"/>
              </w:rPr>
              <w:t>Standard SQL</w:t>
            </w:r>
          </w:p>
        </w:tc>
        <w:tc>
          <w:tcPr>
            <w:tcW w:type="dxa" w:w="2835"/>
          </w:tcPr>
          <w:p>
            <w:pPr>
              <w:spacing w:after="0" w:line="240" w:lineRule="auto"/>
            </w:pPr>
            <w:r>
              <w:rPr>
                <w:rFonts w:ascii="Calibri" w:hAnsi="Calibri" w:cs="Calibri" w:eastAsia="Calibri"/>
                <w:b w:val="0"/>
                <w:i w:val="0"/>
                <w:color w:val="1F2937"/>
                <w:sz w:val="17"/>
              </w:rPr>
              <w:t>Product-specific APIs / query languages</w:t>
            </w:r>
          </w:p>
        </w:tc>
        <w:tc>
          <w:tcPr>
            <w:tcW w:type="dxa" w:w="2835"/>
          </w:tcPr>
          <w:p>
            <w:pPr>
              <w:spacing w:after="0" w:line="240" w:lineRule="auto"/>
            </w:pPr>
            <w:r>
              <w:rPr>
                <w:rFonts w:ascii="Calibri" w:hAnsi="Calibri" w:cs="Calibri" w:eastAsia="Calibri"/>
                <w:b w:val="0"/>
                <w:i w:val="0"/>
                <w:color w:val="1F2937"/>
                <w:sz w:val="17"/>
              </w:rPr>
              <w:t>SQL skills are standard in the syllabus and industry</w:t>
            </w:r>
          </w:p>
        </w:tc>
      </w:tr>
      <w:tr>
        <w:trPr>
          <w:cantSplit w:val="true"/>
        </w:trPr>
        <w:tc>
          <w:tcPr>
            <w:tcW w:type="dxa" w:w="1304"/>
            <w:shd w:val="clear" w:color="auto" w:fill="F7FAF8"/>
          </w:tcPr>
          <w:p>
            <w:pPr>
              <w:spacing w:after="0" w:line="240" w:lineRule="auto"/>
            </w:pPr>
            <w:r>
              <w:rPr>
                <w:rFonts w:ascii="Calibri" w:hAnsi="Calibri" w:cs="Calibri" w:eastAsia="Calibri"/>
                <w:b/>
                <w:i w:val="0"/>
                <w:color w:val="1F2937"/>
                <w:sz w:val="17"/>
              </w:rPr>
              <w:t>Typical use cases</w:t>
            </w:r>
          </w:p>
        </w:tc>
        <w:tc>
          <w:tcPr>
            <w:tcW w:type="dxa" w:w="2665"/>
            <w:shd w:val="clear" w:color="auto" w:fill="F7FAF8"/>
          </w:tcPr>
          <w:p>
            <w:pPr>
              <w:spacing w:after="0" w:line="240" w:lineRule="auto"/>
            </w:pPr>
            <w:r>
              <w:rPr>
                <w:rFonts w:ascii="Calibri" w:hAnsi="Calibri" w:cs="Calibri" w:eastAsia="Calibri"/>
                <w:b w:val="0"/>
                <w:i w:val="0"/>
                <w:color w:val="1F2937"/>
                <w:sz w:val="17"/>
              </w:rPr>
              <w:t>Banking, ERP, student records, reporting</w:t>
            </w:r>
          </w:p>
        </w:tc>
        <w:tc>
          <w:tcPr>
            <w:tcW w:type="dxa" w:w="2835"/>
            <w:shd w:val="clear" w:color="auto" w:fill="F7FAF8"/>
          </w:tcPr>
          <w:p>
            <w:pPr>
              <w:spacing w:after="0" w:line="240" w:lineRule="auto"/>
            </w:pPr>
            <w:r>
              <w:rPr>
                <w:rFonts w:ascii="Calibri" w:hAnsi="Calibri" w:cs="Calibri" w:eastAsia="Calibri"/>
                <w:b w:val="0"/>
                <w:i w:val="0"/>
                <w:color w:val="1F2937"/>
                <w:sz w:val="17"/>
              </w:rPr>
              <w:t>IoT, social feeds, caching, catalogues, real-time analytics</w:t>
            </w:r>
          </w:p>
        </w:tc>
        <w:tc>
          <w:tcPr>
            <w:tcW w:type="dxa" w:w="2835"/>
            <w:shd w:val="clear" w:color="auto" w:fill="F7FAF8"/>
          </w:tcPr>
          <w:p>
            <w:pPr>
              <w:spacing w:after="0" w:line="240" w:lineRule="auto"/>
            </w:pPr>
            <w:r>
              <w:rPr>
                <w:rFonts w:ascii="Calibri" w:hAnsi="Calibri" w:cs="Calibri" w:eastAsia="Calibri"/>
                <w:b w:val="0"/>
                <w:i w:val="0"/>
                <w:color w:val="1F2937"/>
                <w:sz w:val="17"/>
              </w:rPr>
              <w:t>Core system -&gt; relational; sensor and document extras -&gt; NoSQL</w:t>
            </w:r>
          </w:p>
        </w:tc>
      </w:tr>
    </w:tbl>
    <w:p>
      <w:pPr>
        <w:spacing w:after="80" w:line="144" w:lineRule="auto"/>
      </w:pPr>
    </w:p>
    <w:p>
      <w:pPr>
        <w:pStyle w:val="Heading1"/>
        <w:pBdr>
          <w:bottom w:val="single" w:sz="6" w:space="3" w:color="BFD5CA"/>
        </w:pBdr>
      </w:pPr>
      <w:r>
        <w:t>5. Detailed Comparison</w:t>
      </w:r>
    </w:p>
    <w:p>
      <w:pPr>
        <w:pStyle w:val="Heading2"/>
      </w:pPr>
      <w:r>
        <w:t>5.1 Scalability</w:t>
      </w:r>
    </w:p>
    <w:p>
      <w:pPr>
        <w:jc w:val="both"/>
      </w:pPr>
      <w:r>
        <w:t xml:space="preserve">A relational database traditionally scales </w:t>
      </w:r>
      <w:r>
        <w:rPr>
          <w:b/>
        </w:rPr>
        <w:t>vertically</w:t>
      </w:r>
      <w:r>
        <w:t xml:space="preserve">: when load grows, the single server is given more CPU, memory and faster storage. Read load can be spread over replicas and large tables can be partitioned or sharded, but joins and foreign keys across shards are difficult to maintain. NoSQL systems were built for </w:t>
      </w:r>
      <w:r>
        <w:rPr>
          <w:b/>
        </w:rPr>
        <w:t>horizontal scaling</w:t>
      </w:r>
      <w:r>
        <w:t>: data is automatically distributed over many nodes (for example using consistent hashing in Cassandra and DynamoDB, or auto-sharding in MongoDB), and capacity grows by adding servers.</w:t>
      </w:r>
    </w:p>
    <w:p>
      <w:pPr>
        <w:jc w:val="both"/>
      </w:pPr>
      <w:r>
        <w:rPr>
          <w:b/>
        </w:rPr>
        <w:t>Project view:</w:t>
      </w:r>
      <w:r>
        <w:t xml:space="preserve"> even a large university with 100 facilities, 50 indicators and monthly measurements produces only 100 x 50 x 12 = 60,000 result rows per year, which a single MySQL server handles with ease. Scalability becomes a real concern only if live smart-meter data is added: 500 meters reporting once a minute generate 500 x 60 x 24 x 365 = about </w:t>
      </w:r>
      <w:r>
        <w:rPr>
          <w:b/>
        </w:rPr>
        <w:t>263 million readings per year</w:t>
      </w:r>
      <w:r>
        <w:t>. That stream is a good candidate for a scale-out or time-series store.</w:t>
      </w:r>
    </w:p>
    <w:p>
      <w:pPr>
        <w:pStyle w:val="Heading2"/>
      </w:pPr>
      <w:r>
        <w:t>5.2 Consistency</w:t>
      </w:r>
    </w:p>
    <w:p>
      <w:pPr>
        <w:jc w:val="both"/>
      </w:pPr>
      <w:r>
        <w:t xml:space="preserve">RDBMS transactions are </w:t>
      </w:r>
      <w:r>
        <w:rPr>
          <w:b/>
        </w:rPr>
        <w:t>ACID</w:t>
      </w:r>
      <w:r>
        <w:t xml:space="preserve">: a budget transfer or an assessment with all its results is saved completely or not at all, constraints are always enforced and every reader sees the latest committed data. Distributed NoSQL databases must choose, according to the </w:t>
      </w:r>
      <w:r>
        <w:rPr>
          <w:b/>
        </w:rPr>
        <w:t>CAP theorem</w:t>
      </w:r>
      <w:r>
        <w:t xml:space="preserve"> (Brewer 2000; Gilbert and Lynch 2002), between consistency and availability when a network partition occurs. Many therefore offer </w:t>
      </w:r>
      <w:r>
        <w:rPr>
          <w:b/>
        </w:rPr>
        <w:t>eventual consistency</w:t>
      </w:r>
      <w:r>
        <w:t xml:space="preserve"> by default, with tunable options: Cassandra has per-query consistency levels, MongoDB has read and write concerns, and DynamoDB reads are eventually consistent unless a strongly consistent read is requested.</w:t>
      </w:r>
    </w:p>
    <w:p>
      <w:pPr>
        <w:jc w:val="both"/>
      </w:pPr>
      <w:r>
        <w:rPr>
          <w:b/>
        </w:rPr>
        <w:t>Project view:</w:t>
      </w:r>
      <w:r>
        <w:t xml:space="preserve"> a published ESG score, an initiative budget or an audit finding must be correct and traceable; a facility must never be assessed against a non-existent indicator. Foreign keys, CHECK and UNIQUE constraints (Assignment 6) give this guarantee directly. Eventual consistency is acceptable only for non-critical data such as a live dashboard counter.</w:t>
      </w:r>
    </w:p>
    <w:p>
      <w:pPr>
        <w:pStyle w:val="Heading2"/>
      </w:pPr>
      <w:r>
        <w:t>5.3 Performance</w:t>
      </w:r>
    </w:p>
    <w:p>
      <w:pPr>
        <w:jc w:val="both"/>
      </w:pPr>
      <w:r>
        <w:t xml:space="preserve">Performance depends on the access pattern. A relational optimiser with indexes is very effective for </w:t>
      </w:r>
      <w:r>
        <w:rPr>
          <w:b/>
        </w:rPr>
        <w:t>complex queries</w:t>
      </w:r>
      <w:r>
        <w:t xml:space="preserve">: joining facilities, assessments, results and indicators, grouping by category and filtering by year in one statement. NoSQL stores shine when the application reads or writes </w:t>
      </w:r>
      <w:r>
        <w:rPr>
          <w:b/>
        </w:rPr>
        <w:t>one key or one document at a time</w:t>
      </w:r>
      <w:r>
        <w:t xml:space="preserve"> and needs very high throughput or low latency, because related data is embedded together (denormalised) and no joins are necessary. The price is duplicated data and more complicated cross-document analytics.</w:t>
      </w:r>
    </w:p>
    <w:p>
      <w:pPr>
        <w:jc w:val="both"/>
      </w:pPr>
      <w:r>
        <w:t>The same question is answered below with SQL on the project database: how many measured indicators were recorded per ESG category in 2025-26?</w:t>
      </w:r>
    </w:p>
    <w:p>
      <w:pPr>
        <w:keepNext/>
        <w:spacing w:before="120" w:after="40"/>
      </w:pPr>
      <w:r>
        <w:rPr>
          <w:rFonts w:ascii="Calibri" w:hAnsi="Calibri" w:cs="Calibri" w:eastAsia="Calibri"/>
          <w:b/>
          <w:color w:val="1F6F50"/>
          <w:sz w:val="17"/>
        </w:rPr>
        <w:t>RELATIONAL: ONE DECLARATIVE QUERY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c</w:t>
      </w:r>
      <w:r>
        <w:rPr>
          <w:rFonts w:ascii="Consolas" w:hAnsi="Consolas" w:cs="Consolas" w:eastAsia="Consolas"/>
          <w:color w:val="1F2937"/>
          <w:sz w:val="17"/>
        </w:rPr>
        <w:t>.</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measurements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r>
        <w:rPr>
          <w:rFonts w:ascii="Consolas" w:hAnsi="Consolas" w:cs="Consolas" w:eastAsia="Consolas"/>
          <w:color w:val="1F2937"/>
          <w:sz w:val="17"/>
        </w:rPr>
        <w:t>r</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r</w:t>
      </w:r>
      <w:r>
        <w:rPr>
          <w:rFonts w:ascii="Consolas" w:hAnsi="Consolas" w:cs="Consolas" w:eastAsia="Consolas"/>
          <w:color w:val="1F2937"/>
          <w:sz w:val="17"/>
        </w:rPr>
        <w:t>.</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assessment_id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esg_indicator</w:t>
      </w:r>
      <w:r>
        <w:rPr>
          <w:rFonts w:ascii="Consolas" w:hAnsi="Consolas" w:cs="Consolas" w:eastAsia="Consolas"/>
          <w:color w:val="1F2937"/>
          <w:sz w:val="17"/>
        </w:rPr>
        <w:t xml:space="preserve"> </w:t>
      </w:r>
      <w:r>
        <w:rPr>
          <w:rFonts w:ascii="Consolas" w:hAnsi="Consolas" w:cs="Consolas" w:eastAsia="Consolas"/>
          <w:color w:val="1F2937"/>
          <w:sz w:val="17"/>
        </w:rPr>
        <w:t>i</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i</w:t>
      </w:r>
      <w:r>
        <w:rPr>
          <w:rFonts w:ascii="Consolas" w:hAnsi="Consolas" w:cs="Consolas" w:eastAsia="Consolas"/>
          <w:color w:val="1F2937"/>
          <w:sz w:val="17"/>
        </w:rPr>
        <w:t>.</w:t>
      </w:r>
      <w:r>
        <w:rPr>
          <w:rFonts w:ascii="Consolas" w:hAnsi="Consolas" w:cs="Consolas" w:eastAsia="Consolas"/>
          <w:color w:val="1F2937"/>
          <w:sz w:val="17"/>
        </w:rPr>
        <w:t>indicator_id</w:t>
      </w:r>
      <w:r>
        <w:rPr>
          <w:rFonts w:ascii="Consolas" w:hAnsi="Consolas" w:cs="Consolas" w:eastAsia="Consolas"/>
          <w:color w:val="1F2937"/>
          <w:sz w:val="17"/>
        </w:rPr>
        <w:t xml:space="preserve">  = </w:t>
      </w:r>
      <w:r>
        <w:rPr>
          <w:rFonts w:ascii="Consolas" w:hAnsi="Consolas" w:cs="Consolas" w:eastAsia="Consolas"/>
          <w:color w:val="1F2937"/>
          <w:sz w:val="17"/>
        </w:rPr>
        <w:t>r</w:t>
      </w:r>
      <w:r>
        <w:rPr>
          <w:rFonts w:ascii="Consolas" w:hAnsi="Consolas" w:cs="Consolas" w:eastAsia="Consolas"/>
          <w:color w:val="1F2937"/>
          <w:sz w:val="17"/>
        </w:rPr>
        <w:t>.</w:t>
      </w:r>
      <w:r>
        <w:rPr>
          <w:rFonts w:ascii="Consolas" w:hAnsi="Consolas" w:cs="Consolas" w:eastAsia="Consolas"/>
          <w:color w:val="1F2937"/>
          <w:sz w:val="17"/>
        </w:rPr>
        <w:t>indicator_id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r>
        <w:rPr>
          <w:rFonts w:ascii="Consolas" w:hAnsi="Consolas" w:cs="Consolas" w:eastAsia="Consolas"/>
          <w:color w:val="1F2937"/>
          <w:sz w:val="17"/>
        </w:rPr>
        <w:t>c</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c</w:t>
      </w:r>
      <w:r>
        <w:rPr>
          <w:rFonts w:ascii="Consolas" w:hAnsi="Consolas" w:cs="Consolas" w:eastAsia="Consolas"/>
          <w:color w:val="1F2937"/>
          <w:sz w:val="17"/>
        </w:rPr>
        <w:t>.</w:t>
      </w:r>
      <w:r>
        <w:rPr>
          <w:rFonts w:ascii="Consolas" w:hAnsi="Consolas" w:cs="Consolas" w:eastAsia="Consolas"/>
          <w:color w:val="1F2937"/>
          <w:sz w:val="17"/>
        </w:rPr>
        <w:t>category_id</w:t>
      </w:r>
      <w:r>
        <w:rPr>
          <w:rFonts w:ascii="Consolas" w:hAnsi="Consolas" w:cs="Consolas" w:eastAsia="Consolas"/>
          <w:color w:val="1F2937"/>
          <w:sz w:val="17"/>
        </w:rPr>
        <w:t xml:space="preserve">   = </w:t>
      </w:r>
      <w:r>
        <w:rPr>
          <w:rFonts w:ascii="Consolas" w:hAnsi="Consolas" w:cs="Consolas" w:eastAsia="Consolas"/>
          <w:color w:val="1F2937"/>
          <w:sz w:val="17"/>
        </w:rPr>
        <w:t>i</w:t>
      </w:r>
      <w:r>
        <w:rPr>
          <w:rFonts w:ascii="Consolas" w:hAnsi="Consolas" w:cs="Consolas" w:eastAsia="Consolas"/>
          <w:color w:val="1F2937"/>
          <w:sz w:val="17"/>
        </w:rPr>
        <w:t>.</w:t>
      </w:r>
      <w:r>
        <w:rPr>
          <w:rFonts w:ascii="Consolas" w:hAnsi="Consolas" w:cs="Consolas" w:eastAsia="Consolas"/>
          <w:color w:val="1F2937"/>
          <w:sz w:val="17"/>
        </w:rPr>
        <w:t>category_id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academic_year</w:t>
      </w:r>
      <w:r>
        <w:rPr>
          <w:rFonts w:ascii="Consolas" w:hAnsi="Consolas" w:cs="Consolas" w:eastAsia="Consolas"/>
          <w:color w:val="1F2937"/>
          <w:sz w:val="17"/>
        </w:rPr>
        <w:t xml:space="preserve"> = </w:t>
      </w:r>
      <w:r>
        <w:rPr>
          <w:rFonts w:ascii="Consolas" w:hAnsi="Consolas" w:cs="Consolas" w:eastAsia="Consolas"/>
          <w:color w:val="9A3412"/>
          <w:sz w:val="17"/>
        </w:rPr>
        <w:t>'2025-26'</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GROUP</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c</w:t>
      </w:r>
      <w:r>
        <w:rPr>
          <w:rFonts w:ascii="Consolas" w:hAnsi="Consolas" w:cs="Consolas" w:eastAsia="Consolas"/>
          <w:color w:val="1F2937"/>
          <w:sz w:val="17"/>
        </w:rPr>
        <w:t>.</w:t>
      </w:r>
      <w:r>
        <w:rPr>
          <w:rFonts w:ascii="Consolas" w:hAnsi="Consolas" w:cs="Consolas" w:eastAsia="Consolas"/>
          <w:color w:val="1F2937"/>
          <w:sz w:val="17"/>
        </w:rPr>
        <w:t>category_name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c</w:t>
      </w:r>
      <w:r>
        <w:rPr>
          <w:rFonts w:ascii="Consolas" w:hAnsi="Consolas" w:cs="Consolas" w:eastAsia="Consolas"/>
          <w:color w:val="1F2937"/>
          <w:sz w:val="17"/>
        </w:rPr>
        <w:t>.</w:t>
      </w:r>
      <w:r>
        <w:rPr>
          <w:rFonts w:ascii="Consolas" w:hAnsi="Consolas" w:cs="Consolas" w:eastAsia="Consolas"/>
          <w:color w:val="1F2937"/>
          <w:sz w:val="17"/>
        </w:rPr>
        <w:t>category_name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5012"/>
            <w:shd w:val="clear" w:color="auto" w:fill="DDEBE4"/>
          </w:tcPr>
          <w:p>
            <w:pPr>
              <w:keepNext/>
              <w:spacing w:after="0"/>
            </w:pPr>
            <w:r>
              <w:rPr>
                <w:rFonts w:ascii="Calibri" w:hAnsi="Calibri" w:cs="Calibri" w:eastAsia="Calibri"/>
                <w:b/>
                <w:color w:val="1F6F50"/>
                <w:sz w:val="17"/>
              </w:rPr>
              <w:t>category_name</w:t>
            </w:r>
          </w:p>
        </w:tc>
        <w:tc>
          <w:tcPr>
            <w:tcW w:type="dxa" w:w="4626"/>
            <w:shd w:val="clear" w:color="auto" w:fill="DDEBE4"/>
          </w:tcPr>
          <w:p>
            <w:pPr>
              <w:keepNext/>
              <w:spacing w:after="0"/>
              <w:jc w:val="right"/>
            </w:pPr>
            <w:r>
              <w:rPr>
                <w:rFonts w:ascii="Calibri" w:hAnsi="Calibri" w:cs="Calibri" w:eastAsia="Calibri"/>
                <w:b/>
                <w:color w:val="1F6F50"/>
                <w:sz w:val="17"/>
              </w:rPr>
              <w:t>measurements</w:t>
            </w:r>
          </w:p>
        </w:tc>
      </w:tr>
      <w:tr>
        <w:trPr>
          <w:cantSplit w:val="true"/>
        </w:trPr>
        <w:tc>
          <w:tcPr>
            <w:tcW w:type="dxa" w:w="5012"/>
          </w:tcPr>
          <w:p>
            <w:pPr>
              <w:spacing w:after="0" w:line="240" w:lineRule="auto"/>
            </w:pPr>
            <w:r>
              <w:rPr>
                <w:rFonts w:ascii="Calibri" w:hAnsi="Calibri" w:cs="Calibri" w:eastAsia="Calibri"/>
                <w:b w:val="0"/>
                <w:i w:val="0"/>
                <w:color w:val="1F2937"/>
                <w:sz w:val="17"/>
              </w:rPr>
              <w:t>Environmental</w:t>
            </w:r>
          </w:p>
        </w:tc>
        <w:tc>
          <w:tcPr>
            <w:tcW w:type="dxa" w:w="4626"/>
          </w:tcPr>
          <w:p>
            <w:pPr>
              <w:spacing w:after="0" w:line="240" w:lineRule="auto"/>
              <w:jc w:val="right"/>
            </w:pPr>
            <w:r>
              <w:rPr>
                <w:rFonts w:ascii="Calibri" w:hAnsi="Calibri" w:cs="Calibri" w:eastAsia="Calibri"/>
                <w:b w:val="0"/>
                <w:i w:val="0"/>
                <w:color w:val="1F2937"/>
                <w:sz w:val="17"/>
              </w:rPr>
              <w:t>24</w:t>
            </w:r>
          </w:p>
        </w:tc>
      </w:tr>
      <w:tr>
        <w:trPr>
          <w:cantSplit w:val="true"/>
        </w:trPr>
        <w:tc>
          <w:tcPr>
            <w:tcW w:type="dxa" w:w="5012"/>
            <w:shd w:val="clear" w:color="auto" w:fill="F7FAF8"/>
          </w:tcPr>
          <w:p>
            <w:pPr>
              <w:spacing w:after="0" w:line="240" w:lineRule="auto"/>
            </w:pPr>
            <w:r>
              <w:rPr>
                <w:rFonts w:ascii="Calibri" w:hAnsi="Calibri" w:cs="Calibri" w:eastAsia="Calibri"/>
                <w:b w:val="0"/>
                <w:i w:val="0"/>
                <w:color w:val="1F2937"/>
                <w:sz w:val="17"/>
              </w:rPr>
              <w:t>Governance</w:t>
            </w:r>
          </w:p>
        </w:tc>
        <w:tc>
          <w:tcPr>
            <w:tcW w:type="dxa" w:w="4626"/>
            <w:shd w:val="clear" w:color="auto" w:fill="F7FAF8"/>
          </w:tcPr>
          <w:p>
            <w:pPr>
              <w:spacing w:after="0" w:line="240" w:lineRule="auto"/>
              <w:jc w:val="right"/>
            </w:pPr>
            <w:r>
              <w:rPr>
                <w:rFonts w:ascii="Calibri" w:hAnsi="Calibri" w:cs="Calibri" w:eastAsia="Calibri"/>
                <w:b w:val="0"/>
                <w:i w:val="0"/>
                <w:color w:val="1F2937"/>
                <w:sz w:val="17"/>
              </w:rPr>
              <w:t>8</w:t>
            </w:r>
          </w:p>
        </w:tc>
      </w:tr>
      <w:tr>
        <w:trPr>
          <w:cantSplit w:val="true"/>
        </w:trPr>
        <w:tc>
          <w:tcPr>
            <w:tcW w:type="dxa" w:w="5012"/>
          </w:tcPr>
          <w:p>
            <w:pPr>
              <w:spacing w:after="0" w:line="240" w:lineRule="auto"/>
            </w:pPr>
            <w:r>
              <w:rPr>
                <w:rFonts w:ascii="Calibri" w:hAnsi="Calibri" w:cs="Calibri" w:eastAsia="Calibri"/>
                <w:b w:val="0"/>
                <w:i w:val="0"/>
                <w:color w:val="1F2937"/>
                <w:sz w:val="17"/>
              </w:rPr>
              <w:t>Social</w:t>
            </w:r>
          </w:p>
        </w:tc>
        <w:tc>
          <w:tcPr>
            <w:tcW w:type="dxa" w:w="4626"/>
          </w:tcPr>
          <w:p>
            <w:pPr>
              <w:spacing w:after="0" w:line="240" w:lineRule="auto"/>
              <w:jc w:val="right"/>
            </w:pPr>
            <w:r>
              <w:rPr>
                <w:rFonts w:ascii="Calibri" w:hAnsi="Calibri" w:cs="Calibri" w:eastAsia="Calibri"/>
                <w:b w:val="0"/>
                <w:i w:val="0"/>
                <w:color w:val="1F2937"/>
                <w:sz w:val="17"/>
              </w:rPr>
              <w:t>12</w:t>
            </w:r>
          </w:p>
        </w:tc>
      </w:tr>
    </w:tbl>
    <w:p>
      <w:pPr>
        <w:spacing w:after="80" w:line="144" w:lineRule="auto"/>
      </w:pPr>
    </w:p>
    <w:p>
      <w:pPr>
        <w:spacing w:after="120"/>
      </w:pPr>
      <w:r>
        <w:rPr>
          <w:rFonts w:ascii="Calibri" w:hAnsi="Calibri" w:cs="Calibri" w:eastAsia="Calibri"/>
          <w:i/>
          <w:color w:val="6B7280"/>
          <w:sz w:val="17"/>
        </w:rPr>
        <w:t>3 rows in set</w:t>
      </w:r>
    </w:p>
    <w:p>
      <w:pPr>
        <w:jc w:val="both"/>
      </w:pPr>
      <w:r>
        <w:t>In a document database where each assessment embeds its results, the equivalent MongoDB aggregation pipeline would look like this (illustrative):</w:t>
      </w:r>
    </w:p>
    <w:p>
      <w:pPr>
        <w:keepNext/>
        <w:spacing w:before="120" w:after="40"/>
      </w:pPr>
      <w:r>
        <w:rPr>
          <w:rFonts w:ascii="Calibri" w:hAnsi="Calibri" w:cs="Calibri" w:eastAsia="Calibri"/>
          <w:b/>
          <w:color w:val="1F6F50"/>
          <w:sz w:val="17"/>
        </w:rPr>
        <w:t>DOCUMENT MODEL: ONE ASSESSMENT EMBEDS ITS RESULTS (INDICATOR DATA IS COPIED INTO EACH DOCUMENT)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"_id": 7,</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"facility": "Block A CSE Wing",</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"academic_year": "2025-26",</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"date": "2026-02-09",</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"assessor": "Prof. Rohit Sharma",</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"results":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"indicator": "Electricity Consumption",</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"category": "Environmental",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"unit": "kWh/sqm/month",</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"target": 12.0,</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"value": 11.21</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"indicator": "Solar Energy Share",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"category": "Environmental",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"unit":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"target": 30.0,</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"value": 33.8</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"indicator": "Accessibility Compliance",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"category": "Social",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"unit":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"target": 90.0,</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"value": 99.6</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"indicator": "Policy Compliance Score",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"category": "Governance",</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"unit":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"target": 90.0,</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"value": 99.6</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DOCUMENT MODEL: EQUIVALENT AGGREGATION PIPELINE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db.assessments.aggregate([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 $match:  { academic_year: "2025-26" }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 $unwind: "$results"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 $group:  { _id: "$results.category", measurements: { $sum: 1 } }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 $sort:   { _id: 1 } }</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jc w:val="both"/>
      </w:pPr>
      <w:r>
        <w:t xml:space="preserve">Because indicator names, units and targets are </w:t>
      </w:r>
      <w:r>
        <w:rPr>
          <w:b/>
        </w:rPr>
        <w:t>copied into every document</w:t>
      </w:r>
      <w:r>
        <w:t xml:space="preserve">, changing one indicator's target requires an </w:t>
      </w:r>
      <w:r>
        <w:rPr>
          <w:rFonts w:ascii="Consolas" w:hAnsi="Consolas" w:cs="Consolas" w:eastAsia="Consolas"/>
          <w:color w:val="0B5C44"/>
          <w:sz w:val="19"/>
        </w:rPr>
        <w:t>updateMany</w:t>
      </w:r>
      <w:r>
        <w:t xml:space="preserve"> over all assessments, whereas in the relational design it is a single row update in </w:t>
      </w:r>
      <w:r>
        <w:rPr>
          <w:rFonts w:ascii="Consolas" w:hAnsi="Consolas" w:cs="Consolas" w:eastAsia="Consolas"/>
          <w:color w:val="0B5C44"/>
          <w:sz w:val="19"/>
        </w:rPr>
        <w:t>esg_indicator</w:t>
      </w:r>
      <w:r>
        <w:t>. This is the same update anomaly studied in Assignment 3.</w:t>
      </w:r>
    </w:p>
    <w:p>
      <w:pPr>
        <w:pStyle w:val="Heading2"/>
      </w:pPr>
      <w:r>
        <w:t>5.4 Use cases</w:t>
      </w:r>
    </w:p>
    <w:p>
      <w:pPr>
        <w:jc w:val="both"/>
      </w:pPr>
      <w:r>
        <w:t xml:space="preserve">RDBMS are the default for </w:t>
      </w:r>
      <w:r>
        <w:rPr>
          <w:b/>
        </w:rPr>
        <w:t>structured, relationship-rich, transaction-oriented</w:t>
      </w:r>
      <w:r>
        <w:t xml:space="preserve"> data such as banking, inventory, student information and financial or compliance reporting. NoSQL databases are preferred for </w:t>
      </w:r>
      <w:r>
        <w:rPr>
          <w:b/>
        </w:rPr>
        <w:t>huge, fast-changing, loosely structured or highly distributed</w:t>
      </w:r>
      <w:r>
        <w:t xml:space="preserve"> data: IoT telemetry, user activity feeds, product catalogues, session stores, recommendation graphs and real-time analytics.</w:t>
      </w:r>
    </w:p>
    <w:p>
      <w:pPr>
        <w:pStyle w:val="Heading1"/>
        <w:pBdr>
          <w:bottom w:val="single" w:sz="6" w:space="3" w:color="BFD5CA"/>
        </w:pBdr>
      </w:pPr>
      <w:r>
        <w:t>6. Why Organisations Choose Different Technologies</w:t>
      </w:r>
    </w:p>
    <w:p>
      <w:pPr>
        <w:jc w:val="both"/>
      </w:pPr>
      <w:r>
        <w:t>No database is best in every situation. Organisations weigh the following factors against their requirements:</w:t>
      </w:r>
    </w:p>
    <w:p>
      <w:pPr>
        <w:pStyle w:val="ListBullet"/>
      </w:pPr>
      <w:r>
        <w:rPr>
          <w:b/>
        </w:rPr>
        <w:t>Data structure and schema stability:</w:t>
      </w:r>
      <w:r>
        <w:t xml:space="preserve"> fixed, well-understood data favours RDBMS; frequently changing or irregular data favours document stores.</w:t>
      </w:r>
    </w:p>
    <w:p>
      <w:pPr>
        <w:pStyle w:val="ListBullet"/>
      </w:pPr>
      <w:r>
        <w:rPr>
          <w:b/>
        </w:rPr>
        <w:t>Consistency requirements:</w:t>
      </w:r>
      <w:r>
        <w:t xml:space="preserve"> money, inventory and compliance records need ACID; feeds and counters can tolerate eventual consistency.</w:t>
      </w:r>
    </w:p>
    <w:p>
      <w:pPr>
        <w:pStyle w:val="ListBullet"/>
      </w:pPr>
      <w:r>
        <w:rPr>
          <w:b/>
        </w:rPr>
        <w:t>Scale and traffic pattern:</w:t>
      </w:r>
      <w:r>
        <w:t xml:space="preserve"> global, write-heavy workloads push towards distributed NoSQL.</w:t>
      </w:r>
    </w:p>
    <w:p>
      <w:pPr>
        <w:pStyle w:val="ListBullet"/>
      </w:pPr>
      <w:r>
        <w:rPr>
          <w:b/>
        </w:rPr>
        <w:t>Query patterns:</w:t>
      </w:r>
      <w:r>
        <w:t xml:space="preserve"> ad-hoc joins and reports favour SQL; known key-based access favours key-value and document stores.</w:t>
      </w:r>
    </w:p>
    <w:p>
      <w:pPr>
        <w:pStyle w:val="ListBullet"/>
      </w:pPr>
      <w:r>
        <w:rPr>
          <w:b/>
        </w:rPr>
        <w:t>Team skills, tooling and cost:</w:t>
      </w:r>
      <w:r>
        <w:t xml:space="preserve"> SQL is widely known and mature; managed cloud services change the operations cost of both families.</w:t>
      </w:r>
    </w:p>
    <w:p>
      <w:pPr>
        <w:pStyle w:val="ListBullet"/>
      </w:pPr>
      <w:r>
        <w:rPr>
          <w:b/>
        </w:rPr>
        <w:t>Regulation and auditability:</w:t>
      </w:r>
      <w:r>
        <w:t xml:space="preserve"> constraints, transactions and logging in an RDBMS simplify audits.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2494"/>
            <w:shd w:val="clear" w:color="auto" w:fill="DDEBE4"/>
          </w:tcPr>
          <w:p>
            <w:pPr>
              <w:keepNext/>
              <w:spacing w:after="0"/>
            </w:pPr>
            <w:r>
              <w:rPr>
                <w:rFonts w:ascii="Calibri" w:hAnsi="Calibri" w:cs="Calibri" w:eastAsia="Calibri"/>
                <w:b/>
                <w:color w:val="1F6F50"/>
                <w:sz w:val="17"/>
              </w:rPr>
              <w:t>Organisation / sector</w:t>
            </w:r>
          </w:p>
        </w:tc>
        <w:tc>
          <w:tcPr>
            <w:tcW w:type="dxa" w:w="2948"/>
            <w:shd w:val="clear" w:color="auto" w:fill="DDEBE4"/>
          </w:tcPr>
          <w:p>
            <w:pPr>
              <w:keepNext/>
              <w:spacing w:after="0"/>
            </w:pPr>
            <w:r>
              <w:rPr>
                <w:rFonts w:ascii="Calibri" w:hAnsi="Calibri" w:cs="Calibri" w:eastAsia="Calibri"/>
                <w:b/>
                <w:color w:val="1F6F50"/>
                <w:sz w:val="17"/>
              </w:rPr>
              <w:t>Technology</w:t>
            </w:r>
          </w:p>
        </w:tc>
        <w:tc>
          <w:tcPr>
            <w:tcW w:type="dxa" w:w="4195"/>
            <w:shd w:val="clear" w:color="auto" w:fill="DDEBE4"/>
          </w:tcPr>
          <w:p>
            <w:pPr>
              <w:keepNext/>
              <w:spacing w:after="0"/>
            </w:pPr>
            <w:r>
              <w:rPr>
                <w:rFonts w:ascii="Calibri" w:hAnsi="Calibri" w:cs="Calibri" w:eastAsia="Calibri"/>
                <w:b/>
                <w:color w:val="1F6F50"/>
                <w:sz w:val="17"/>
              </w:rPr>
              <w:t>Why it fits</w:t>
            </w:r>
          </w:p>
        </w:tc>
      </w:tr>
      <w:tr>
        <w:trPr>
          <w:cantSplit w:val="true"/>
        </w:trPr>
        <w:tc>
          <w:tcPr>
            <w:tcW w:type="dxa" w:w="2494"/>
          </w:tcPr>
          <w:p>
            <w:pPr>
              <w:spacing w:after="0" w:line="240" w:lineRule="auto"/>
            </w:pPr>
            <w:r>
              <w:rPr>
                <w:rFonts w:ascii="Calibri" w:hAnsi="Calibri" w:cs="Calibri" w:eastAsia="Calibri"/>
                <w:b/>
                <w:i w:val="0"/>
                <w:color w:val="1F2937"/>
                <w:sz w:val="17"/>
              </w:rPr>
              <w:t>Retail banks (core ledgers)</w:t>
            </w:r>
          </w:p>
        </w:tc>
        <w:tc>
          <w:tcPr>
            <w:tcW w:type="dxa" w:w="2948"/>
          </w:tcPr>
          <w:p>
            <w:pPr>
              <w:spacing w:after="0" w:line="240" w:lineRule="auto"/>
            </w:pPr>
            <w:r>
              <w:rPr>
                <w:rFonts w:ascii="Calibri" w:hAnsi="Calibri" w:cs="Calibri" w:eastAsia="Calibri"/>
                <w:b w:val="0"/>
                <w:i w:val="0"/>
                <w:color w:val="1F2937"/>
                <w:sz w:val="17"/>
              </w:rPr>
              <w:t>Relational (e.g. Oracle, IBM Db2)</w:t>
            </w:r>
          </w:p>
        </w:tc>
        <w:tc>
          <w:tcPr>
            <w:tcW w:type="dxa" w:w="4195"/>
          </w:tcPr>
          <w:p>
            <w:pPr>
              <w:spacing w:after="0" w:line="240" w:lineRule="auto"/>
            </w:pPr>
            <w:r>
              <w:rPr>
                <w:rFonts w:ascii="Calibri" w:hAnsi="Calibri" w:cs="Calibri" w:eastAsia="Calibri"/>
                <w:b w:val="0"/>
                <w:i w:val="0"/>
                <w:color w:val="1F2937"/>
                <w:sz w:val="17"/>
              </w:rPr>
              <w:t>Money transfers need ACID transactions and strict integrity</w:t>
            </w:r>
          </w:p>
        </w:tc>
      </w:tr>
      <w:tr>
        <w:trPr>
          <w:cantSplit w:val="true"/>
        </w:trPr>
        <w:tc>
          <w:tcPr>
            <w:tcW w:type="dxa" w:w="2494"/>
            <w:shd w:val="clear" w:color="auto" w:fill="F7FAF8"/>
          </w:tcPr>
          <w:p>
            <w:pPr>
              <w:spacing w:after="0" w:line="240" w:lineRule="auto"/>
            </w:pPr>
            <w:r>
              <w:rPr>
                <w:rFonts w:ascii="Calibri" w:hAnsi="Calibri" w:cs="Calibri" w:eastAsia="Calibri"/>
                <w:b/>
                <w:i w:val="0"/>
                <w:color w:val="1F2937"/>
                <w:sz w:val="17"/>
              </w:rPr>
              <w:t>Instagram</w:t>
            </w:r>
          </w:p>
        </w:tc>
        <w:tc>
          <w:tcPr>
            <w:tcW w:type="dxa" w:w="2948"/>
            <w:shd w:val="clear" w:color="auto" w:fill="F7FAF8"/>
          </w:tcPr>
          <w:p>
            <w:pPr>
              <w:spacing w:after="0" w:line="240" w:lineRule="auto"/>
            </w:pPr>
            <w:r>
              <w:rPr>
                <w:rFonts w:ascii="Calibri" w:hAnsi="Calibri" w:cs="Calibri" w:eastAsia="Calibri"/>
                <w:b w:val="0"/>
                <w:i w:val="0"/>
                <w:color w:val="1F2937"/>
                <w:sz w:val="17"/>
              </w:rPr>
              <w:t>PostgreSQL (relational)</w:t>
            </w:r>
          </w:p>
        </w:tc>
        <w:tc>
          <w:tcPr>
            <w:tcW w:type="dxa" w:w="4195"/>
            <w:shd w:val="clear" w:color="auto" w:fill="F7FAF8"/>
          </w:tcPr>
          <w:p>
            <w:pPr>
              <w:spacing w:after="0" w:line="240" w:lineRule="auto"/>
            </w:pPr>
            <w:r>
              <w:rPr>
                <w:rFonts w:ascii="Calibri" w:hAnsi="Calibri" w:cs="Calibri" w:eastAsia="Calibri"/>
                <w:b w:val="0"/>
                <w:i w:val="0"/>
                <w:color w:val="1F2937"/>
                <w:sz w:val="17"/>
              </w:rPr>
              <w:t>Publicly described as using PostgreSQL for core application data</w:t>
            </w:r>
          </w:p>
        </w:tc>
      </w:tr>
      <w:tr>
        <w:trPr>
          <w:cantSplit w:val="true"/>
        </w:trPr>
        <w:tc>
          <w:tcPr>
            <w:tcW w:type="dxa" w:w="2494"/>
          </w:tcPr>
          <w:p>
            <w:pPr>
              <w:spacing w:after="0" w:line="240" w:lineRule="auto"/>
            </w:pPr>
            <w:r>
              <w:rPr>
                <w:rFonts w:ascii="Calibri" w:hAnsi="Calibri" w:cs="Calibri" w:eastAsia="Calibri"/>
                <w:b/>
                <w:i w:val="0"/>
                <w:color w:val="1F2937"/>
                <w:sz w:val="17"/>
              </w:rPr>
              <w:t>Meta (Facebook)</w:t>
            </w:r>
          </w:p>
        </w:tc>
        <w:tc>
          <w:tcPr>
            <w:tcW w:type="dxa" w:w="2948"/>
          </w:tcPr>
          <w:p>
            <w:pPr>
              <w:spacing w:after="0" w:line="240" w:lineRule="auto"/>
            </w:pPr>
            <w:r>
              <w:rPr>
                <w:rFonts w:ascii="Calibri" w:hAnsi="Calibri" w:cs="Calibri" w:eastAsia="Calibri"/>
                <w:b w:val="0"/>
                <w:i w:val="0"/>
                <w:color w:val="1F2937"/>
                <w:sz w:val="17"/>
              </w:rPr>
              <w:t>MySQL at very large scale</w:t>
            </w:r>
          </w:p>
        </w:tc>
        <w:tc>
          <w:tcPr>
            <w:tcW w:type="dxa" w:w="4195"/>
          </w:tcPr>
          <w:p>
            <w:pPr>
              <w:spacing w:after="0" w:line="240" w:lineRule="auto"/>
            </w:pPr>
            <w:r>
              <w:rPr>
                <w:rFonts w:ascii="Calibri" w:hAnsi="Calibri" w:cs="Calibri" w:eastAsia="Calibri"/>
                <w:b w:val="0"/>
                <w:i w:val="0"/>
                <w:color w:val="1F2937"/>
                <w:sz w:val="17"/>
              </w:rPr>
              <w:t>Shows that relational systems can scale with sharding and engineering effort</w:t>
            </w:r>
          </w:p>
        </w:tc>
      </w:tr>
      <w:tr>
        <w:trPr>
          <w:cantSplit w:val="true"/>
        </w:trPr>
        <w:tc>
          <w:tcPr>
            <w:tcW w:type="dxa" w:w="2494"/>
            <w:shd w:val="clear" w:color="auto" w:fill="F7FAF8"/>
          </w:tcPr>
          <w:p>
            <w:pPr>
              <w:spacing w:after="0" w:line="240" w:lineRule="auto"/>
            </w:pPr>
            <w:r>
              <w:rPr>
                <w:rFonts w:ascii="Calibri" w:hAnsi="Calibri" w:cs="Calibri" w:eastAsia="Calibri"/>
                <w:b/>
                <w:i w:val="0"/>
                <w:color w:val="1F2937"/>
                <w:sz w:val="17"/>
              </w:rPr>
              <w:t>Netflix</w:t>
            </w:r>
          </w:p>
        </w:tc>
        <w:tc>
          <w:tcPr>
            <w:tcW w:type="dxa" w:w="2948"/>
            <w:shd w:val="clear" w:color="auto" w:fill="F7FAF8"/>
          </w:tcPr>
          <w:p>
            <w:pPr>
              <w:spacing w:after="0" w:line="240" w:lineRule="auto"/>
            </w:pPr>
            <w:r>
              <w:rPr>
                <w:rFonts w:ascii="Calibri" w:hAnsi="Calibri" w:cs="Calibri" w:eastAsia="Calibri"/>
                <w:b w:val="0"/>
                <w:i w:val="0"/>
                <w:color w:val="1F2937"/>
                <w:sz w:val="17"/>
              </w:rPr>
              <w:t>Apache Cassandra (wide-column)</w:t>
            </w:r>
          </w:p>
        </w:tc>
        <w:tc>
          <w:tcPr>
            <w:tcW w:type="dxa" w:w="4195"/>
            <w:shd w:val="clear" w:color="auto" w:fill="F7FAF8"/>
          </w:tcPr>
          <w:p>
            <w:pPr>
              <w:spacing w:after="0" w:line="240" w:lineRule="auto"/>
            </w:pPr>
            <w:r>
              <w:rPr>
                <w:rFonts w:ascii="Calibri" w:hAnsi="Calibri" w:cs="Calibri" w:eastAsia="Calibri"/>
                <w:b w:val="0"/>
                <w:i w:val="0"/>
                <w:color w:val="1F2937"/>
                <w:sz w:val="17"/>
              </w:rPr>
              <w:t>Always-on, multi-region availability for very large datasets</w:t>
            </w:r>
          </w:p>
        </w:tc>
      </w:tr>
      <w:tr>
        <w:trPr>
          <w:cantSplit w:val="true"/>
        </w:trPr>
        <w:tc>
          <w:tcPr>
            <w:tcW w:type="dxa" w:w="2494"/>
          </w:tcPr>
          <w:p>
            <w:pPr>
              <w:spacing w:after="0" w:line="240" w:lineRule="auto"/>
            </w:pPr>
            <w:r>
              <w:rPr>
                <w:rFonts w:ascii="Calibri" w:hAnsi="Calibri" w:cs="Calibri" w:eastAsia="Calibri"/>
                <w:b/>
                <w:i w:val="0"/>
                <w:color w:val="1F2937"/>
                <w:sz w:val="17"/>
              </w:rPr>
              <w:t>Amazon</w:t>
            </w:r>
          </w:p>
        </w:tc>
        <w:tc>
          <w:tcPr>
            <w:tcW w:type="dxa" w:w="2948"/>
          </w:tcPr>
          <w:p>
            <w:pPr>
              <w:spacing w:after="0" w:line="240" w:lineRule="auto"/>
            </w:pPr>
            <w:r>
              <w:rPr>
                <w:rFonts w:ascii="Calibri" w:hAnsi="Calibri" w:cs="Calibri" w:eastAsia="Calibri"/>
                <w:b w:val="0"/>
                <w:i w:val="0"/>
                <w:color w:val="1F2937"/>
                <w:sz w:val="17"/>
              </w:rPr>
              <w:t>DynamoDB (key-value), derived from the Dynamo design</w:t>
            </w:r>
          </w:p>
        </w:tc>
        <w:tc>
          <w:tcPr>
            <w:tcW w:type="dxa" w:w="4195"/>
          </w:tcPr>
          <w:p>
            <w:pPr>
              <w:spacing w:after="0" w:line="240" w:lineRule="auto"/>
            </w:pPr>
            <w:r>
              <w:rPr>
                <w:rFonts w:ascii="Calibri" w:hAnsi="Calibri" w:cs="Calibri" w:eastAsia="Calibri"/>
                <w:b w:val="0"/>
                <w:i w:val="0"/>
                <w:color w:val="1F2937"/>
                <w:sz w:val="17"/>
              </w:rPr>
              <w:t>Built so that services such as the shopping cart stay available under failures</w:t>
            </w:r>
          </w:p>
        </w:tc>
      </w:tr>
      <w:tr>
        <w:trPr>
          <w:cantSplit w:val="true"/>
        </w:trPr>
        <w:tc>
          <w:tcPr>
            <w:tcW w:type="dxa" w:w="2494"/>
            <w:shd w:val="clear" w:color="auto" w:fill="F7FAF8"/>
          </w:tcPr>
          <w:p>
            <w:pPr>
              <w:spacing w:after="0" w:line="240" w:lineRule="auto"/>
            </w:pPr>
            <w:r>
              <w:rPr>
                <w:rFonts w:ascii="Calibri" w:hAnsi="Calibri" w:cs="Calibri" w:eastAsia="Calibri"/>
                <w:b/>
                <w:i w:val="0"/>
                <w:color w:val="1F2937"/>
                <w:sz w:val="17"/>
              </w:rPr>
              <w:t>Content and catalogue platforms</w:t>
            </w:r>
          </w:p>
        </w:tc>
        <w:tc>
          <w:tcPr>
            <w:tcW w:type="dxa" w:w="2948"/>
            <w:shd w:val="clear" w:color="auto" w:fill="F7FAF8"/>
          </w:tcPr>
          <w:p>
            <w:pPr>
              <w:spacing w:after="0" w:line="240" w:lineRule="auto"/>
            </w:pPr>
            <w:r>
              <w:rPr>
                <w:rFonts w:ascii="Calibri" w:hAnsi="Calibri" w:cs="Calibri" w:eastAsia="Calibri"/>
                <w:b w:val="0"/>
                <w:i w:val="0"/>
                <w:color w:val="1F2937"/>
                <w:sz w:val="17"/>
              </w:rPr>
              <w:t>Document stores such as MongoDB</w:t>
            </w:r>
          </w:p>
        </w:tc>
        <w:tc>
          <w:tcPr>
            <w:tcW w:type="dxa" w:w="4195"/>
            <w:shd w:val="clear" w:color="auto" w:fill="F7FAF8"/>
          </w:tcPr>
          <w:p>
            <w:pPr>
              <w:spacing w:after="0" w:line="240" w:lineRule="auto"/>
            </w:pPr>
            <w:r>
              <w:rPr>
                <w:rFonts w:ascii="Calibri" w:hAnsi="Calibri" w:cs="Calibri" w:eastAsia="Calibri"/>
                <w:b w:val="0"/>
                <w:i w:val="0"/>
                <w:color w:val="1F2937"/>
                <w:sz w:val="17"/>
              </w:rPr>
              <w:t>Items have varying attributes; flexible schema speeds development</w:t>
            </w:r>
          </w:p>
        </w:tc>
      </w:tr>
      <w:tr>
        <w:trPr>
          <w:cantSplit w:val="true"/>
        </w:trPr>
        <w:tc>
          <w:tcPr>
            <w:tcW w:type="dxa" w:w="2494"/>
          </w:tcPr>
          <w:p>
            <w:pPr>
              <w:spacing w:after="0" w:line="240" w:lineRule="auto"/>
            </w:pPr>
            <w:r>
              <w:rPr>
                <w:rFonts w:ascii="Calibri" w:hAnsi="Calibri" w:cs="Calibri" w:eastAsia="Calibri"/>
                <w:b/>
                <w:i w:val="0"/>
                <w:color w:val="1F2937"/>
                <w:sz w:val="17"/>
              </w:rPr>
              <w:t>Fraud detection and recommendations</w:t>
            </w:r>
          </w:p>
        </w:tc>
        <w:tc>
          <w:tcPr>
            <w:tcW w:type="dxa" w:w="2948"/>
          </w:tcPr>
          <w:p>
            <w:pPr>
              <w:spacing w:after="0" w:line="240" w:lineRule="auto"/>
            </w:pPr>
            <w:r>
              <w:rPr>
                <w:rFonts w:ascii="Calibri" w:hAnsi="Calibri" w:cs="Calibri" w:eastAsia="Calibri"/>
                <w:b w:val="0"/>
                <w:i w:val="0"/>
                <w:color w:val="1F2937"/>
                <w:sz w:val="17"/>
              </w:rPr>
              <w:t>Graph databases such as Neo4j</w:t>
            </w:r>
          </w:p>
        </w:tc>
        <w:tc>
          <w:tcPr>
            <w:tcW w:type="dxa" w:w="4195"/>
          </w:tcPr>
          <w:p>
            <w:pPr>
              <w:spacing w:after="0" w:line="240" w:lineRule="auto"/>
            </w:pPr>
            <w:r>
              <w:rPr>
                <w:rFonts w:ascii="Calibri" w:hAnsi="Calibri" w:cs="Calibri" w:eastAsia="Calibri"/>
                <w:b w:val="0"/>
                <w:i w:val="0"/>
                <w:color w:val="1F2937"/>
                <w:sz w:val="17"/>
              </w:rPr>
              <w:t>Relationship traversal is faster than many-way SQL joins</w:t>
            </w:r>
          </w:p>
        </w:tc>
      </w:tr>
      <w:tr>
        <w:trPr>
          <w:cantSplit w:val="true"/>
        </w:trPr>
        <w:tc>
          <w:tcPr>
            <w:tcW w:type="dxa" w:w="2494"/>
            <w:shd w:val="clear" w:color="auto" w:fill="F7FAF8"/>
          </w:tcPr>
          <w:p>
            <w:pPr>
              <w:spacing w:after="0" w:line="240" w:lineRule="auto"/>
            </w:pPr>
            <w:r>
              <w:rPr>
                <w:rFonts w:ascii="Calibri" w:hAnsi="Calibri" w:cs="Calibri" w:eastAsia="Calibri"/>
                <w:b/>
                <w:i w:val="0"/>
                <w:color w:val="1F2937"/>
                <w:sz w:val="17"/>
              </w:rPr>
              <w:t>Smart grids and IoT</w:t>
            </w:r>
          </w:p>
        </w:tc>
        <w:tc>
          <w:tcPr>
            <w:tcW w:type="dxa" w:w="2948"/>
            <w:shd w:val="clear" w:color="auto" w:fill="F7FAF8"/>
          </w:tcPr>
          <w:p>
            <w:pPr>
              <w:spacing w:after="0" w:line="240" w:lineRule="auto"/>
            </w:pPr>
            <w:r>
              <w:rPr>
                <w:rFonts w:ascii="Calibri" w:hAnsi="Calibri" w:cs="Calibri" w:eastAsia="Calibri"/>
                <w:b w:val="0"/>
                <w:i w:val="0"/>
                <w:color w:val="1F2937"/>
                <w:sz w:val="17"/>
              </w:rPr>
              <w:t>Time-series stores (InfluxDB, TimescaleDB)</w:t>
            </w:r>
          </w:p>
        </w:tc>
        <w:tc>
          <w:tcPr>
            <w:tcW w:type="dxa" w:w="4195"/>
            <w:shd w:val="clear" w:color="auto" w:fill="F7FAF8"/>
          </w:tcPr>
          <w:p>
            <w:pPr>
              <w:spacing w:after="0" w:line="240" w:lineRule="auto"/>
            </w:pPr>
            <w:r>
              <w:rPr>
                <w:rFonts w:ascii="Calibri" w:hAnsi="Calibri" w:cs="Calibri" w:eastAsia="Calibri"/>
                <w:b w:val="0"/>
                <w:i w:val="0"/>
                <w:color w:val="1F2937"/>
                <w:sz w:val="17"/>
              </w:rPr>
              <w:t>Millions of timestamped readings need fast ingestion and time-window queries</w:t>
            </w:r>
          </w:p>
        </w:tc>
      </w:tr>
    </w:tbl>
    <w:p>
      <w:pPr>
        <w:spacing w:after="80" w:line="144" w:lineRule="auto"/>
      </w:pPr>
    </w:p>
    <w:p>
      <w:pPr>
        <w:pStyle w:val="Heading1"/>
        <w:pBdr>
          <w:bottom w:val="single" w:sz="6" w:space="3" w:color="BFD5CA"/>
        </w:pBdr>
      </w:pPr>
      <w:r>
        <w:t>7. Recommendation for the ESG Assessment System</w:t>
      </w:r>
    </w:p>
    <w:p>
      <w:pPr>
        <w:jc w:val="both"/>
      </w:pPr>
      <w:r>
        <w:t xml:space="preserve">The core of the system (departments, facilities, indicators, assessments, results and initiatives) is </w:t>
      </w:r>
      <w:r>
        <w:rPr>
          <w:b/>
        </w:rPr>
        <w:t>structured, highly interrelated, moderate in size and audit-critical</w:t>
      </w:r>
      <w:r>
        <w:t xml:space="preserve">. Its important outputs are multi-table reports and summary statistics. A </w:t>
      </w:r>
      <w:r>
        <w:rPr>
          <w:b/>
        </w:rPr>
        <w:t>relational database (MySQL)</w:t>
      </w:r>
      <w:r>
        <w:t xml:space="preserve"> is therefore the right system of record. A NoSQL component is justified only for the optional future data that does not fit the relational model well:</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175"/>
            <w:shd w:val="clear" w:color="auto" w:fill="DDEBE4"/>
          </w:tcPr>
          <w:p>
            <w:pPr>
              <w:keepNext/>
              <w:spacing w:after="0"/>
            </w:pPr>
            <w:r>
              <w:rPr>
                <w:rFonts w:ascii="Calibri" w:hAnsi="Calibri" w:cs="Calibri" w:eastAsia="Calibri"/>
                <w:b/>
                <w:color w:val="1F6F50"/>
                <w:sz w:val="17"/>
              </w:rPr>
              <w:t>Component</w:t>
            </w:r>
          </w:p>
        </w:tc>
        <w:tc>
          <w:tcPr>
            <w:tcW w:type="dxa" w:w="3175"/>
            <w:shd w:val="clear" w:color="auto" w:fill="DDEBE4"/>
          </w:tcPr>
          <w:p>
            <w:pPr>
              <w:keepNext/>
              <w:spacing w:after="0"/>
            </w:pPr>
            <w:r>
              <w:rPr>
                <w:rFonts w:ascii="Calibri" w:hAnsi="Calibri" w:cs="Calibri" w:eastAsia="Calibri"/>
                <w:b/>
                <w:color w:val="1F6F50"/>
                <w:sz w:val="17"/>
              </w:rPr>
              <w:t>Recommended technology</w:t>
            </w:r>
          </w:p>
        </w:tc>
        <w:tc>
          <w:tcPr>
            <w:tcW w:type="dxa" w:w="3288"/>
            <w:shd w:val="clear" w:color="auto" w:fill="DDEBE4"/>
          </w:tcPr>
          <w:p>
            <w:pPr>
              <w:keepNext/>
              <w:spacing w:after="0"/>
            </w:pPr>
            <w:r>
              <w:rPr>
                <w:rFonts w:ascii="Calibri" w:hAnsi="Calibri" w:cs="Calibri" w:eastAsia="Calibri"/>
                <w:b/>
                <w:color w:val="1F6F50"/>
                <w:sz w:val="17"/>
              </w:rPr>
              <w:t>Reason</w:t>
            </w:r>
          </w:p>
        </w:tc>
      </w:tr>
      <w:tr>
        <w:trPr>
          <w:cantSplit w:val="true"/>
        </w:trPr>
        <w:tc>
          <w:tcPr>
            <w:tcW w:type="dxa" w:w="3175"/>
          </w:tcPr>
          <w:p>
            <w:pPr>
              <w:spacing w:after="0" w:line="240" w:lineRule="auto"/>
            </w:pPr>
            <w:r>
              <w:rPr>
                <w:rFonts w:ascii="Calibri" w:hAnsi="Calibri" w:cs="Calibri" w:eastAsia="Calibri"/>
                <w:b/>
                <w:i w:val="0"/>
                <w:color w:val="1F2937"/>
                <w:sz w:val="17"/>
              </w:rPr>
              <w:t>Master data, assessments, results, initiatives</w:t>
            </w:r>
          </w:p>
        </w:tc>
        <w:tc>
          <w:tcPr>
            <w:tcW w:type="dxa" w:w="3175"/>
          </w:tcPr>
          <w:p>
            <w:pPr>
              <w:spacing w:after="0" w:line="240" w:lineRule="auto"/>
            </w:pPr>
            <w:r>
              <w:rPr>
                <w:rFonts w:ascii="Calibri" w:hAnsi="Calibri" w:cs="Calibri" w:eastAsia="Calibri"/>
                <w:b w:val="0"/>
                <w:i w:val="0"/>
                <w:color w:val="1F2937"/>
                <w:sz w:val="17"/>
              </w:rPr>
              <w:t>MySQL (RDBMS)</w:t>
            </w:r>
          </w:p>
        </w:tc>
        <w:tc>
          <w:tcPr>
            <w:tcW w:type="dxa" w:w="3288"/>
          </w:tcPr>
          <w:p>
            <w:pPr>
              <w:spacing w:after="0" w:line="240" w:lineRule="auto"/>
            </w:pPr>
            <w:r>
              <w:rPr>
                <w:rFonts w:ascii="Calibri" w:hAnsi="Calibri" w:cs="Calibri" w:eastAsia="Calibri"/>
                <w:b w:val="0"/>
                <w:i w:val="0"/>
                <w:color w:val="1F2937"/>
                <w:sz w:val="17"/>
              </w:rPr>
              <w:t>ACID, foreign keys, constraints, SQL reporting</w:t>
            </w:r>
          </w:p>
        </w:tc>
      </w:tr>
      <w:tr>
        <w:trPr>
          <w:cantSplit w:val="true"/>
        </w:trPr>
        <w:tc>
          <w:tcPr>
            <w:tcW w:type="dxa" w:w="3175"/>
            <w:shd w:val="clear" w:color="auto" w:fill="F7FAF8"/>
          </w:tcPr>
          <w:p>
            <w:pPr>
              <w:spacing w:after="0" w:line="240" w:lineRule="auto"/>
            </w:pPr>
            <w:r>
              <w:rPr>
                <w:rFonts w:ascii="Calibri" w:hAnsi="Calibri" w:cs="Calibri" w:eastAsia="Calibri"/>
                <w:b/>
                <w:i w:val="0"/>
                <w:color w:val="1F2937"/>
                <w:sz w:val="17"/>
              </w:rPr>
              <w:t>Live smart-meter / sensor readings (future)</w:t>
            </w:r>
          </w:p>
        </w:tc>
        <w:tc>
          <w:tcPr>
            <w:tcW w:type="dxa" w:w="3175"/>
            <w:shd w:val="clear" w:color="auto" w:fill="F7FAF8"/>
          </w:tcPr>
          <w:p>
            <w:pPr>
              <w:spacing w:after="0" w:line="240" w:lineRule="auto"/>
            </w:pPr>
            <w:r>
              <w:rPr>
                <w:rFonts w:ascii="Calibri" w:hAnsi="Calibri" w:cs="Calibri" w:eastAsia="Calibri"/>
                <w:b w:val="0"/>
                <w:i w:val="0"/>
                <w:color w:val="1F2937"/>
                <w:sz w:val="17"/>
              </w:rPr>
              <w:t>Time-series or wide-column store</w:t>
            </w:r>
          </w:p>
        </w:tc>
        <w:tc>
          <w:tcPr>
            <w:tcW w:type="dxa" w:w="3288"/>
            <w:shd w:val="clear" w:color="auto" w:fill="F7FAF8"/>
          </w:tcPr>
          <w:p>
            <w:pPr>
              <w:spacing w:after="0" w:line="240" w:lineRule="auto"/>
            </w:pPr>
            <w:r>
              <w:rPr>
                <w:rFonts w:ascii="Calibri" w:hAnsi="Calibri" w:cs="Calibri" w:eastAsia="Calibri"/>
                <w:b w:val="0"/>
                <w:i w:val="0"/>
                <w:color w:val="1F2937"/>
                <w:sz w:val="17"/>
              </w:rPr>
              <w:t>About 263 million readings per year; write-heavy</w:t>
            </w:r>
          </w:p>
        </w:tc>
      </w:tr>
      <w:tr>
        <w:trPr>
          <w:cantSplit w:val="true"/>
        </w:trPr>
        <w:tc>
          <w:tcPr>
            <w:tcW w:type="dxa" w:w="3175"/>
          </w:tcPr>
          <w:p>
            <w:pPr>
              <w:spacing w:after="0" w:line="240" w:lineRule="auto"/>
            </w:pPr>
            <w:r>
              <w:rPr>
                <w:rFonts w:ascii="Calibri" w:hAnsi="Calibri" w:cs="Calibri" w:eastAsia="Calibri"/>
                <w:b/>
                <w:i w:val="0"/>
                <w:color w:val="1F2937"/>
                <w:sz w:val="17"/>
              </w:rPr>
              <w:t>Evidence files and free-form inspection notes (future)</w:t>
            </w:r>
          </w:p>
        </w:tc>
        <w:tc>
          <w:tcPr>
            <w:tcW w:type="dxa" w:w="3175"/>
          </w:tcPr>
          <w:p>
            <w:pPr>
              <w:spacing w:after="0" w:line="240" w:lineRule="auto"/>
            </w:pPr>
            <w:r>
              <w:rPr>
                <w:rFonts w:ascii="Calibri" w:hAnsi="Calibri" w:cs="Calibri" w:eastAsia="Calibri"/>
                <w:b w:val="0"/>
                <w:i w:val="0"/>
                <w:color w:val="1F2937"/>
                <w:sz w:val="17"/>
              </w:rPr>
              <w:t>Document store (e.g. MongoDB) or file storage with metadata in MySQL</w:t>
            </w:r>
          </w:p>
        </w:tc>
        <w:tc>
          <w:tcPr>
            <w:tcW w:type="dxa" w:w="3288"/>
          </w:tcPr>
          <w:p>
            <w:pPr>
              <w:spacing w:after="0" w:line="240" w:lineRule="auto"/>
            </w:pPr>
            <w:r>
              <w:rPr>
                <w:rFonts w:ascii="Calibri" w:hAnsi="Calibri" w:cs="Calibri" w:eastAsia="Calibri"/>
                <w:b w:val="0"/>
                <w:i w:val="0"/>
                <w:color w:val="1F2937"/>
                <w:sz w:val="17"/>
              </w:rPr>
              <w:t>Varying structure per inspection</w:t>
            </w:r>
          </w:p>
        </w:tc>
      </w:tr>
      <w:tr>
        <w:trPr>
          <w:cantSplit w:val="true"/>
        </w:trPr>
        <w:tc>
          <w:tcPr>
            <w:tcW w:type="dxa" w:w="3175"/>
            <w:shd w:val="clear" w:color="auto" w:fill="F7FAF8"/>
          </w:tcPr>
          <w:p>
            <w:pPr>
              <w:spacing w:after="0" w:line="240" w:lineRule="auto"/>
            </w:pPr>
            <w:r>
              <w:rPr>
                <w:rFonts w:ascii="Calibri" w:hAnsi="Calibri" w:cs="Calibri" w:eastAsia="Calibri"/>
                <w:b/>
                <w:i w:val="0"/>
                <w:color w:val="1F2937"/>
                <w:sz w:val="17"/>
              </w:rPr>
              <w:t>Dashboard cache (future)</w:t>
            </w:r>
          </w:p>
        </w:tc>
        <w:tc>
          <w:tcPr>
            <w:tcW w:type="dxa" w:w="3175"/>
            <w:shd w:val="clear" w:color="auto" w:fill="F7FAF8"/>
          </w:tcPr>
          <w:p>
            <w:pPr>
              <w:spacing w:after="0" w:line="240" w:lineRule="auto"/>
            </w:pPr>
            <w:r>
              <w:rPr>
                <w:rFonts w:ascii="Calibri" w:hAnsi="Calibri" w:cs="Calibri" w:eastAsia="Calibri"/>
                <w:b w:val="0"/>
                <w:i w:val="0"/>
                <w:color w:val="1F2937"/>
                <w:sz w:val="17"/>
              </w:rPr>
              <w:t>Key-value store (e.g. Redis)</w:t>
            </w:r>
          </w:p>
        </w:tc>
        <w:tc>
          <w:tcPr>
            <w:tcW w:type="dxa" w:w="3288"/>
            <w:shd w:val="clear" w:color="auto" w:fill="F7FAF8"/>
          </w:tcPr>
          <w:p>
            <w:pPr>
              <w:spacing w:after="0" w:line="240" w:lineRule="auto"/>
            </w:pPr>
            <w:r>
              <w:rPr>
                <w:rFonts w:ascii="Calibri" w:hAnsi="Calibri" w:cs="Calibri" w:eastAsia="Calibri"/>
                <w:b w:val="0"/>
                <w:i w:val="0"/>
                <w:color w:val="1F2937"/>
                <w:sz w:val="17"/>
              </w:rPr>
              <w:t>Fast repeated reads of summary scores</w:t>
            </w:r>
          </w:p>
        </w:tc>
      </w:tr>
    </w:tbl>
    <w:p>
      <w:pPr>
        <w:spacing w:after="80" w:line="144" w:lineRule="auto"/>
      </w:pPr>
    </w:p>
    <w:p>
      <w:pPr>
        <w:jc w:val="both"/>
      </w:pPr>
      <w:r>
        <w:t xml:space="preserve">This hybrid approach is called </w:t>
      </w:r>
      <w:r>
        <w:rPr>
          <w:b/>
        </w:rPr>
        <w:t>polyglot persistence</w:t>
      </w:r>
      <w:r>
        <w:t xml:space="preserve">. Sensor data would be aggregated (for example into monthly averages) and written into the relational </w:t>
      </w:r>
      <w:r>
        <w:rPr>
          <w:rFonts w:ascii="Consolas" w:hAnsi="Consolas" w:cs="Consolas" w:eastAsia="Consolas"/>
          <w:color w:val="0B5C44"/>
          <w:sz w:val="19"/>
        </w:rPr>
        <w:t>assessment_result</w:t>
      </w:r>
      <w:r>
        <w:t xml:space="preserve"> table, so the official ESG scores always come from the consistent relational store.</w:t>
      </w:r>
    </w:p>
    <w:p>
      <w:pPr>
        <w:pStyle w:val="Heading1"/>
        <w:pBdr>
          <w:bottom w:val="single" w:sz="6" w:space="3" w:color="BFD5CA"/>
        </w:pBdr>
      </w:pPr>
      <w:r>
        <w:t>8. Conclusion</w:t>
      </w:r>
    </w:p>
    <w:p>
      <w:pPr>
        <w:jc w:val="both"/>
      </w:pPr>
      <w:r>
        <w:t>Relational databases offer strong consistency, enforced integrity and powerful SQL reporting; NoSQL databases offer flexible schemas and effortless horizontal scale for very large or irregular data. For the Campus Sustainability and ESG Assessment System, correctness, relationships and reporting dominate, so a relational design is chosen and implemented in the following assignments, while NoSQL remains a sensible extension for high-volume sensor and document data.</w:t>
      </w:r>
    </w:p>
    <w:p>
      <w:pPr>
        <w:pStyle w:val="Heading1"/>
        <w:pBdr>
          <w:bottom w:val="single" w:sz="6" w:space="3" w:color="BFD5CA"/>
        </w:pBdr>
      </w:pPr>
      <w:r>
        <w:t>References</w:t>
      </w:r>
    </w:p>
    <w:p>
      <w:pPr>
        <w:pStyle w:val="ListBullet"/>
      </w:pPr>
      <w:r>
        <w:rPr>
          <w:sz w:val="20"/>
        </w:rPr>
        <w:t>Codd, E. F. (1970). A relational model of data for large shared data banks. Communications of the ACM, 13(6).</w:t>
      </w:r>
    </w:p>
    <w:p>
      <w:pPr>
        <w:pStyle w:val="ListBullet"/>
      </w:pPr>
      <w:r>
        <w:rPr>
          <w:sz w:val="20"/>
        </w:rPr>
        <w:t>Brewer, E. (2000). Towards robust distributed systems. Keynote, ACM PODC.</w:t>
      </w:r>
    </w:p>
    <w:p>
      <w:pPr>
        <w:pStyle w:val="ListBullet"/>
      </w:pPr>
      <w:r>
        <w:rPr>
          <w:sz w:val="20"/>
        </w:rPr>
        <w:t>Gilbert, S. and Lynch, N. (2002). Brewer's conjecture and the feasibility of consistent, available, partition-tolerant web services. ACM SIGACT News, 33(2).</w:t>
      </w:r>
    </w:p>
    <w:p>
      <w:pPr>
        <w:pStyle w:val="ListBullet"/>
      </w:pPr>
      <w:r>
        <w:rPr>
          <w:sz w:val="20"/>
        </w:rPr>
        <w:t>DeCandia, G. et al. (2007). Dynamo: Amazon's highly available key-value store. ACM SOSP.</w:t>
      </w:r>
    </w:p>
    <w:p>
      <w:pPr>
        <w:pStyle w:val="ListBullet"/>
      </w:pPr>
      <w:r>
        <w:rPr>
          <w:sz w:val="20"/>
        </w:rPr>
        <w:t>Elmasri, R. and Navathe, S. B. Fundamentals of Database Systems. Pearson.</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Note: </w:t>
      </w:r>
      <w:r>
        <w:rPr>
          <w:sz w:val="20"/>
        </w:rPr>
        <w:t>The SQL output in Section 5.3 was produced by executing the query on a test database that holds the sample data of Assignment 7. The MongoDB snippets are illustrative and were not executed.</w:t>
      </w:r>
    </w:p>
    <w:sectPr w:rsidR="00FC693F" w:rsidRPr="0006063C" w:rsidSect="00034616">
      <w:headerReference w:type="default" r:id="rId9"/>
      <w:footerReference w:type="default" r:id="rId10"/>
      <w:pgSz w:w="11906" w:h="16838"/>
      <w:pgMar w:top="1134" w:right="1134" w:bottom="107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Fabian Brice Rodrigues  |  Bachelor of Computer Applications  |  Alliance University   -   Page </w:t>
    </w:r>
    <w:r>
      <w:rPr>
        <w:rFonts w:ascii="Calibri" w:hAnsi="Calibri" w:cs="Calibri" w:eastAsia="Calibri"/>
        <w:color w:val="6B7280"/>
        <w:sz w:val="17"/>
      </w:rPr>
      <w:fldChar w:fldCharType="begin"/>
    </w:r>
    <w:r>
      <w:rPr>
        <w:rFonts w:ascii="Calibri" w:hAnsi="Calibri" w:cs="Calibri" w:eastAsia="Calibri"/>
        <w:color w:val="6B7280"/>
        <w:sz w:val="17"/>
      </w:rPr>
      <w:instrText xml:space="preserve"> PAGE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r>
      <w:rPr>
        <w:rFonts w:ascii="Calibri" w:hAnsi="Calibri" w:cs="Calibri" w:eastAsia="Calibri"/>
        <w:color w:val="6B7280"/>
        <w:sz w:val="17"/>
      </w:rPr>
      <w:t xml:space="preserve"> of </w:t>
    </w:r>
    <w:r>
      <w:rPr>
        <w:rFonts w:ascii="Calibri" w:hAnsi="Calibri" w:cs="Calibri" w:eastAsia="Calibri"/>
        <w:color w:val="6B7280"/>
        <w:sz w:val="17"/>
      </w:rPr>
      <w:fldChar w:fldCharType="begin"/>
    </w:r>
    <w:r>
      <w:rPr>
        <w:rFonts w:ascii="Calibri" w:hAnsi="Calibri" w:cs="Calibri" w:eastAsia="Calibri"/>
        <w:color w:val="6B7280"/>
        <w:sz w:val="17"/>
      </w:rPr>
      <w:instrText xml:space="preserve"> NUMPAGES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3CE"/>
      </w:pBdr>
    </w:pPr>
    <w:r>
      <w:rPr>
        <w:rFonts w:ascii="Calibri" w:hAnsi="Calibri" w:cs="Calibri" w:eastAsia="Calibri"/>
        <w:color w:val="6B7280"/>
        <w:sz w:val="17"/>
      </w:rPr>
      <w:t>Assignment 4 - RDBMS vs. NoSQL  |  Campus Sustainability and ESG Assessment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1F6F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cs="Calibri" w:eastAsia="Calibri"/>
      <w:b/>
      <w:bCs/>
      <w:color w:val="1F6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Relational Database vs. NoSQL Database</dc:title>
  <dc:subject>Campus Sustainability and ESG Assessment System</dc:subject>
  <dc:creator>Fabian Brice Rodrigues</dc:creator>
  <cp:keywords>DBMS, SQL, ESG, Campus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