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color w:val="17365D"/>
          <w:sz w:val="44"/>
        </w:rPr>
        <w:t>STANDAR OPERASIONAL PROSEDUR</w:t>
      </w:r>
    </w:p>
    <w:p>
      <w:pPr>
        <w:jc w:val="center"/>
      </w:pPr>
      <w:r>
        <w:rPr>
          <w:rFonts w:ascii="Liberation Sans" w:hAnsi="Liberation Sans"/>
          <w:b/>
          <w:color w:val="2F75B5"/>
          <w:sz w:val="24"/>
        </w:rPr>
        <w:t>Koordinasi dan Pelaksanaan Persidangan Pidana Umum dan Pidana Khusus Secara Elektronik dengan Dukungan CIMS</w:t>
      </w:r>
    </w:p>
    <w:p/>
    <w:tbl>
      <w:tblPr>
        <w:tblW w:type="auto" w:w="0"/>
        <w:jc w:val="center"/>
        <w:tblLayout w:type="fixed"/>
        <w:tblLook w:firstColumn="1" w:firstRow="1" w:lastColumn="0" w:lastRow="0" w:noHBand="0" w:noVBand="1" w:val="04A0"/>
      </w:tblPr>
      <w:tblGrid>
        <w:gridCol w:w="2835"/>
        <w:gridCol w:w="5102"/>
      </w:tblGrid>
      <w:tr>
        <w:trPr>
          <w:cantSplit/>
        </w:trPr>
        <w:tc>
          <w:tcPr>
            <w:tcW w:type="dxa" w:w="4933"/>
            <w:vAlign w:val="center"/>
            <w:tcMar>
              <w:top w:w="80" w:type="dxa"/>
              <w:start w:w="100" w:type="dxa"/>
              <w:bottom w:w="80" w:type="dxa"/>
              <w:end w:w="100" w:type="dxa"/>
            </w:tcMar>
            <w:shd w:fill="D9EAF7"/>
          </w:tcPr>
          <w:p>
            <w:pPr>
              <w:spacing w:after="0" w:before="0"/>
              <w:jc w:val="left"/>
            </w:pPr>
            <w:r/>
            <w:r>
              <w:rPr>
                <w:rFonts w:ascii="Liberation Sans" w:hAnsi="Liberation Sans" w:eastAsia="Liberation Sans"/>
                <w:b/>
                <w:color w:val="17365D"/>
                <w:sz w:val="20"/>
              </w:rPr>
              <w:t>Nama Dokumen</w:t>
            </w:r>
          </w:p>
        </w:tc>
        <w:tc>
          <w:tcPr>
            <w:tcW w:type="dxa" w:w="493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20"/>
              </w:rPr>
              <w:t>STANDAR OPERASIONAL PROSEDUR</w:t>
            </w:r>
          </w:p>
        </w:tc>
      </w:tr>
      <w:tr>
        <w:trPr>
          <w:cantSplit/>
        </w:trPr>
        <w:tc>
          <w:tcPr>
            <w:tcW w:type="dxa" w:w="4933"/>
            <w:vAlign w:val="center"/>
            <w:tcMar>
              <w:top w:w="80" w:type="dxa"/>
              <w:start w:w="100" w:type="dxa"/>
              <w:bottom w:w="80" w:type="dxa"/>
              <w:end w:w="100" w:type="dxa"/>
            </w:tcMar>
            <w:shd w:fill="D9EAF7"/>
          </w:tcPr>
          <w:p>
            <w:pPr>
              <w:spacing w:after="0" w:before="0"/>
              <w:jc w:val="left"/>
            </w:pPr>
            <w:r/>
            <w:r>
              <w:rPr>
                <w:rFonts w:ascii="Liberation Sans" w:hAnsi="Liberation Sans" w:eastAsia="Liberation Sans"/>
                <w:b/>
                <w:color w:val="17365D"/>
                <w:sz w:val="20"/>
              </w:rPr>
              <w:t>Versi</w:t>
            </w:r>
          </w:p>
        </w:tc>
        <w:tc>
          <w:tcPr>
            <w:tcW w:type="dxa" w:w="493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20"/>
              </w:rPr>
              <w:t>Versi 2.0</w:t>
            </w:r>
          </w:p>
        </w:tc>
      </w:tr>
      <w:tr>
        <w:trPr>
          <w:cantSplit/>
        </w:trPr>
        <w:tc>
          <w:tcPr>
            <w:tcW w:type="dxa" w:w="4933"/>
            <w:vAlign w:val="center"/>
            <w:tcMar>
              <w:top w:w="80" w:type="dxa"/>
              <w:start w:w="100" w:type="dxa"/>
              <w:bottom w:w="80" w:type="dxa"/>
              <w:end w:w="100" w:type="dxa"/>
            </w:tcMar>
            <w:shd w:fill="D9EAF7"/>
          </w:tcPr>
          <w:p>
            <w:pPr>
              <w:spacing w:after="0" w:before="0"/>
              <w:jc w:val="left"/>
            </w:pPr>
            <w:r/>
            <w:r>
              <w:rPr>
                <w:rFonts w:ascii="Liberation Sans" w:hAnsi="Liberation Sans" w:eastAsia="Liberation Sans"/>
                <w:b/>
                <w:color w:val="17365D"/>
                <w:sz w:val="20"/>
              </w:rPr>
              <w:t>Status</w:t>
            </w:r>
          </w:p>
        </w:tc>
        <w:tc>
          <w:tcPr>
            <w:tcW w:type="dxa" w:w="493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20"/>
              </w:rPr>
              <w:t>Draft untuk Validasi dan Pengesahan</w:t>
            </w:r>
          </w:p>
        </w:tc>
      </w:tr>
      <w:tr>
        <w:trPr>
          <w:cantSplit/>
        </w:trPr>
        <w:tc>
          <w:tcPr>
            <w:tcW w:type="dxa" w:w="4933"/>
            <w:vAlign w:val="center"/>
            <w:tcMar>
              <w:top w:w="80" w:type="dxa"/>
              <w:start w:w="100" w:type="dxa"/>
              <w:bottom w:w="80" w:type="dxa"/>
              <w:end w:w="100" w:type="dxa"/>
            </w:tcMar>
            <w:shd w:fill="D9EAF7"/>
          </w:tcPr>
          <w:p>
            <w:pPr>
              <w:spacing w:after="0" w:before="0"/>
              <w:jc w:val="left"/>
            </w:pPr>
            <w:r/>
            <w:r>
              <w:rPr>
                <w:rFonts w:ascii="Liberation Sans" w:hAnsi="Liberation Sans" w:eastAsia="Liberation Sans"/>
                <w:b/>
                <w:color w:val="17365D"/>
                <w:sz w:val="20"/>
              </w:rPr>
              <w:t>Tanggal Penyusunan</w:t>
            </w:r>
          </w:p>
        </w:tc>
        <w:tc>
          <w:tcPr>
            <w:tcW w:type="dxa" w:w="493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20"/>
              </w:rPr>
              <w:t>Juli 2026</w:t>
            </w:r>
          </w:p>
        </w:tc>
      </w:tr>
    </w:tbl>
    <w:p/>
    <w:p>
      <w:pPr>
        <w:pStyle w:val="SmallNote"/>
        <w:jc w:val="center"/>
      </w:pPr>
      <w:r>
        <w:t>Dokumen ini harus melalui validasi hukum, keamanan informasi, kesepakatan lintas instansi, dan pengesahan pejabat berwenang sebelum diberlakukan.</w:t>
      </w:r>
    </w:p>
    <w:p>
      <w:r>
        <w:br w:type="page"/>
      </w:r>
    </w:p>
    <w:p>
      <w:pPr>
        <w:pStyle w:val="Heading1"/>
      </w:pPr>
      <w:r>
        <w:t>PENGENDALIAN DOKUMEN</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1984"/>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8"/>
              </w:rPr>
              <w:t>Tahap</w:t>
            </w:r>
          </w:p>
        </w:tc>
        <w:tc>
          <w:tcPr>
            <w:tcW w:type="dxa" w:w="5102"/>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8"/>
              </w:rPr>
              <w:t>Penanggung Jawab</w:t>
            </w:r>
          </w:p>
        </w:tc>
        <w:tc>
          <w:tcPr>
            <w:tcW w:type="dxa" w:w="2268"/>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8"/>
              </w:rPr>
              <w:t>Paraf/Tanggal</w:t>
            </w:r>
          </w:p>
        </w:tc>
      </w:tr>
      <w:tr>
        <w:trPr>
          <w:cantSplit/>
        </w:trPr>
        <w:tc>
          <w:tcPr>
            <w:tcW w:type="dxa" w:w="198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8"/>
              </w:rPr>
              <w:t>Disusun oleh</w:t>
            </w:r>
          </w:p>
        </w:tc>
        <w:tc>
          <w:tcPr>
            <w:tcW w:type="dxa" w:w="510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8"/>
              </w:rPr>
              <w:t>Tim Penyusun CIMS</w:t>
            </w:r>
          </w:p>
        </w:tc>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8"/>
              </w:rPr>
              <w:t>Tanggal: __________</w:t>
            </w:r>
          </w:p>
        </w:tc>
      </w:tr>
      <w:tr>
        <w:trPr>
          <w:cantSplit/>
        </w:trPr>
        <w:tc>
          <w:tcPr>
            <w:tcW w:type="dxa" w:w="198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8"/>
              </w:rPr>
              <w:t>Diverifikasi hukum</w:t>
            </w:r>
          </w:p>
        </w:tc>
        <w:tc>
          <w:tcPr>
            <w:tcW w:type="dxa" w:w="51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8"/>
              </w:rPr>
              <w:t>Unit Hukum masing-masing instansi</w:t>
            </w:r>
          </w:p>
        </w:tc>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8"/>
              </w:rPr>
              <w:t>Tanggal: __________</w:t>
            </w:r>
          </w:p>
        </w:tc>
      </w:tr>
      <w:tr>
        <w:trPr>
          <w:cantSplit/>
        </w:trPr>
        <w:tc>
          <w:tcPr>
            <w:tcW w:type="dxa" w:w="198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8"/>
              </w:rPr>
              <w:t>Diverifikasi keamanan</w:t>
            </w:r>
          </w:p>
        </w:tc>
        <w:tc>
          <w:tcPr>
            <w:tcW w:type="dxa" w:w="510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8"/>
              </w:rPr>
              <w:t>Pejabat/Tim Keamanan Informasi</w:t>
            </w:r>
          </w:p>
        </w:tc>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8"/>
              </w:rPr>
              <w:t>Tanggal: __________</w:t>
            </w:r>
          </w:p>
        </w:tc>
      </w:tr>
      <w:tr>
        <w:trPr>
          <w:cantSplit/>
        </w:trPr>
        <w:tc>
          <w:tcPr>
            <w:tcW w:type="dxa" w:w="198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8"/>
              </w:rPr>
              <w:t>Disetujui</w:t>
            </w:r>
          </w:p>
        </w:tc>
        <w:tc>
          <w:tcPr>
            <w:tcW w:type="dxa" w:w="51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8"/>
              </w:rPr>
              <w:t>Pejabat berwenang lintas instansi</w:t>
            </w:r>
          </w:p>
        </w:tc>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8"/>
              </w:rPr>
              <w:t>Tanggal: __________</w:t>
            </w:r>
          </w:p>
        </w:tc>
      </w:tr>
    </w:tbl>
    <w:p>
      <w:pPr>
        <w:spacing w:after="20"/>
      </w:pPr>
    </w:p>
    <w:p>
      <w:pPr>
        <w:pStyle w:val="Heading1"/>
      </w:pPr>
      <w:r>
        <w:t>CATATAN KEDUDUKAN CIMS</w:t>
      </w:r>
    </w:p>
    <w:tbl>
      <w:tblPr>
        <w:tblW w:type="auto" w:w="0"/>
        <w:jc w:val="center"/>
        <w:tblLook w:firstColumn="1" w:firstRow="1" w:lastColumn="0" w:lastRow="0" w:noHBand="0" w:noVBand="1" w:val="04A0"/>
      </w:tblPr>
      <w:tblGrid>
        <w:gridCol w:w="9866"/>
      </w:tblGrid>
      <w:tr>
        <w:trPr>
          <w:cantSplit/>
        </w:trPr>
        <w:tc>
          <w:tcPr>
            <w:tcW w:type="dxa" w:w="9866"/>
            <w:shd w:fill="D9EAF7"/>
          </w:tcPr>
          <w:p>
            <w:pPr>
              <w:spacing w:after="60"/>
            </w:pPr>
            <w:r>
              <w:rPr>
                <w:rFonts w:ascii="Liberation Sans" w:hAnsi="Liberation Sans"/>
              </w:rPr>
            </w:r>
            <w:r>
              <w:rPr>
                <w:rFonts w:ascii="Liberation Sans" w:hAnsi="Liberation Sans"/>
                <w:b/>
                <w:color w:val="17365D"/>
                <w:sz w:val="21"/>
              </w:rPr>
              <w:t>Prinsip arsitektur dan kepatuhan</w:t>
            </w:r>
          </w:p>
          <w:p>
            <w:pPr>
              <w:pStyle w:val="BoxText"/>
            </w:pPr>
            <w:r>
              <w:rPr>
                <w:rFonts w:ascii="Liberation Sans" w:hAnsi="Liberation Sans"/>
              </w:rPr>
              <w:t>CIMS diposisikan sebagai lapisan koordinasi, orkestrasi proses, kesiapan operasional, notifikasi, monitoring, dan audit. CIMS tidak menggantikan Sistem Informasi Pengadilan, e-Berpadu, register resmi, penetapan hakim, berita acara persidangan, atau repositori resmi dokumen perkara. Penyimpanan dokumen atau rekaman dalam CIMS hanya dilakukan apabila terdapat kewenangan, integrasi resmi, klasifikasi data, pengendalian akses, dan kebijakan retensi yang telah disahkan.</w:t>
            </w:r>
          </w:p>
        </w:tc>
      </w:tr>
    </w:tbl>
    <w:p>
      <w:pPr>
        <w:spacing w:after="0"/>
      </w:pPr>
    </w:p>
    <w:p>
      <w:pPr>
        <w:pStyle w:val="Heading1"/>
      </w:pPr>
      <w:r>
        <w:t>1. IDENTITAS SOP</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2268"/>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8"/>
              </w:rPr>
              <w:t>Komponen</w:t>
            </w:r>
          </w:p>
        </w:tc>
        <w:tc>
          <w:tcPr>
            <w:tcW w:type="dxa" w:w="6803"/>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8"/>
              </w:rPr>
              <w:t>Keterangan</w:t>
            </w:r>
          </w:p>
        </w:tc>
      </w:tr>
      <w:tr>
        <w:trPr>
          <w:cantSplit/>
        </w:trPr>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8"/>
              </w:rPr>
              <w:t>Nama SOP</w:t>
            </w:r>
          </w:p>
        </w:tc>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8"/>
              </w:rPr>
              <w:t>Koordinasi dan Pelaksanaan Persidangan Pidana Umum dan Pidana Khusus Secara Elektronik</w:t>
            </w:r>
          </w:p>
        </w:tc>
      </w:tr>
      <w:tr>
        <w:trPr>
          <w:cantSplit/>
        </w:trPr>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8"/>
              </w:rPr>
              <w:t>Nomor Dokumen</w:t>
            </w:r>
          </w:p>
        </w:tc>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8"/>
              </w:rPr>
              <w:t>SOP/CIMS/PPE/001/2026</w:t>
            </w:r>
          </w:p>
        </w:tc>
      </w:tr>
      <w:tr>
        <w:trPr>
          <w:cantSplit/>
        </w:trPr>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8"/>
              </w:rPr>
              <w:t>Versi</w:t>
            </w:r>
          </w:p>
        </w:tc>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8"/>
              </w:rPr>
              <w:t>2.0</w:t>
            </w:r>
          </w:p>
        </w:tc>
      </w:tr>
      <w:tr>
        <w:trPr>
          <w:cantSplit/>
        </w:trPr>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8"/>
              </w:rPr>
              <w:t>Pemilik Proses</w:t>
            </w:r>
          </w:p>
        </w:tc>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8"/>
              </w:rPr>
              <w:t>Mahkamah Agung, Kejaksaan Republik Indonesia, dan Kementerian Imigrasi dan Pemasyarakatan sesuai kewenangan masing-masing</w:t>
            </w:r>
          </w:p>
        </w:tc>
      </w:tr>
      <w:tr>
        <w:trPr>
          <w:cantSplit/>
        </w:trPr>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8"/>
              </w:rPr>
              <w:t>Cakupan</w:t>
            </w:r>
          </w:p>
        </w:tc>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8"/>
              </w:rPr>
              <w:t>Pengadilan tingkat pertama dan tingkat banding, Kejaksaan, Rutan, Lapas, LPKA, LPAS, serta satuan kerja terkait</w:t>
            </w:r>
          </w:p>
        </w:tc>
      </w:tr>
      <w:tr>
        <w:trPr>
          <w:cantSplit/>
        </w:trPr>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8"/>
              </w:rPr>
              <w:t>Status</w:t>
            </w:r>
          </w:p>
        </w:tc>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8"/>
              </w:rPr>
              <w:t>Draft untuk validasi dan pengesahan</w:t>
            </w:r>
          </w:p>
        </w:tc>
      </w:tr>
      <w:tr>
        <w:trPr>
          <w:cantSplit/>
        </w:trPr>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8"/>
              </w:rPr>
              <w:t>Masa Tinjau</w:t>
            </w:r>
          </w:p>
        </w:tc>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8"/>
              </w:rPr>
              <w:t>Sekurang-kurangnya satu kali setiap tahun atau apabila terjadi perubahan peraturan, PKS, sistem, atau risiko</w:t>
            </w:r>
          </w:p>
        </w:tc>
      </w:tr>
    </w:tbl>
    <w:p>
      <w:pPr>
        <w:spacing w:after="20"/>
      </w:pPr>
    </w:p>
    <w:p>
      <w:pPr>
        <w:pStyle w:val="Heading1"/>
      </w:pPr>
      <w:r>
        <w:t>2. MAKSUD DAN TUJUAN</w:t>
      </w:r>
    </w:p>
    <w:p>
      <w:r>
        <w:t>SOP ini menjadi pedoman koordinasi lintas instansi dalam persiapan, penetapan, pemberitahuan, pelaksanaan, dokumentasi, pengamanan data, penanganan gangguan, serta monitoring persidangan pidana secara elektronik.</w:t>
      </w:r>
    </w:p>
    <w:p>
      <w:pPr>
        <w:pStyle w:val="ListBullet"/>
        <w:spacing w:after="40"/>
        <w:ind w:left="340" w:hanging="142"/>
      </w:pPr>
      <w:r>
        <w:rPr>
          <w:rFonts w:ascii="Liberation Sans" w:hAnsi="Liberation Sans"/>
          <w:sz w:val="20"/>
        </w:rPr>
        <w:t>Menjamin persidangan elektronik dilaksanakan berdasarkan penetapan hakim atau majelis hakim dan sesuai keadaan yang dibenarkan.</w:t>
      </w:r>
    </w:p>
    <w:p>
      <w:pPr>
        <w:pStyle w:val="ListBullet"/>
        <w:spacing w:after="40"/>
        <w:ind w:left="340" w:hanging="142"/>
      </w:pPr>
      <w:r>
        <w:rPr>
          <w:rFonts w:ascii="Liberation Sans" w:hAnsi="Liberation Sans"/>
          <w:sz w:val="20"/>
        </w:rPr>
        <w:t>Menjamin pembagian tanggung jawab antara Pengadilan, Kejaksaan, dan Pemasyarakatan dapat dilaksanakan secara jelas dan dapat diaudit.</w:t>
      </w:r>
    </w:p>
    <w:p>
      <w:pPr>
        <w:pStyle w:val="ListBullet"/>
        <w:spacing w:after="40"/>
        <w:ind w:left="340" w:hanging="142"/>
      </w:pPr>
      <w:r>
        <w:rPr>
          <w:rFonts w:ascii="Liberation Sans" w:hAnsi="Liberation Sans"/>
          <w:sz w:val="20"/>
        </w:rPr>
        <w:t>Menjamin hak terdakwa, advokat, saksi, ahli, penerjemah, korban, dan pihak lain tetap terlindungi.</w:t>
      </w:r>
    </w:p>
    <w:p>
      <w:pPr>
        <w:pStyle w:val="ListBullet"/>
        <w:spacing w:after="40"/>
        <w:ind w:left="340" w:hanging="142"/>
      </w:pPr>
      <w:r>
        <w:rPr>
          <w:rFonts w:ascii="Liberation Sans" w:hAnsi="Liberation Sans"/>
          <w:sz w:val="20"/>
        </w:rPr>
        <w:t>Menjamin pemberitahuan jadwal, perubahan jadwal, dan pembacaan putusan memiliki bukti pengiriman, penerimaan, serta tindak lanjut.</w:t>
      </w:r>
    </w:p>
    <w:p>
      <w:pPr>
        <w:pStyle w:val="ListBullet"/>
        <w:spacing w:after="40"/>
        <w:ind w:left="340" w:hanging="142"/>
      </w:pPr>
      <w:r>
        <w:rPr>
          <w:rFonts w:ascii="Liberation Sans" w:hAnsi="Liberation Sans"/>
          <w:sz w:val="20"/>
        </w:rPr>
        <w:t>Menjamin kesiapan ruang, perangkat, jaringan, petugas, identitas peserta, dan keamanan ruangan sebelum sidang dimulai.</w:t>
      </w:r>
    </w:p>
    <w:p>
      <w:pPr>
        <w:pStyle w:val="ListBullet"/>
        <w:spacing w:after="40"/>
        <w:ind w:left="340" w:hanging="142"/>
      </w:pPr>
      <w:r>
        <w:rPr>
          <w:rFonts w:ascii="Liberation Sans" w:hAnsi="Liberation Sans"/>
          <w:sz w:val="20"/>
        </w:rPr>
        <w:t>Menjamin data, dokumen, rekaman, dan log sistem dikelola berdasarkan prinsip kerahasiaan, integritas, ketersediaan, dan akuntabilitas.</w:t>
      </w:r>
    </w:p>
    <w:p>
      <w:pPr>
        <w:pStyle w:val="Heading1"/>
      </w:pPr>
      <w:r>
        <w:t>3. RUANG LINGKUP</w:t>
      </w:r>
    </w:p>
    <w:p>
      <w:pPr>
        <w:pStyle w:val="ListBullet"/>
        <w:spacing w:after="40"/>
        <w:ind w:left="340" w:hanging="142"/>
      </w:pPr>
      <w:r>
        <w:rPr>
          <w:rFonts w:ascii="Liberation Sans" w:hAnsi="Liberation Sans"/>
          <w:sz w:val="20"/>
        </w:rPr>
        <w:t>Persidangan perkara pidana umum dan pidana khusus pada tingkat pertama dan tingkat banding.</w:t>
      </w:r>
    </w:p>
    <w:p>
      <w:pPr>
        <w:pStyle w:val="ListBullet"/>
        <w:spacing w:after="40"/>
        <w:ind w:left="340" w:hanging="142"/>
      </w:pPr>
      <w:r>
        <w:rPr>
          <w:rFonts w:ascii="Liberation Sans" w:hAnsi="Liberation Sans"/>
          <w:sz w:val="20"/>
        </w:rPr>
        <w:t>Pemeriksaan terdakwa atau tersangka, saksi, ahli, penerjemah, advokat, dan pihak lain melalui sarana persidangan elektronik.</w:t>
      </w:r>
    </w:p>
    <w:p>
      <w:pPr>
        <w:pStyle w:val="ListBullet"/>
        <w:spacing w:after="40"/>
        <w:ind w:left="340" w:hanging="142"/>
      </w:pPr>
      <w:r>
        <w:rPr>
          <w:rFonts w:ascii="Liberation Sans" w:hAnsi="Liberation Sans"/>
          <w:sz w:val="20"/>
        </w:rPr>
        <w:t>Penetapan dan penjadwalan persidangan elektronik.</w:t>
      </w:r>
    </w:p>
    <w:p>
      <w:pPr>
        <w:pStyle w:val="ListBullet"/>
        <w:spacing w:after="40"/>
        <w:ind w:left="340" w:hanging="142"/>
      </w:pPr>
      <w:r>
        <w:rPr>
          <w:rFonts w:ascii="Liberation Sans" w:hAnsi="Liberation Sans"/>
          <w:sz w:val="20"/>
        </w:rPr>
        <w:t>Pertukaran informasi dan dokumen antarinstansi melalui sistem elektronik yang ditetapkan.</w:t>
      </w:r>
    </w:p>
    <w:p>
      <w:pPr>
        <w:pStyle w:val="ListBullet"/>
        <w:spacing w:after="40"/>
        <w:ind w:left="340" w:hanging="142"/>
      </w:pPr>
      <w:r>
        <w:rPr>
          <w:rFonts w:ascii="Liberation Sans" w:hAnsi="Liberation Sans"/>
          <w:sz w:val="20"/>
        </w:rPr>
        <w:t>Pemberitahuan sidang, konfirmasi penerimaan, perubahan jadwal, serta pembacaan putusan tingkat banding.</w:t>
      </w:r>
    </w:p>
    <w:p>
      <w:pPr>
        <w:pStyle w:val="ListBullet"/>
        <w:spacing w:after="40"/>
        <w:ind w:left="340" w:hanging="142"/>
      </w:pPr>
      <w:r>
        <w:rPr>
          <w:rFonts w:ascii="Liberation Sans" w:hAnsi="Liberation Sans"/>
          <w:sz w:val="20"/>
        </w:rPr>
        <w:t>Persiapan ruang, perangkat, jaringan, rekaman audiovisual, dan dukungan teknis.</w:t>
      </w:r>
    </w:p>
    <w:p>
      <w:pPr>
        <w:pStyle w:val="ListBullet"/>
        <w:spacing w:after="40"/>
        <w:ind w:left="340" w:hanging="142"/>
      </w:pPr>
      <w:r>
        <w:rPr>
          <w:rFonts w:ascii="Liberation Sans" w:hAnsi="Liberation Sans"/>
          <w:sz w:val="20"/>
        </w:rPr>
        <w:t>Penanganan gangguan teknis, insiden siber, keadaan kahar, dan mutasi tahanan.</w:t>
      </w:r>
    </w:p>
    <w:p>
      <w:pPr>
        <w:pStyle w:val="ListBullet"/>
        <w:spacing w:after="40"/>
        <w:ind w:left="340" w:hanging="142"/>
      </w:pPr>
      <w:r>
        <w:rPr>
          <w:rFonts w:ascii="Liberation Sans" w:hAnsi="Liberation Sans"/>
          <w:sz w:val="20"/>
        </w:rPr>
        <w:t>Monitoring, evaluasi, pelaporan, audit, dan pengembangan sistem.</w:t>
      </w:r>
    </w:p>
    <w:p>
      <w:pPr>
        <w:pStyle w:val="Heading1"/>
      </w:pPr>
      <w:r>
        <w:t>4. DASAR HUKUM DAN DOKUMEN ACUAN</w:t>
      </w:r>
    </w:p>
    <w:p>
      <w:pPr>
        <w:spacing w:after="40"/>
        <w:ind w:left="312" w:hanging="255"/>
      </w:pPr>
      <w:r>
        <w:rPr>
          <w:rFonts w:ascii="Liberation Sans" w:hAnsi="Liberation Sans"/>
          <w:sz w:val="20"/>
        </w:rPr>
        <w:t>1. Undang-Undang Nomor 20 Tahun 2025 tentang Kitab Undang-Undang Hukum Acara Pidana.</w:t>
      </w:r>
    </w:p>
    <w:p>
      <w:pPr>
        <w:spacing w:after="40"/>
        <w:ind w:left="312" w:hanging="255"/>
      </w:pPr>
      <w:r>
        <w:rPr>
          <w:rFonts w:ascii="Liberation Sans" w:hAnsi="Liberation Sans"/>
          <w:sz w:val="20"/>
        </w:rPr>
        <w:t>2. Undang-Undang Nomor 1 Tahun 2023 tentang Kitab Undang-Undang Hukum Pidana.</w:t>
      </w:r>
    </w:p>
    <w:p>
      <w:pPr>
        <w:spacing w:after="40"/>
        <w:ind w:left="312" w:hanging="255"/>
      </w:pPr>
      <w:r>
        <w:rPr>
          <w:rFonts w:ascii="Liberation Sans" w:hAnsi="Liberation Sans"/>
          <w:sz w:val="20"/>
        </w:rPr>
        <w:t>3. Undang-Undang Nomor 3 Tahun 2026 tentang Pelindungan Saksi dan Korban.</w:t>
      </w:r>
    </w:p>
    <w:p>
      <w:pPr>
        <w:spacing w:after="40"/>
        <w:ind w:left="312" w:hanging="255"/>
      </w:pPr>
      <w:r>
        <w:rPr>
          <w:rFonts w:ascii="Liberation Sans" w:hAnsi="Liberation Sans"/>
          <w:sz w:val="20"/>
        </w:rPr>
        <w:t>4. Undang-Undang Nomor 22 Tahun 2022 tentang Pemasyarakatan.</w:t>
      </w:r>
    </w:p>
    <w:p>
      <w:pPr>
        <w:spacing w:after="40"/>
        <w:ind w:left="312" w:hanging="255"/>
      </w:pPr>
      <w:r>
        <w:rPr>
          <w:rFonts w:ascii="Liberation Sans" w:hAnsi="Liberation Sans"/>
          <w:sz w:val="20"/>
        </w:rPr>
        <w:t>5. Undang-Undang Nomor 27 Tahun 2022 tentang Pelindungan Data Pribadi.</w:t>
      </w:r>
    </w:p>
    <w:p>
      <w:pPr>
        <w:spacing w:after="40"/>
        <w:ind w:left="312" w:hanging="255"/>
      </w:pPr>
      <w:r>
        <w:rPr>
          <w:rFonts w:ascii="Liberation Sans" w:hAnsi="Liberation Sans"/>
          <w:sz w:val="20"/>
        </w:rPr>
        <w:t>6. Undang-Undang Nomor 11 Tahun 2008 tentang Informasi dan Transaksi Elektronik sebagaimana terakhir diubah dengan Undang-Undang Nomor 1 Tahun 2024.</w:t>
      </w:r>
    </w:p>
    <w:p>
      <w:pPr>
        <w:spacing w:after="40"/>
        <w:ind w:left="312" w:hanging="255"/>
      </w:pPr>
      <w:r>
        <w:rPr>
          <w:rFonts w:ascii="Liberation Sans" w:hAnsi="Liberation Sans"/>
          <w:sz w:val="20"/>
        </w:rPr>
        <w:t>7. Peraturan Mahkamah Agung Nomor 4 Tahun 2020 sebagaimana diubah dengan Peraturan Mahkamah Agung Nomor 8 Tahun 2022.</w:t>
      </w:r>
    </w:p>
    <w:p>
      <w:pPr>
        <w:spacing w:after="40"/>
        <w:ind w:left="312" w:hanging="255"/>
      </w:pPr>
      <w:r>
        <w:rPr>
          <w:rFonts w:ascii="Liberation Sans" w:hAnsi="Liberation Sans"/>
          <w:sz w:val="20"/>
        </w:rPr>
        <w:t>8. Keputusan Ketua Mahkamah Agung Nomor 365/KMA/SK/XII/2022.</w:t>
      </w:r>
    </w:p>
    <w:p>
      <w:pPr>
        <w:spacing w:after="40"/>
        <w:ind w:left="312" w:hanging="255"/>
      </w:pPr>
      <w:r>
        <w:rPr>
          <w:rFonts w:ascii="Liberation Sans" w:hAnsi="Liberation Sans"/>
          <w:sz w:val="20"/>
        </w:rPr>
        <w:t>9. Keputusan Ketua Mahkamah Agung Nomor 239/KMA/SK/VIII/2022.</w:t>
      </w:r>
    </w:p>
    <w:p>
      <w:pPr>
        <w:spacing w:after="40"/>
        <w:ind w:left="312" w:hanging="255"/>
      </w:pPr>
      <w:r>
        <w:rPr>
          <w:rFonts w:ascii="Liberation Sans" w:hAnsi="Liberation Sans"/>
          <w:sz w:val="20"/>
        </w:rPr>
        <w:t>10. Surat Edaran Mahkamah Agung Nomor 2 Tahun 2026.</w:t>
      </w:r>
    </w:p>
    <w:p>
      <w:pPr>
        <w:spacing w:after="40"/>
        <w:ind w:left="312" w:hanging="255"/>
      </w:pPr>
      <w:r>
        <w:rPr>
          <w:rFonts w:ascii="Liberation Sans" w:hAnsi="Liberation Sans"/>
          <w:sz w:val="20"/>
        </w:rPr>
        <w:t>11. Perjanjian Kerja Sama antara Mahkamah Agung Republik Indonesia, Kejaksaan Republik Indonesia, dan Kementerian Imigrasi dan Pemasyarakatan Republik Indonesia tentang Pelaksanaan Persidangan Secara Elektronik tanggal 24 Juni 2026.</w:t>
      </w:r>
    </w:p>
    <w:p>
      <w:pPr>
        <w:spacing w:after="40"/>
        <w:ind w:left="312" w:hanging="255"/>
      </w:pPr>
      <w:r>
        <w:rPr>
          <w:rFonts w:ascii="Liberation Sans" w:hAnsi="Liberation Sans"/>
          <w:sz w:val="20"/>
        </w:rPr>
        <w:t>12. Peraturan dan kebijakan keamanan informasi, klasifikasi arsip, retensi, serta penggunaan sistem elektronik yang berlaku pada masing-masing instansi.</w:t>
      </w:r>
    </w:p>
    <w:p>
      <w:pPr>
        <w:pStyle w:val="Heading1"/>
      </w:pPr>
      <w:r>
        <w:t>5. DEFINISI</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2381"/>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Istilah</w:t>
            </w:r>
          </w:p>
        </w:tc>
        <w:tc>
          <w:tcPr>
            <w:tcW w:type="dxa" w:w="6690"/>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Pengertian</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Persidangan elektronik</w:t>
            </w:r>
          </w:p>
        </w:tc>
        <w:tc>
          <w:tcPr>
            <w:tcW w:type="dxa" w:w="6690"/>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Persidangan yang dilaksanakan dengan dukungan teknologi informasi dan komunikasi berdasarkan penetapan hakim atau majelis hakim.</w:t>
            </w:r>
          </w:p>
        </w:tc>
      </w:tr>
      <w:tr>
        <w:trPr>
          <w:cantSplit/>
        </w:trPr>
        <w:tc>
          <w:tcPr>
            <w:tcW w:type="dxa" w:w="238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CIMS</w:t>
            </w:r>
          </w:p>
        </w:tc>
        <w:tc>
          <w:tcPr>
            <w:tcW w:type="dxa" w:w="6690"/>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Sistem pendukung koordinasi dan orkestrasi proses persidangan elektronik yang tidak menggantikan sistem administrasi perkara resmi.</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Sistem resmi</w:t>
            </w:r>
          </w:p>
        </w:tc>
        <w:tc>
          <w:tcPr>
            <w:tcW w:type="dxa" w:w="6690"/>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Sistem Informasi Pengadilan, e-Berpadu, register perkara, atau sistem lain yang ditetapkan oleh instansi berwenang.</w:t>
            </w:r>
          </w:p>
        </w:tc>
      </w:tr>
      <w:tr>
        <w:trPr>
          <w:cantSplit/>
        </w:trPr>
        <w:tc>
          <w:tcPr>
            <w:tcW w:type="dxa" w:w="238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Pejabat penghubung</w:t>
            </w:r>
          </w:p>
        </w:tc>
        <w:tc>
          <w:tcPr>
            <w:tcW w:type="dxa" w:w="6690"/>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Pejabat pada masing-masing satuan kerja yang ditunjuk untuk koordinasi, konfirmasi, dan eskalasi.</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Pemberitahuan resmi</w:t>
            </w:r>
          </w:p>
        </w:tc>
        <w:tc>
          <w:tcPr>
            <w:tcW w:type="dxa" w:w="6690"/>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Penyampaian penetapan, perubahan jadwal, atau informasi hukum melalui kanal yang sah dan dapat dibuktikan.</w:t>
            </w:r>
          </w:p>
        </w:tc>
      </w:tr>
      <w:tr>
        <w:trPr>
          <w:cantSplit/>
        </w:trPr>
        <w:tc>
          <w:tcPr>
            <w:tcW w:type="dxa" w:w="238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Acknowledgment</w:t>
            </w:r>
          </w:p>
        </w:tc>
        <w:tc>
          <w:tcPr>
            <w:tcW w:type="dxa" w:w="6690"/>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Pernyataan elektronik bahwa pemberitahuan telah diterima dan dipahami oleh penerima yang berwenang.</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Ruang sidang elektronik</w:t>
            </w:r>
          </w:p>
        </w:tc>
        <w:tc>
          <w:tcPr>
            <w:tcW w:type="dxa" w:w="6690"/>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Ruang fisik dan ruang virtual yang digunakan untuk persidangan elektronik.</w:t>
            </w:r>
          </w:p>
        </w:tc>
      </w:tr>
      <w:tr>
        <w:trPr>
          <w:cantSplit/>
        </w:trPr>
        <w:tc>
          <w:tcPr>
            <w:tcW w:type="dxa" w:w="238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Gangguan teknis</w:t>
            </w:r>
          </w:p>
        </w:tc>
        <w:tc>
          <w:tcPr>
            <w:tcW w:type="dxa" w:w="6690"/>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Gangguan perangkat, jaringan, audio, video, platform, listrik, atau layanan pendukung yang menghambat persidangan.</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Insiden siber</w:t>
            </w:r>
          </w:p>
        </w:tc>
        <w:tc>
          <w:tcPr>
            <w:tcW w:type="dxa" w:w="6690"/>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Peristiwa yang mengancam kerahasiaan, integritas, ketersediaan, atau akuntabilitas data dan sistem.</w:t>
            </w:r>
          </w:p>
        </w:tc>
      </w:tr>
      <w:tr>
        <w:trPr>
          <w:cantSplit/>
        </w:trPr>
        <w:tc>
          <w:tcPr>
            <w:tcW w:type="dxa" w:w="238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Keadaan kahar</w:t>
            </w:r>
          </w:p>
        </w:tc>
        <w:tc>
          <w:tcPr>
            <w:tcW w:type="dxa" w:w="6690"/>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Peristiwa di luar kendali para pihak yang menghambat pelaksanaan kewajiban.</w:t>
            </w:r>
          </w:p>
        </w:tc>
      </w:tr>
    </w:tbl>
    <w:p>
      <w:pPr>
        <w:spacing w:after="20"/>
      </w:pPr>
    </w:p>
    <w:p>
      <w:pPr>
        <w:pStyle w:val="Heading1"/>
      </w:pPr>
      <w:r>
        <w:t>6. PRINSIP PELAKSANAAN</w:t>
      </w:r>
    </w:p>
    <w:p>
      <w:pPr>
        <w:pStyle w:val="ListBullet"/>
        <w:spacing w:after="40"/>
        <w:ind w:left="340" w:hanging="142"/>
      </w:pPr>
      <w:r>
        <w:rPr>
          <w:rFonts w:ascii="Liberation Sans" w:hAnsi="Liberation Sans"/>
          <w:sz w:val="20"/>
        </w:rPr>
        <w:t>Legalitas dan kewenangan</w:t>
      </w:r>
    </w:p>
    <w:p>
      <w:pPr>
        <w:pStyle w:val="ListBullet"/>
        <w:spacing w:after="40"/>
        <w:ind w:left="340" w:hanging="142"/>
      </w:pPr>
      <w:r>
        <w:rPr>
          <w:rFonts w:ascii="Liberation Sans" w:hAnsi="Liberation Sans"/>
          <w:sz w:val="20"/>
        </w:rPr>
        <w:t>Terbuka untuk umum, kecuali perkara yang wajib tertutup berdasarkan peraturan</w:t>
      </w:r>
    </w:p>
    <w:p>
      <w:pPr>
        <w:pStyle w:val="ListBullet"/>
        <w:spacing w:after="40"/>
        <w:ind w:left="340" w:hanging="142"/>
      </w:pPr>
      <w:r>
        <w:rPr>
          <w:rFonts w:ascii="Liberation Sans" w:hAnsi="Liberation Sans"/>
          <w:sz w:val="20"/>
        </w:rPr>
        <w:t>Perlindungan hak terdakwa dan para pihak</w:t>
      </w:r>
    </w:p>
    <w:p>
      <w:pPr>
        <w:pStyle w:val="ListBullet"/>
        <w:spacing w:after="40"/>
        <w:ind w:left="340" w:hanging="142"/>
      </w:pPr>
      <w:r>
        <w:rPr>
          <w:rFonts w:ascii="Liberation Sans" w:hAnsi="Liberation Sans"/>
          <w:sz w:val="20"/>
        </w:rPr>
        <w:t>Keaslian identitas dan sterilitas ruangan</w:t>
      </w:r>
    </w:p>
    <w:p>
      <w:pPr>
        <w:pStyle w:val="ListBullet"/>
        <w:spacing w:after="40"/>
        <w:ind w:left="340" w:hanging="142"/>
      </w:pPr>
      <w:r>
        <w:rPr>
          <w:rFonts w:ascii="Liberation Sans" w:hAnsi="Liberation Sans"/>
          <w:sz w:val="20"/>
        </w:rPr>
        <w:t>Kerahasiaan konsultasi advokat dengan terdakwa</w:t>
      </w:r>
    </w:p>
    <w:p>
      <w:pPr>
        <w:pStyle w:val="ListBullet"/>
        <w:spacing w:after="40"/>
        <w:ind w:left="340" w:hanging="142"/>
      </w:pPr>
      <w:r>
        <w:rPr>
          <w:rFonts w:ascii="Liberation Sans" w:hAnsi="Liberation Sans"/>
          <w:sz w:val="20"/>
        </w:rPr>
        <w:t>Ketersediaan bukti elektronik dan audit trail</w:t>
      </w:r>
    </w:p>
    <w:p>
      <w:pPr>
        <w:pStyle w:val="ListBullet"/>
        <w:spacing w:after="40"/>
        <w:ind w:left="340" w:hanging="142"/>
      </w:pPr>
      <w:r>
        <w:rPr>
          <w:rFonts w:ascii="Liberation Sans" w:hAnsi="Liberation Sans"/>
          <w:sz w:val="20"/>
        </w:rPr>
        <w:t>Minimalisasi data dan pembatasan akses berdasarkan kebutuhan tugas</w:t>
      </w:r>
    </w:p>
    <w:p>
      <w:pPr>
        <w:pStyle w:val="ListBullet"/>
        <w:spacing w:after="40"/>
        <w:ind w:left="340" w:hanging="142"/>
      </w:pPr>
      <w:r>
        <w:rPr>
          <w:rFonts w:ascii="Liberation Sans" w:hAnsi="Liberation Sans"/>
          <w:sz w:val="20"/>
        </w:rPr>
        <w:t>Kontinuitas layanan dan kesiapan sarana cadangan</w:t>
      </w:r>
    </w:p>
    <w:p>
      <w:pPr>
        <w:pStyle w:val="ListBullet"/>
        <w:spacing w:after="40"/>
        <w:ind w:left="340" w:hanging="142"/>
      </w:pPr>
      <w:r>
        <w:rPr>
          <w:rFonts w:ascii="Liberation Sans" w:hAnsi="Liberation Sans"/>
          <w:sz w:val="20"/>
        </w:rPr>
        <w:t>Akuntabilitas keputusan manusia, khususnya hakim, panitera, dan pejabat berwenang</w:t>
      </w:r>
    </w:p>
    <w:p>
      <w:pPr>
        <w:pStyle w:val="Heading1"/>
      </w:pPr>
      <w:r>
        <w:t>7. AKTOR DAN TANGGUNG JAWAB</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2381"/>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Aktor</w:t>
            </w:r>
          </w:p>
        </w:tc>
        <w:tc>
          <w:tcPr>
            <w:tcW w:type="dxa" w:w="6690"/>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Tanggung Jawab Utama</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Pengadilan</w:t>
            </w:r>
          </w:p>
        </w:tc>
        <w:tc>
          <w:tcPr>
            <w:tcW w:type="dxa" w:w="6690"/>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Menetapkan cara persidangan, menentukan jadwal dan lokasi, menyediakan ruang dan perangkat, memimpin sidang, menerbitkan penetapan dan dokumen peradilan, serta melakukan monitoring.</w:t>
            </w:r>
          </w:p>
        </w:tc>
      </w:tr>
      <w:tr>
        <w:trPr>
          <w:cantSplit/>
        </w:trPr>
        <w:tc>
          <w:tcPr>
            <w:tcW w:type="dxa" w:w="238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Kejaksaan</w:t>
            </w:r>
          </w:p>
        </w:tc>
        <w:tc>
          <w:tcPr>
            <w:tcW w:type="dxa" w:w="6690"/>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Melakukan pelimpahan elektronik sesuai ketentuan, mengunggah dokumen yang menjadi kewenangannya, menghadirkan Penuntut Umum, menyampaikan pemberitahuan kepada terdakwa melalui Pemasyarakatan dan kepada advokat, serta menjaga kerahasiaan dokumen.</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Pemasyarakatan</w:t>
            </w:r>
          </w:p>
        </w:tc>
        <w:tc>
          <w:tcPr>
            <w:tcW w:type="dxa" w:w="6690"/>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Menyiapkan ruang, perangkat, jaringan, petugas pendamping, terdakwa atau tersangka, verifikasi identitas, keamanan dan ketertiban, serta pemberitahuan langsung kepada terdakwa.</w:t>
            </w:r>
          </w:p>
        </w:tc>
      </w:tr>
      <w:tr>
        <w:trPr>
          <w:cantSplit/>
        </w:trPr>
        <w:tc>
          <w:tcPr>
            <w:tcW w:type="dxa" w:w="238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Hakim atau Majelis Hakim</w:t>
            </w:r>
          </w:p>
        </w:tc>
        <w:tc>
          <w:tcPr>
            <w:tcW w:type="dxa" w:w="6690"/>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Menetapkan persidangan elektronik, mengendalikan persidangan, menentukan pemeriksaan saksi atau ahli, memutus skors, penundaan, atau penjadwalan ulang, dan memastikan hak para pihak.</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Panitera atau Panitera Pengganti</w:t>
            </w:r>
          </w:p>
        </w:tc>
        <w:tc>
          <w:tcPr>
            <w:tcW w:type="dxa" w:w="6690"/>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Menyiapkan administrasi, pemberitahuan, daftar hadir, berita acara, tautan undangan resmi, dokumentasi, dan pencatatan kejadian persidangan.</w:t>
            </w:r>
          </w:p>
        </w:tc>
      </w:tr>
      <w:tr>
        <w:trPr>
          <w:cantSplit/>
        </w:trPr>
        <w:tc>
          <w:tcPr>
            <w:tcW w:type="dxa" w:w="238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Advokat</w:t>
            </w:r>
          </w:p>
        </w:tc>
        <w:tc>
          <w:tcPr>
            <w:tcW w:type="dxa" w:w="6690"/>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Mendampingi terdakwa, menjaga kerahasiaan, mengikuti penetapan lokasi, dan menggunakan dokumen serta akses hanya untuk perkara yang ditangani.</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Saksi, Ahli, dan Penerjemah</w:t>
            </w:r>
          </w:p>
        </w:tc>
        <w:tc>
          <w:tcPr>
            <w:tcW w:type="dxa" w:w="6690"/>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Mengikuti verifikasi identitas, lokasi, perangkat, dan ketentuan pemeriksaan sesuai penetapan hakim.</w:t>
            </w:r>
          </w:p>
        </w:tc>
      </w:tr>
      <w:tr>
        <w:trPr>
          <w:cantSplit/>
        </w:trPr>
        <w:tc>
          <w:tcPr>
            <w:tcW w:type="dxa" w:w="238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Pejabat Penghubung</w:t>
            </w:r>
          </w:p>
        </w:tc>
        <w:tc>
          <w:tcPr>
            <w:tcW w:type="dxa" w:w="6690"/>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Mengelola koordinasi, acknowledgment, eskalasi, dan tindak lanjut antarinstansi tanpa mengambil alih kewenangan substantif.</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Tim Teknologi Informasi</w:t>
            </w:r>
          </w:p>
        </w:tc>
        <w:tc>
          <w:tcPr>
            <w:tcW w:type="dxa" w:w="6690"/>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Menjaga platform, integrasi, keamanan, rekaman teknis, dukungan insiden, pemulihan layanan, dan bukti teknis.</w:t>
            </w:r>
          </w:p>
        </w:tc>
      </w:tr>
    </w:tbl>
    <w:p>
      <w:pPr>
        <w:spacing w:after="20"/>
      </w:pPr>
    </w:p>
    <w:p>
      <w:pPr>
        <w:pStyle w:val="Heading1"/>
      </w:pPr>
      <w:r>
        <w:t>8. MATRIKS KEWENANGAN SISTEM</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2268"/>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Peran</w:t>
            </w:r>
          </w:p>
        </w:tc>
        <w:tc>
          <w:tcPr>
            <w:tcW w:type="dxa" w:w="6803"/>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Kewenangan dalam CIMS</w:t>
            </w:r>
          </w:p>
        </w:tc>
      </w:tr>
      <w:tr>
        <w:trPr>
          <w:cantSplit/>
        </w:trPr>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Hakim</w:t>
            </w:r>
          </w:p>
        </w:tc>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Menyetujui atau menetapkan persidangan elektronik, melihat perkara terkait, memulai atau mengakhiri sidang, menetapkan skors atau penundaan.</w:t>
            </w:r>
          </w:p>
        </w:tc>
      </w:tr>
      <w:tr>
        <w:trPr>
          <w:cantSplit/>
        </w:trPr>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Panitera</w:t>
            </w:r>
          </w:p>
        </w:tc>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Membuat rancangan jadwal, mengirim penetapan, mengelola peserta, mencatat kehadiran, mengunggah atau mereferensikan dokumen sesuai kewenangan.</w:t>
            </w:r>
          </w:p>
        </w:tc>
      </w:tr>
      <w:tr>
        <w:trPr>
          <w:cantSplit/>
        </w:trPr>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Penuntut Umum</w:t>
            </w:r>
          </w:p>
        </w:tc>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Menerima penetapan, melakukan acknowledgment, meneruskan pemberitahuan, mengunggah dokumen kewenangannya, dan mengikuti sidang.</w:t>
            </w:r>
          </w:p>
        </w:tc>
      </w:tr>
      <w:tr>
        <w:trPr>
          <w:cantSplit/>
        </w:trPr>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Petugas Pemasyarakatan</w:t>
            </w:r>
          </w:p>
        </w:tc>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Menerima dan mengakui pemberitahuan, mengisi checklist, memverifikasi terdakwa, mengaktifkan ruang, dan melaporkan kendala.</w:t>
            </w:r>
          </w:p>
        </w:tc>
      </w:tr>
      <w:tr>
        <w:trPr>
          <w:cantSplit/>
        </w:trPr>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Advokat</w:t>
            </w:r>
          </w:p>
        </w:tc>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Menerima pemberitahuan, melakukan acknowledgment, mengakses perkara yang diberi kuasa, dan mengikuti sidang.</w:t>
            </w:r>
          </w:p>
        </w:tc>
      </w:tr>
      <w:tr>
        <w:trPr>
          <w:cantSplit/>
        </w:trPr>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Tim TI</w:t>
            </w:r>
          </w:p>
        </w:tc>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Mengelola konfigurasi teknis, pemulihan, log keamanan, dan dukungan tanpa mengubah substansi perkara.</w:t>
            </w:r>
          </w:p>
        </w:tc>
      </w:tr>
      <w:tr>
        <w:trPr>
          <w:cantSplit/>
        </w:trPr>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Administrator</w:t>
            </w:r>
          </w:p>
        </w:tc>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Mengelola akun, organisasi, peran, integrasi, dan konfigurasi, tanpa akses otomatis terhadap isi perkara yang tidak diperlukan.</w:t>
            </w:r>
          </w:p>
        </w:tc>
      </w:tr>
    </w:tbl>
    <w:p>
      <w:pPr>
        <w:spacing w:after="20"/>
      </w:pPr>
    </w:p>
    <w:p>
      <w:pPr>
        <w:pStyle w:val="Heading1"/>
      </w:pPr>
      <w:r>
        <w:t>9. ALUR UTAMA</w:t>
      </w:r>
    </w:p>
    <w:p>
      <w:pPr>
        <w:spacing w:after="40"/>
        <w:ind w:left="227"/>
      </w:pPr>
      <w:r>
        <w:rPr>
          <w:rFonts w:ascii="Liberation Sans" w:hAnsi="Liberation Sans"/>
          <w:b w:val="0"/>
          <w:color w:val="1F2937"/>
          <w:sz w:val="20"/>
        </w:rPr>
        <w:t>01. Registrasi referensi perkara atau sinkronisasi dari sistem resmi</w:t>
      </w:r>
    </w:p>
    <w:p>
      <w:pPr>
        <w:spacing w:after="40"/>
        <w:ind w:left="227"/>
      </w:pPr>
      <w:r>
        <w:rPr>
          <w:rFonts w:ascii="Liberation Sans" w:hAnsi="Liberation Sans"/>
          <w:b w:val="0"/>
          <w:color w:val="1F2937"/>
          <w:sz w:val="20"/>
        </w:rPr>
        <w:t>02. Permohonan atau identifikasi keadaan tertentu</w:t>
      </w:r>
    </w:p>
    <w:p>
      <w:pPr>
        <w:spacing w:after="40"/>
        <w:ind w:left="227"/>
      </w:pPr>
      <w:r>
        <w:rPr>
          <w:rFonts w:ascii="Liberation Sans" w:hAnsi="Liberation Sans"/>
          <w:b/>
          <w:color w:val="17365D"/>
          <w:sz w:val="20"/>
        </w:rPr>
        <w:t>03. Penetapan hakim atau majelis hakim mengenai persidangan elektronik</w:t>
      </w:r>
    </w:p>
    <w:p>
      <w:pPr>
        <w:spacing w:after="40"/>
        <w:ind w:left="227"/>
      </w:pPr>
      <w:r>
        <w:rPr>
          <w:rFonts w:ascii="Liberation Sans" w:hAnsi="Liberation Sans"/>
          <w:b w:val="0"/>
          <w:color w:val="1F2937"/>
          <w:sz w:val="20"/>
        </w:rPr>
        <w:t>04. Penyusunan jadwal dan validasi konflik</w:t>
      </w:r>
    </w:p>
    <w:p>
      <w:pPr>
        <w:spacing w:after="40"/>
        <w:ind w:left="227"/>
      </w:pPr>
      <w:r>
        <w:rPr>
          <w:rFonts w:ascii="Liberation Sans" w:hAnsi="Liberation Sans"/>
          <w:b w:val="0"/>
          <w:color w:val="1F2937"/>
          <w:sz w:val="20"/>
        </w:rPr>
        <w:t>05. Pembuatan ruang virtual setelah penetapan sah</w:t>
      </w:r>
    </w:p>
    <w:p>
      <w:pPr>
        <w:spacing w:after="40"/>
        <w:ind w:left="227"/>
      </w:pPr>
      <w:r>
        <w:rPr>
          <w:rFonts w:ascii="Liberation Sans" w:hAnsi="Liberation Sans"/>
          <w:b/>
          <w:color w:val="17365D"/>
          <w:sz w:val="20"/>
        </w:rPr>
        <w:t>06. Pemberitahuan resmi dan acknowledgment</w:t>
      </w:r>
    </w:p>
    <w:p>
      <w:pPr>
        <w:spacing w:after="40"/>
        <w:ind w:left="227"/>
      </w:pPr>
      <w:r>
        <w:rPr>
          <w:rFonts w:ascii="Liberation Sans" w:hAnsi="Liberation Sans"/>
          <w:b w:val="0"/>
          <w:color w:val="1F2937"/>
          <w:sz w:val="20"/>
        </w:rPr>
        <w:t>07. Checklist kesiapan dan uji teknis</w:t>
      </w:r>
    </w:p>
    <w:p>
      <w:pPr>
        <w:spacing w:after="40"/>
        <w:ind w:left="227"/>
      </w:pPr>
      <w:r>
        <w:rPr>
          <w:rFonts w:ascii="Liberation Sans" w:hAnsi="Liberation Sans"/>
          <w:b/>
          <w:color w:val="17365D"/>
          <w:sz w:val="20"/>
        </w:rPr>
        <w:t>08. Verifikasi identitas, lokasi, advokat, dan sterilitas ruangan</w:t>
      </w:r>
    </w:p>
    <w:p>
      <w:pPr>
        <w:spacing w:after="40"/>
        <w:ind w:left="227"/>
      </w:pPr>
      <w:r>
        <w:rPr>
          <w:rFonts w:ascii="Liberation Sans" w:hAnsi="Liberation Sans"/>
          <w:b/>
          <w:color w:val="17365D"/>
          <w:sz w:val="20"/>
        </w:rPr>
        <w:t>09. Pelaksanaan persidangan</w:t>
      </w:r>
    </w:p>
    <w:p>
      <w:pPr>
        <w:spacing w:after="40"/>
        <w:ind w:left="227"/>
      </w:pPr>
      <w:r>
        <w:rPr>
          <w:rFonts w:ascii="Liberation Sans" w:hAnsi="Liberation Sans"/>
          <w:b w:val="0"/>
          <w:color w:val="1F2937"/>
          <w:sz w:val="20"/>
        </w:rPr>
        <w:t>10. Dokumentasi, rekaman, dan berita acara</w:t>
      </w:r>
    </w:p>
    <w:p>
      <w:pPr>
        <w:spacing w:after="40"/>
        <w:ind w:left="227"/>
      </w:pPr>
      <w:r>
        <w:rPr>
          <w:rFonts w:ascii="Liberation Sans" w:hAnsi="Liberation Sans"/>
          <w:b w:val="0"/>
          <w:color w:val="1F2937"/>
          <w:sz w:val="20"/>
        </w:rPr>
        <w:t>11. Penanganan gangguan atau penjadwalan ulang</w:t>
      </w:r>
    </w:p>
    <w:p>
      <w:pPr>
        <w:spacing w:after="40"/>
        <w:ind w:left="227"/>
      </w:pPr>
      <w:r>
        <w:rPr>
          <w:rFonts w:ascii="Liberation Sans" w:hAnsi="Liberation Sans"/>
          <w:b w:val="0"/>
          <w:color w:val="1F2937"/>
          <w:sz w:val="20"/>
        </w:rPr>
        <w:t>12. Monitoring, evaluasi, dan penutupan perkara elektronik</w:t>
      </w:r>
    </w:p>
    <w:p>
      <w:pPr>
        <w:pStyle w:val="Heading1"/>
      </w:pPr>
      <w:r>
        <w:t>10. PROSEDUR OPERASIONAL</w:t>
      </w:r>
    </w:p>
    <w:p>
      <w:pPr>
        <w:pStyle w:val="Heading2"/>
      </w:pPr>
      <w:r>
        <w:t>10.1 Registrasi Referensi Perkara</w:t>
      </w:r>
    </w:p>
    <w:p>
      <w:pPr>
        <w:pStyle w:val="ListBullet"/>
        <w:spacing w:after="40"/>
        <w:ind w:left="340" w:hanging="142"/>
      </w:pPr>
      <w:r>
        <w:rPr>
          <w:rFonts w:ascii="Liberation Sans" w:hAnsi="Liberation Sans"/>
          <w:sz w:val="20"/>
        </w:rPr>
        <w:t>Data perkara pada CIMS diperoleh melalui integrasi resmi atau input referensi oleh petugas berwenang.</w:t>
      </w:r>
    </w:p>
    <w:p>
      <w:pPr>
        <w:pStyle w:val="ListBullet"/>
        <w:spacing w:after="40"/>
        <w:ind w:left="340" w:hanging="142"/>
      </w:pPr>
      <w:r>
        <w:rPr>
          <w:rFonts w:ascii="Liberation Sans" w:hAnsi="Liberation Sans"/>
          <w:sz w:val="20"/>
        </w:rPr>
        <w:t>CIMS menyimpan nomor perkara, jenis perkara, satuan kerja, status, peserta, dan referensi sistem resmi.</w:t>
      </w:r>
    </w:p>
    <w:p>
      <w:pPr>
        <w:pStyle w:val="ListBullet"/>
        <w:spacing w:after="40"/>
        <w:ind w:left="340" w:hanging="142"/>
      </w:pPr>
      <w:r>
        <w:rPr>
          <w:rFonts w:ascii="Liberation Sans" w:hAnsi="Liberation Sans"/>
          <w:sz w:val="20"/>
        </w:rPr>
        <w:t>CIMS tidak menjadi register induk apabila register resmi telah tersedia.</w:t>
      </w:r>
    </w:p>
    <w:p>
      <w:pPr>
        <w:pStyle w:val="ListBullet"/>
        <w:spacing w:after="40"/>
        <w:ind w:left="340" w:hanging="142"/>
      </w:pPr>
      <w:r>
        <w:rPr>
          <w:rFonts w:ascii="Liberation Sans" w:hAnsi="Liberation Sans"/>
          <w:sz w:val="20"/>
        </w:rPr>
        <w:t>Setiap perubahan data sumber harus memiliki cap waktu, identitas pengguna, dan riwayat sinkronisasi.</w:t>
      </w:r>
    </w:p>
    <w:p>
      <w:pPr>
        <w:pStyle w:val="Heading2"/>
      </w:pPr>
      <w:r>
        <w:t>10.2 Permohonan dan Penetapan Persidangan Elektronik</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402"/>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Langkah</w:t>
            </w:r>
          </w:p>
        </w:tc>
        <w:tc>
          <w:tcPr>
            <w:tcW w:type="dxa" w:w="2551"/>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Pelaksana</w:t>
            </w:r>
          </w:p>
        </w:tc>
        <w:tc>
          <w:tcPr>
            <w:tcW w:type="dxa" w:w="3118"/>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Output</w:t>
            </w:r>
          </w:p>
        </w:tc>
      </w:tr>
      <w:tr>
        <w:trPr>
          <w:cantSplit/>
        </w:trPr>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Mencatat permohonan atau keadaan tertentu</w:t>
            </w:r>
          </w:p>
        </w:tc>
        <w:tc>
          <w:tcPr>
            <w:tcW w:type="dxa" w:w="255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Panitera, Penuntut Umum, terdakwa, advokat, atau pejabat terkait sesuai ketentuan</w:t>
            </w:r>
          </w:p>
        </w:tc>
        <w:tc>
          <w:tcPr>
            <w:tcW w:type="dxa" w:w="311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Permohonan atau catatan keadaan tertentu</w:t>
            </w:r>
          </w:p>
        </w:tc>
      </w:tr>
      <w:tr>
        <w:trPr>
          <w:cantSplit/>
        </w:trPr>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Menilai dasar dan kebutuhan</w:t>
            </w:r>
          </w:p>
        </w:tc>
        <w:tc>
          <w:tcPr>
            <w:tcW w:type="dxa" w:w="255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Hakim atau Majelis Hakim</w:t>
            </w:r>
          </w:p>
        </w:tc>
        <w:tc>
          <w:tcPr>
            <w:tcW w:type="dxa" w:w="311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Keputusan untuk langsung atau elektronik</w:t>
            </w:r>
          </w:p>
        </w:tc>
      </w:tr>
      <w:tr>
        <w:trPr>
          <w:cantSplit/>
        </w:trPr>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Menerbitkan penetapan</w:t>
            </w:r>
          </w:p>
        </w:tc>
        <w:tc>
          <w:tcPr>
            <w:tcW w:type="dxa" w:w="255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Hakim atau Majelis Hakim</w:t>
            </w:r>
          </w:p>
        </w:tc>
        <w:tc>
          <w:tcPr>
            <w:tcW w:type="dxa" w:w="311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Penetapan memuat mode, alasan, tanggal, waktu, lokasi, dan pihak</w:t>
            </w:r>
          </w:p>
        </w:tc>
      </w:tr>
      <w:tr>
        <w:trPr>
          <w:cantSplit/>
        </w:trPr>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Merekam referensi penetapan</w:t>
            </w:r>
          </w:p>
        </w:tc>
        <w:tc>
          <w:tcPr>
            <w:tcW w:type="dxa" w:w="255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Panitera</w:t>
            </w:r>
          </w:p>
        </w:tc>
        <w:tc>
          <w:tcPr>
            <w:tcW w:type="dxa" w:w="311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Nomor, tanggal, hash, serta lokasi dokumen resmi</w:t>
            </w:r>
          </w:p>
        </w:tc>
      </w:tr>
    </w:tbl>
    <w:p>
      <w:pPr>
        <w:spacing w:after="20"/>
      </w:pPr>
    </w:p>
    <w:tbl>
      <w:tblPr>
        <w:tblW w:type="auto" w:w="0"/>
        <w:jc w:val="center"/>
        <w:tblLook w:firstColumn="1" w:firstRow="1" w:lastColumn="0" w:lastRow="0" w:noHBand="0" w:noVBand="1" w:val="04A0"/>
      </w:tblPr>
      <w:tblGrid>
        <w:gridCol w:w="9866"/>
      </w:tblGrid>
      <w:tr>
        <w:trPr>
          <w:cantSplit/>
        </w:trPr>
        <w:tc>
          <w:tcPr>
            <w:tcW w:type="dxa" w:w="9866"/>
            <w:shd w:fill="FFF2CC"/>
          </w:tcPr>
          <w:p>
            <w:pPr>
              <w:spacing w:after="60"/>
            </w:pPr>
            <w:r>
              <w:rPr>
                <w:rFonts w:ascii="Liberation Sans" w:hAnsi="Liberation Sans"/>
              </w:rPr>
            </w:r>
            <w:r>
              <w:rPr>
                <w:rFonts w:ascii="Liberation Sans" w:hAnsi="Liberation Sans"/>
                <w:b/>
                <w:color w:val="C55A11"/>
                <w:sz w:val="21"/>
              </w:rPr>
              <w:t>Kontrol wajib</w:t>
            </w:r>
          </w:p>
          <w:p>
            <w:pPr>
              <w:pStyle w:val="BoxText"/>
            </w:pPr>
            <w:r>
              <w:rPr>
                <w:rFonts w:ascii="Liberation Sans" w:hAnsi="Liberation Sans"/>
              </w:rPr>
              <w:t>Sistem tidak boleh membuat atau mengirim ruang sidang elektronik sebelum status penetapan berubah menjadi sah. Rekomendasi sistem hanya bersifat administratif dan tidak dapat menggantikan penetapan hakim.</w:t>
            </w:r>
          </w:p>
        </w:tc>
      </w:tr>
    </w:tbl>
    <w:p>
      <w:pPr>
        <w:spacing w:after="0"/>
      </w:pPr>
    </w:p>
    <w:p>
      <w:pPr>
        <w:pStyle w:val="Heading2"/>
      </w:pPr>
      <w:r>
        <w:t>10.3 Penjadwalan dan Validasi Konflik</w:t>
      </w:r>
    </w:p>
    <w:p>
      <w:pPr>
        <w:pStyle w:val="ListBullet"/>
        <w:spacing w:after="40"/>
        <w:ind w:left="340" w:hanging="142"/>
      </w:pPr>
      <w:r>
        <w:rPr>
          <w:rFonts w:ascii="Liberation Sans" w:hAnsi="Liberation Sans"/>
          <w:sz w:val="20"/>
        </w:rPr>
        <w:t>Panitera menyusun jadwal berdasarkan penetapan, kalender hakim, kesiapan ruang, Penuntut Umum, lokasi terdakwa, saksi, ahli, dan petugas.</w:t>
      </w:r>
    </w:p>
    <w:p>
      <w:pPr>
        <w:pStyle w:val="ListBullet"/>
        <w:spacing w:after="40"/>
        <w:ind w:left="340" w:hanging="142"/>
      </w:pPr>
      <w:r>
        <w:rPr>
          <w:rFonts w:ascii="Liberation Sans" w:hAnsi="Liberation Sans"/>
          <w:sz w:val="20"/>
        </w:rPr>
        <w:t>CIMS memberikan status tersedia, konflik, atau menunggu konfirmasi.</w:t>
      </w:r>
    </w:p>
    <w:p>
      <w:pPr>
        <w:pStyle w:val="ListBullet"/>
        <w:spacing w:after="40"/>
        <w:ind w:left="340" w:hanging="142"/>
      </w:pPr>
      <w:r>
        <w:rPr>
          <w:rFonts w:ascii="Liberation Sans" w:hAnsi="Liberation Sans"/>
          <w:sz w:val="20"/>
        </w:rPr>
        <w:t>Rekomendasi jadwal harus dapat ditelusuri dan tetap memerlukan persetujuan petugas atau pejabat yang berwenang.</w:t>
      </w:r>
    </w:p>
    <w:p>
      <w:pPr>
        <w:pStyle w:val="ListBullet"/>
        <w:spacing w:after="40"/>
        <w:ind w:left="340" w:hanging="142"/>
      </w:pPr>
      <w:r>
        <w:rPr>
          <w:rFonts w:ascii="Liberation Sans" w:hAnsi="Liberation Sans"/>
          <w:sz w:val="20"/>
        </w:rPr>
        <w:t>Perubahan jadwal wajib memuat alasan, dokumen dasar, pengguna yang mengubah, serta pemberitahuan ulang.</w:t>
      </w:r>
    </w:p>
    <w:p>
      <w:pPr>
        <w:pStyle w:val="Heading2"/>
      </w:pPr>
      <w:r>
        <w:t>10.4 Pembuatan Ruang Sidang Elektronik</w:t>
      </w:r>
    </w:p>
    <w:p>
      <w:pPr>
        <w:pStyle w:val="ListBullet"/>
        <w:spacing w:after="40"/>
        <w:ind w:left="340" w:hanging="142"/>
      </w:pPr>
      <w:r>
        <w:rPr>
          <w:rFonts w:ascii="Liberation Sans" w:hAnsi="Liberation Sans"/>
          <w:sz w:val="20"/>
        </w:rPr>
        <w:t>Ruang virtual dibuat hanya setelah penetapan dan jadwal disahkan.</w:t>
      </w:r>
    </w:p>
    <w:p>
      <w:pPr>
        <w:pStyle w:val="ListBullet"/>
        <w:spacing w:after="40"/>
        <w:ind w:left="340" w:hanging="142"/>
      </w:pPr>
      <w:r>
        <w:rPr>
          <w:rFonts w:ascii="Liberation Sans" w:hAnsi="Liberation Sans"/>
          <w:sz w:val="20"/>
        </w:rPr>
        <w:t>Platform konferensi video harus ditetapkan atau disetujui oleh instansi. Integrasi tidak boleh dikunci hanya pada satu penyedia.</w:t>
      </w:r>
    </w:p>
    <w:p>
      <w:pPr>
        <w:pStyle w:val="ListBullet"/>
        <w:spacing w:after="40"/>
        <w:ind w:left="340" w:hanging="142"/>
      </w:pPr>
      <w:r>
        <w:rPr>
          <w:rFonts w:ascii="Liberation Sans" w:hAnsi="Liberation Sans"/>
          <w:sz w:val="20"/>
        </w:rPr>
        <w:t>Tautan host dipisahkan dari tautan peserta dan tidak dikirim melalui kanal yang tidak aman.</w:t>
      </w:r>
    </w:p>
    <w:p>
      <w:pPr>
        <w:pStyle w:val="ListBullet"/>
        <w:spacing w:after="40"/>
        <w:ind w:left="340" w:hanging="142"/>
      </w:pPr>
      <w:r>
        <w:rPr>
          <w:rFonts w:ascii="Liberation Sans" w:hAnsi="Liberation Sans"/>
          <w:sz w:val="20"/>
        </w:rPr>
        <w:t>Ruang tunggu, ruang saksi, ruang terdakwa, dan ruang konsultasi advokat disediakan sesuai kebutuhan.</w:t>
      </w:r>
    </w:p>
    <w:p>
      <w:pPr>
        <w:pStyle w:val="ListBullet"/>
        <w:spacing w:after="40"/>
        <w:ind w:left="340" w:hanging="142"/>
      </w:pPr>
      <w:r>
        <w:rPr>
          <w:rFonts w:ascii="Liberation Sans" w:hAnsi="Liberation Sans"/>
          <w:sz w:val="20"/>
        </w:rPr>
        <w:t>Hak akses masuk, rekam, mute, keluarkan peserta, dan pindah ruang dibatasi berdasarkan peran.</w:t>
      </w:r>
    </w:p>
    <w:p>
      <w:pPr>
        <w:pStyle w:val="Heading2"/>
      </w:pPr>
      <w:r>
        <w:t>10.5 Pemberitahuan dan Acknowledgment</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381"/>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Rantai Pemberitahuan</w:t>
            </w:r>
          </w:p>
        </w:tc>
        <w:tc>
          <w:tcPr>
            <w:tcW w:type="dxa" w:w="2551"/>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Objek</w:t>
            </w:r>
          </w:p>
        </w:tc>
        <w:tc>
          <w:tcPr>
            <w:tcW w:type="dxa" w:w="1984"/>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Kanal</w:t>
            </w:r>
          </w:p>
        </w:tc>
        <w:tc>
          <w:tcPr>
            <w:tcW w:type="dxa" w:w="2438"/>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Bukti Minimum</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Pengadilan ke Kejaksaan</w:t>
            </w:r>
          </w:p>
        </w:tc>
        <w:tc>
          <w:tcPr>
            <w:tcW w:type="dxa" w:w="255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Penetapan jadwal atau perubahan jadwal</w:t>
            </w:r>
          </w:p>
        </w:tc>
        <w:tc>
          <w:tcPr>
            <w:tcW w:type="dxa" w:w="198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Kanal resmi terintegrasi</w:t>
            </w:r>
          </w:p>
        </w:tc>
        <w:tc>
          <w:tcPr>
            <w:tcW w:type="dxa" w:w="24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Bukti kirim, bukti terima, acknowledgment</w:t>
            </w:r>
          </w:p>
        </w:tc>
      </w:tr>
      <w:tr>
        <w:trPr>
          <w:cantSplit/>
        </w:trPr>
        <w:tc>
          <w:tcPr>
            <w:tcW w:type="dxa" w:w="238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Kejaksaan ke Pemasyarakatan</w:t>
            </w:r>
          </w:p>
        </w:tc>
        <w:tc>
          <w:tcPr>
            <w:tcW w:type="dxa" w:w="255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Pemberitahuan kepada terdakwa</w:t>
            </w:r>
          </w:p>
        </w:tc>
        <w:tc>
          <w:tcPr>
            <w:tcW w:type="dxa" w:w="198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Kanal resmi terintegrasi</w:t>
            </w:r>
          </w:p>
        </w:tc>
        <w:tc>
          <w:tcPr>
            <w:tcW w:type="dxa" w:w="24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Bukti kirim dan tindak lanjut</w:t>
            </w:r>
          </w:p>
        </w:tc>
      </w:tr>
      <w:tr>
        <w:trPr>
          <w:cantSplit/>
        </w:trPr>
        <w:tc>
          <w:tcPr>
            <w:tcW w:type="dxa" w:w="238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Pemasyarakatan ke terdakwa</w:t>
            </w:r>
          </w:p>
        </w:tc>
        <w:tc>
          <w:tcPr>
            <w:tcW w:type="dxa" w:w="255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Pemberitahuan langsung</w:t>
            </w:r>
          </w:p>
        </w:tc>
        <w:tc>
          <w:tcPr>
            <w:tcW w:type="dxa" w:w="198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Berita acara atau bukti elektronik</w:t>
            </w:r>
          </w:p>
        </w:tc>
        <w:tc>
          <w:tcPr>
            <w:tcW w:type="dxa" w:w="243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Nama petugas, waktu, tanda terima</w:t>
            </w:r>
          </w:p>
        </w:tc>
      </w:tr>
      <w:tr>
        <w:trPr>
          <w:cantSplit/>
        </w:trPr>
        <w:tc>
          <w:tcPr>
            <w:tcW w:type="dxa" w:w="238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Kejaksaan ke advokat</w:t>
            </w:r>
          </w:p>
        </w:tc>
        <w:tc>
          <w:tcPr>
            <w:tcW w:type="dxa" w:w="255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Pemberitahuan kepada advokat</w:t>
            </w:r>
          </w:p>
        </w:tc>
        <w:tc>
          <w:tcPr>
            <w:tcW w:type="dxa" w:w="198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Domisili elektronik atau kanal resmi</w:t>
            </w:r>
          </w:p>
        </w:tc>
        <w:tc>
          <w:tcPr>
            <w:tcW w:type="dxa" w:w="243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Bukti terima dan acknowledgment</w:t>
            </w:r>
          </w:p>
        </w:tc>
      </w:tr>
    </w:tbl>
    <w:p>
      <w:pPr>
        <w:spacing w:after="20"/>
      </w:pPr>
    </w:p>
    <w:p>
      <w:pPr>
        <w:pStyle w:val="ListBullet"/>
        <w:spacing w:after="40"/>
        <w:ind w:left="340" w:hanging="142"/>
      </w:pPr>
      <w:r>
        <w:rPr>
          <w:rFonts w:ascii="Liberation Sans" w:hAnsi="Liberation Sans"/>
          <w:sz w:val="20"/>
        </w:rPr>
        <w:t>WhatsApp, SMS, atau push notification hanya berfungsi sebagai pengingat tambahan, kecuali telah ditetapkan sebagai kanal resmi.</w:t>
      </w:r>
    </w:p>
    <w:p>
      <w:pPr>
        <w:pStyle w:val="ListBullet"/>
        <w:spacing w:after="40"/>
        <w:ind w:left="340" w:hanging="142"/>
      </w:pPr>
      <w:r>
        <w:rPr>
          <w:rFonts w:ascii="Liberation Sans" w:hAnsi="Liberation Sans"/>
          <w:sz w:val="20"/>
        </w:rPr>
        <w:t>Apabila pemberitahuan gagal, sistem melakukan eskalasi kepada pejabat penghubung dan mencatat metode alternatif.</w:t>
      </w:r>
    </w:p>
    <w:p>
      <w:pPr>
        <w:pStyle w:val="ListBullet"/>
        <w:spacing w:after="40"/>
        <w:ind w:left="340" w:hanging="142"/>
      </w:pPr>
      <w:r>
        <w:rPr>
          <w:rFonts w:ascii="Liberation Sans" w:hAnsi="Liberation Sans"/>
          <w:sz w:val="20"/>
        </w:rPr>
        <w:t>SLA acknowledgment ditetapkan dalam konfigurasi resmi dan dapat berbeda menurut jenis pemberitahuan.</w:t>
      </w:r>
    </w:p>
    <w:p>
      <w:pPr>
        <w:pStyle w:val="Heading2"/>
      </w:pPr>
      <w:r>
        <w:t>10.6 Checklist Kesiapan dan Uji Teknis</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6803"/>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Komponen</w:t>
            </w:r>
          </w:p>
        </w:tc>
        <w:tc>
          <w:tcPr>
            <w:tcW w:type="dxa" w:w="2268"/>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Status Minimum</w:t>
            </w:r>
          </w:p>
        </w:tc>
      </w:tr>
      <w:tr>
        <w:trPr>
          <w:cantSplit/>
        </w:trPr>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Penetapan elektronik tersedia dan sah</w:t>
            </w:r>
          </w:p>
        </w:tc>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Wajib</w:t>
            </w:r>
          </w:p>
        </w:tc>
      </w:tr>
      <w:tr>
        <w:trPr>
          <w:cantSplit/>
        </w:trPr>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Ruang fisik tersedia dan steril</w:t>
            </w:r>
          </w:p>
        </w:tc>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Wajib</w:t>
            </w:r>
          </w:p>
        </w:tc>
      </w:tr>
      <w:tr>
        <w:trPr>
          <w:cantSplit/>
        </w:trPr>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Kamera menampilkan keseluruhan ruang</w:t>
            </w:r>
          </w:p>
        </w:tc>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Wajib</w:t>
            </w:r>
          </w:p>
        </w:tc>
      </w:tr>
      <w:tr>
        <w:trPr>
          <w:cantSplit/>
        </w:trPr>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Mikrofon dan audio dua arah berfungsi</w:t>
            </w:r>
          </w:p>
        </w:tc>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Wajib</w:t>
            </w:r>
          </w:p>
        </w:tc>
      </w:tr>
      <w:tr>
        <w:trPr>
          <w:cantSplit/>
        </w:trPr>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Internet utama dan cadangan tersedia</w:t>
            </w:r>
          </w:p>
        </w:tc>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Wajib</w:t>
            </w:r>
          </w:p>
        </w:tc>
      </w:tr>
      <w:tr>
        <w:trPr>
          <w:cantSplit/>
        </w:trPr>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Catu daya cadangan tersedia</w:t>
            </w:r>
          </w:p>
        </w:tc>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Sesuai risiko</w:t>
            </w:r>
          </w:p>
        </w:tc>
      </w:tr>
      <w:tr>
        <w:trPr>
          <w:cantSplit/>
        </w:trPr>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Terdakwa atau tersangka tersedia</w:t>
            </w:r>
          </w:p>
        </w:tc>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Wajib</w:t>
            </w:r>
          </w:p>
        </w:tc>
      </w:tr>
      <w:tr>
        <w:trPr>
          <w:cantSplit/>
        </w:trPr>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Identitas diverifikasi petugas</w:t>
            </w:r>
          </w:p>
        </w:tc>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Wajib</w:t>
            </w:r>
          </w:p>
        </w:tc>
      </w:tr>
      <w:tr>
        <w:trPr>
          <w:cantSplit/>
        </w:trPr>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Advokat tersedia sesuai penetapan</w:t>
            </w:r>
          </w:p>
        </w:tc>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Jika ada</w:t>
            </w:r>
          </w:p>
        </w:tc>
      </w:tr>
      <w:tr>
        <w:trPr>
          <w:cantSplit/>
        </w:trPr>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Kerahasiaan konsultasi tersedia</w:t>
            </w:r>
          </w:p>
        </w:tc>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Wajib bila didampingi advokat</w:t>
            </w:r>
          </w:p>
        </w:tc>
      </w:tr>
      <w:tr>
        <w:trPr>
          <w:cantSplit/>
        </w:trPr>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Saksi, ahli, atau penerjemah siap</w:t>
            </w:r>
          </w:p>
        </w:tc>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Sesuai agenda</w:t>
            </w:r>
          </w:p>
        </w:tc>
      </w:tr>
      <w:tr>
        <w:trPr>
          <w:cantSplit/>
        </w:trPr>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Rekaman audiovisual siap</w:t>
            </w:r>
          </w:p>
        </w:tc>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Jika diwajibkan</w:t>
            </w:r>
          </w:p>
        </w:tc>
      </w:tr>
      <w:tr>
        <w:trPr>
          <w:cantSplit/>
        </w:trPr>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Petugas pendamping dan Tim TI siap</w:t>
            </w:r>
          </w:p>
        </w:tc>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Wajib</w:t>
            </w:r>
          </w:p>
        </w:tc>
      </w:tr>
    </w:tbl>
    <w:p>
      <w:pPr>
        <w:spacing w:after="20"/>
      </w:pPr>
    </w:p>
    <w:p>
      <w:pPr>
        <w:pStyle w:val="Heading2"/>
      </w:pPr>
      <w:r>
        <w:t>10.7 Verifikasi Identitas dan Sterilisasi Ruangan</w:t>
      </w:r>
    </w:p>
    <w:p>
      <w:pPr>
        <w:pStyle w:val="ListBullet"/>
        <w:spacing w:after="40"/>
        <w:ind w:left="340" w:hanging="142"/>
      </w:pPr>
      <w:r>
        <w:rPr>
          <w:rFonts w:ascii="Liberation Sans" w:hAnsi="Liberation Sans"/>
          <w:sz w:val="20"/>
        </w:rPr>
        <w:t>Petugas berwenang mencocokkan identitas dengan dokumen resmi dan data perkara.</w:t>
      </w:r>
    </w:p>
    <w:p>
      <w:pPr>
        <w:pStyle w:val="ListBullet"/>
        <w:spacing w:after="40"/>
        <w:ind w:left="340" w:hanging="142"/>
      </w:pPr>
      <w:r>
        <w:rPr>
          <w:rFonts w:ascii="Liberation Sans" w:hAnsi="Liberation Sans"/>
          <w:sz w:val="20"/>
        </w:rPr>
        <w:t>Verifikasi biometrik hanya dapat digunakan jika memiliki dasar, tujuan, pengamanan, dan persetujuan kebijakan yang jelas.</w:t>
      </w:r>
    </w:p>
    <w:p>
      <w:pPr>
        <w:pStyle w:val="ListBullet"/>
        <w:spacing w:after="40"/>
        <w:ind w:left="340" w:hanging="142"/>
      </w:pPr>
      <w:r>
        <w:rPr>
          <w:rFonts w:ascii="Liberation Sans" w:hAnsi="Liberation Sans"/>
          <w:sz w:val="20"/>
        </w:rPr>
        <w:t>Kamera memperlihatkan keseluruhan ruang sebelum sidang dimulai.</w:t>
      </w:r>
    </w:p>
    <w:p>
      <w:pPr>
        <w:pStyle w:val="ListBullet"/>
        <w:spacing w:after="40"/>
        <w:ind w:left="340" w:hanging="142"/>
      </w:pPr>
      <w:r>
        <w:rPr>
          <w:rFonts w:ascii="Liberation Sans" w:hAnsi="Liberation Sans"/>
          <w:sz w:val="20"/>
        </w:rPr>
        <w:t>Petugas memastikan tidak terdapat orang, alat komunikasi, catatan, atau perangkat yang tidak diizinkan.</w:t>
      </w:r>
    </w:p>
    <w:p>
      <w:pPr>
        <w:pStyle w:val="ListBullet"/>
        <w:spacing w:after="40"/>
        <w:ind w:left="340" w:hanging="142"/>
      </w:pPr>
      <w:r>
        <w:rPr>
          <w:rFonts w:ascii="Liberation Sans" w:hAnsi="Liberation Sans"/>
          <w:sz w:val="20"/>
        </w:rPr>
        <w:t>Hasil verifikasi disimpan sebagai metadata, bukan salinan berlebihan dari dokumen identitas.</w:t>
      </w:r>
    </w:p>
    <w:p>
      <w:pPr>
        <w:pStyle w:val="Heading2"/>
      </w:pPr>
      <w:r>
        <w:t>10.8 Pendampingan Advokat</w:t>
      </w:r>
    </w:p>
    <w:p>
      <w:pPr>
        <w:pStyle w:val="ListBullet"/>
        <w:spacing w:after="40"/>
        <w:ind w:left="340" w:hanging="142"/>
      </w:pPr>
      <w:r>
        <w:rPr>
          <w:rFonts w:ascii="Liberation Sans" w:hAnsi="Liberation Sans"/>
          <w:sz w:val="20"/>
        </w:rPr>
        <w:t>Advokat pada prinsipnya berada dalam ruangan yang sama dengan terdakwa.</w:t>
      </w:r>
    </w:p>
    <w:p>
      <w:pPr>
        <w:pStyle w:val="ListBullet"/>
        <w:spacing w:after="40"/>
        <w:ind w:left="340" w:hanging="142"/>
      </w:pPr>
      <w:r>
        <w:rPr>
          <w:rFonts w:ascii="Liberation Sans" w:hAnsi="Liberation Sans"/>
          <w:sz w:val="20"/>
        </w:rPr>
        <w:t>Penempatan advokat di lokasi lain hanya dilakukan berdasarkan penetapan hakim atau majelis hakim.</w:t>
      </w:r>
    </w:p>
    <w:p>
      <w:pPr>
        <w:pStyle w:val="ListBullet"/>
        <w:spacing w:after="40"/>
        <w:ind w:left="340" w:hanging="142"/>
      </w:pPr>
      <w:r>
        <w:rPr>
          <w:rFonts w:ascii="Liberation Sans" w:hAnsi="Liberation Sans"/>
          <w:sz w:val="20"/>
        </w:rPr>
        <w:t>Sistem menyediakan mekanisme konsultasi privat yang tidak dapat didengar peserta lain.</w:t>
      </w:r>
    </w:p>
    <w:p>
      <w:pPr>
        <w:pStyle w:val="ListBullet"/>
        <w:spacing w:after="40"/>
        <w:ind w:left="340" w:hanging="142"/>
      </w:pPr>
      <w:r>
        <w:rPr>
          <w:rFonts w:ascii="Liberation Sans" w:hAnsi="Liberation Sans"/>
          <w:sz w:val="20"/>
        </w:rPr>
        <w:t>Aktivitas konsultasi tidak direkam, kecuali ditentukan lain berdasarkan dasar hukum yang sah.</w:t>
      </w:r>
    </w:p>
    <w:p>
      <w:pPr>
        <w:pStyle w:val="Heading2"/>
      </w:pPr>
      <w:r>
        <w:t>10.9 Pemeriksaan Saksi, Ahli, dan Penerjemah</w:t>
      </w:r>
    </w:p>
    <w:p>
      <w:pPr>
        <w:pStyle w:val="ListBullet"/>
        <w:spacing w:after="40"/>
        <w:ind w:left="340" w:hanging="142"/>
      </w:pPr>
      <w:r>
        <w:rPr>
          <w:rFonts w:ascii="Liberation Sans" w:hAnsi="Liberation Sans"/>
          <w:sz w:val="20"/>
        </w:rPr>
        <w:t>Lokasi pemeriksaan ditentukan oleh hakim atau majelis hakim.</w:t>
      </w:r>
    </w:p>
    <w:p>
      <w:pPr>
        <w:pStyle w:val="ListBullet"/>
        <w:spacing w:after="40"/>
        <w:ind w:left="340" w:hanging="142"/>
      </w:pPr>
      <w:r>
        <w:rPr>
          <w:rFonts w:ascii="Liberation Sans" w:hAnsi="Liberation Sans"/>
          <w:sz w:val="20"/>
        </w:rPr>
        <w:t>Lokasi dapat berada di pengadilan, kejaksaan dalam daerah hukum, pengadilan tempat saksi atau ahli berada, perwakilan Republik Indonesia di luar negeri, atau tempat lain yang ditetapkan.</w:t>
      </w:r>
    </w:p>
    <w:p>
      <w:pPr>
        <w:pStyle w:val="ListBullet"/>
        <w:spacing w:after="40"/>
        <w:ind w:left="340" w:hanging="142"/>
      </w:pPr>
      <w:r>
        <w:rPr>
          <w:rFonts w:ascii="Liberation Sans" w:hAnsi="Liberation Sans"/>
          <w:sz w:val="20"/>
        </w:rPr>
        <w:t>Identitas, kondisi ruangan, pendamping, dan perangkat diverifikasi sebelum pemeriksaan.</w:t>
      </w:r>
    </w:p>
    <w:p>
      <w:pPr>
        <w:pStyle w:val="ListBullet"/>
        <w:spacing w:after="40"/>
        <w:ind w:left="340" w:hanging="142"/>
      </w:pPr>
      <w:r>
        <w:rPr>
          <w:rFonts w:ascii="Liberation Sans" w:hAnsi="Liberation Sans"/>
          <w:sz w:val="20"/>
        </w:rPr>
        <w:t>Untuk saksi rentan, anak, korban kekerasan, atau saksi yang dilindungi, akses dan tampilan identitas disesuaikan dengan ketentuan perlindungan.</w:t>
      </w:r>
    </w:p>
    <w:p>
      <w:pPr>
        <w:pStyle w:val="Heading2"/>
      </w:pPr>
      <w:r>
        <w:t>10.10 Pelaksanaan Sidang</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680"/>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No.</w:t>
            </w:r>
          </w:p>
        </w:tc>
        <w:tc>
          <w:tcPr>
            <w:tcW w:type="dxa" w:w="8391"/>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Kegiatan</w:t>
            </w:r>
          </w:p>
        </w:tc>
      </w:tr>
      <w:tr>
        <w:trPr>
          <w:cantSplit/>
        </w:trPr>
        <w:tc>
          <w:tcPr>
            <w:tcW w:type="dxa" w:w="680"/>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1</w:t>
            </w:r>
          </w:p>
        </w:tc>
        <w:tc>
          <w:tcPr>
            <w:tcW w:type="dxa" w:w="839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Host teknis membuka ruang dan mengaktifkan ruang tunggu.</w:t>
            </w:r>
          </w:p>
        </w:tc>
      </w:tr>
      <w:tr>
        <w:trPr>
          <w:cantSplit/>
        </w:trPr>
        <w:tc>
          <w:tcPr>
            <w:tcW w:type="dxa" w:w="680"/>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2</w:t>
            </w:r>
          </w:p>
        </w:tc>
        <w:tc>
          <w:tcPr>
            <w:tcW w:type="dxa" w:w="839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Panitera memverifikasi peserta, perangkat, dan status acknowledgment.</w:t>
            </w:r>
          </w:p>
        </w:tc>
      </w:tr>
      <w:tr>
        <w:trPr>
          <w:cantSplit/>
        </w:trPr>
        <w:tc>
          <w:tcPr>
            <w:tcW w:type="dxa" w:w="680"/>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3</w:t>
            </w:r>
          </w:p>
        </w:tc>
        <w:tc>
          <w:tcPr>
            <w:tcW w:type="dxa" w:w="839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Hakim atau Majelis Hakim membuka persidangan dan memastikan asas keterbukaan atau ketertutupan.</w:t>
            </w:r>
          </w:p>
        </w:tc>
      </w:tr>
      <w:tr>
        <w:trPr>
          <w:cantSplit/>
        </w:trPr>
        <w:tc>
          <w:tcPr>
            <w:tcW w:type="dxa" w:w="680"/>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4</w:t>
            </w:r>
          </w:p>
        </w:tc>
        <w:tc>
          <w:tcPr>
            <w:tcW w:type="dxa" w:w="839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Hakim memverifikasi identitas dan lokasi setiap peserta.</w:t>
            </w:r>
          </w:p>
        </w:tc>
      </w:tr>
      <w:tr>
        <w:trPr>
          <w:cantSplit/>
        </w:trPr>
        <w:tc>
          <w:tcPr>
            <w:tcW w:type="dxa" w:w="680"/>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5</w:t>
            </w:r>
          </w:p>
        </w:tc>
        <w:tc>
          <w:tcPr>
            <w:tcW w:type="dxa" w:w="839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Panitera mencatat kehadiran, waktu masuk, waktu keluar, dan kejadian penting.</w:t>
            </w:r>
          </w:p>
        </w:tc>
      </w:tr>
      <w:tr>
        <w:trPr>
          <w:cantSplit/>
        </w:trPr>
        <w:tc>
          <w:tcPr>
            <w:tcW w:type="dxa" w:w="680"/>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6</w:t>
            </w:r>
          </w:p>
        </w:tc>
        <w:tc>
          <w:tcPr>
            <w:tcW w:type="dxa" w:w="839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Rekaman audiovisual dijalankan sesuai ketentuan dan kewenangan.</w:t>
            </w:r>
          </w:p>
        </w:tc>
      </w:tr>
      <w:tr>
        <w:trPr>
          <w:cantSplit/>
        </w:trPr>
        <w:tc>
          <w:tcPr>
            <w:tcW w:type="dxa" w:w="680"/>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7</w:t>
            </w:r>
          </w:p>
        </w:tc>
        <w:tc>
          <w:tcPr>
            <w:tcW w:type="dxa" w:w="839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Dokumen ditampilkan atau dipertukarkan melalui sistem resmi.</w:t>
            </w:r>
          </w:p>
        </w:tc>
      </w:tr>
      <w:tr>
        <w:trPr>
          <w:cantSplit/>
        </w:trPr>
        <w:tc>
          <w:tcPr>
            <w:tcW w:type="dxa" w:w="680"/>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8</w:t>
            </w:r>
          </w:p>
        </w:tc>
        <w:tc>
          <w:tcPr>
            <w:tcW w:type="dxa" w:w="839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Hakim menutup, menskors, atau menunda sidang.</w:t>
            </w:r>
          </w:p>
        </w:tc>
      </w:tr>
      <w:tr>
        <w:trPr>
          <w:cantSplit/>
        </w:trPr>
        <w:tc>
          <w:tcPr>
            <w:tcW w:type="dxa" w:w="680"/>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9</w:t>
            </w:r>
          </w:p>
        </w:tc>
        <w:tc>
          <w:tcPr>
            <w:tcW w:type="dxa" w:w="839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Panitera menyelesaikan berita acara, status hasil sidang, dan tindak lanjut.</w:t>
            </w:r>
          </w:p>
        </w:tc>
      </w:tr>
    </w:tbl>
    <w:p>
      <w:pPr>
        <w:spacing w:after="20"/>
      </w:pPr>
    </w:p>
    <w:p>
      <w:pPr>
        <w:pStyle w:val="Heading2"/>
      </w:pPr>
      <w:r>
        <w:t>10.11 Gangguan Teknis</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268"/>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Gangguan</w:t>
            </w:r>
          </w:p>
        </w:tc>
        <w:tc>
          <w:tcPr>
            <w:tcW w:type="dxa" w:w="3402"/>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Tindakan</w:t>
            </w:r>
          </w:p>
        </w:tc>
        <w:tc>
          <w:tcPr>
            <w:tcW w:type="dxa" w:w="1814"/>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Otoritas</w:t>
            </w:r>
          </w:p>
        </w:tc>
        <w:tc>
          <w:tcPr>
            <w:tcW w:type="dxa" w:w="1701"/>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6"/>
              </w:rPr>
              <w:t>Bukti</w:t>
            </w:r>
          </w:p>
        </w:tc>
      </w:tr>
      <w:tr>
        <w:trPr>
          <w:cantSplit/>
        </w:trPr>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Audio atau video terganggu</w:t>
            </w:r>
          </w:p>
        </w:tc>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Skors singkat, uji ulang, ganti perangkat</w:t>
            </w:r>
          </w:p>
        </w:tc>
        <w:tc>
          <w:tcPr>
            <w:tcW w:type="dxa" w:w="181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Panitera dan Tim TI</w:t>
            </w:r>
          </w:p>
        </w:tc>
        <w:tc>
          <w:tcPr>
            <w:tcW w:type="dxa" w:w="170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Log insiden</w:t>
            </w:r>
          </w:p>
        </w:tc>
      </w:tr>
      <w:tr>
        <w:trPr>
          <w:cantSplit/>
        </w:trPr>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Internet utama gagal</w:t>
            </w:r>
          </w:p>
        </w:tc>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Aktifkan koneksi cadangan</w:t>
            </w:r>
          </w:p>
        </w:tc>
        <w:tc>
          <w:tcPr>
            <w:tcW w:type="dxa" w:w="181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Petugas lokasi dan Tim TI</w:t>
            </w:r>
          </w:p>
        </w:tc>
        <w:tc>
          <w:tcPr>
            <w:tcW w:type="dxa" w:w="170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Waktu pindah koneksi</w:t>
            </w:r>
          </w:p>
        </w:tc>
      </w:tr>
      <w:tr>
        <w:trPr>
          <w:cantSplit/>
        </w:trPr>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Platform tidak tersedia</w:t>
            </w:r>
          </w:p>
        </w:tc>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Aktifkan rencana pemulihan atau platform cadangan yang disetujui</w:t>
            </w:r>
          </w:p>
        </w:tc>
        <w:tc>
          <w:tcPr>
            <w:tcW w:type="dxa" w:w="181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Tim TI</w:t>
            </w:r>
          </w:p>
        </w:tc>
        <w:tc>
          <w:tcPr>
            <w:tcW w:type="dxa" w:w="1701"/>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6"/>
              </w:rPr>
              <w:t>Status pemulihan</w:t>
            </w:r>
          </w:p>
        </w:tc>
      </w:tr>
      <w:tr>
        <w:trPr>
          <w:cantSplit/>
        </w:trPr>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Gangguan menghambat pemeriksaan</w:t>
            </w:r>
          </w:p>
        </w:tc>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Hakim menskors, menunda, atau menjadwalkan ulang</w:t>
            </w:r>
          </w:p>
        </w:tc>
        <w:tc>
          <w:tcPr>
            <w:tcW w:type="dxa" w:w="181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Hakim atau Majelis Hakim</w:t>
            </w:r>
          </w:p>
        </w:tc>
        <w:tc>
          <w:tcPr>
            <w:tcW w:type="dxa" w:w="1701"/>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6"/>
              </w:rPr>
              <w:t>Penetapan atau catatan persidangan</w:t>
            </w:r>
          </w:p>
        </w:tc>
      </w:tr>
    </w:tbl>
    <w:p>
      <w:pPr>
        <w:spacing w:after="20"/>
      </w:pPr>
    </w:p>
    <w:p>
      <w:pPr>
        <w:pStyle w:val="Heading2"/>
      </w:pPr>
      <w:r>
        <w:t>10.12 Insiden Siber</w:t>
      </w:r>
    </w:p>
    <w:p>
      <w:pPr>
        <w:pStyle w:val="ListBullet"/>
        <w:spacing w:after="40"/>
        <w:ind w:left="340" w:hanging="142"/>
      </w:pPr>
      <w:r>
        <w:rPr>
          <w:rFonts w:ascii="Liberation Sans" w:hAnsi="Liberation Sans"/>
          <w:sz w:val="20"/>
        </w:rPr>
        <w:t>Insiden siber segera diisolasi dan tidak ditangani sebagai gangguan teknis biasa.</w:t>
      </w:r>
    </w:p>
    <w:p>
      <w:pPr>
        <w:pStyle w:val="ListBullet"/>
        <w:spacing w:after="40"/>
        <w:ind w:left="340" w:hanging="142"/>
      </w:pPr>
      <w:r>
        <w:rPr>
          <w:rFonts w:ascii="Liberation Sans" w:hAnsi="Liberation Sans"/>
          <w:sz w:val="20"/>
        </w:rPr>
        <w:t>Pemberitahuan kepada para pihak dilakukan paling lambat 1 x 24 jam sesuai PKS.</w:t>
      </w:r>
    </w:p>
    <w:p>
      <w:pPr>
        <w:pStyle w:val="ListBullet"/>
        <w:spacing w:after="40"/>
        <w:ind w:left="340" w:hanging="142"/>
      </w:pPr>
      <w:r>
        <w:rPr>
          <w:rFonts w:ascii="Liberation Sans" w:hAnsi="Liberation Sans"/>
          <w:sz w:val="20"/>
        </w:rPr>
        <w:t>Tim keamanan mencatat jenis data terdampak, waktu kejadian, akun, sistem, mitigasi, dan kebutuhan pelaporan lebih lanjut.</w:t>
      </w:r>
    </w:p>
    <w:p>
      <w:pPr>
        <w:pStyle w:val="ListBullet"/>
        <w:spacing w:after="40"/>
        <w:ind w:left="340" w:hanging="142"/>
      </w:pPr>
      <w:r>
        <w:rPr>
          <w:rFonts w:ascii="Liberation Sans" w:hAnsi="Liberation Sans"/>
          <w:sz w:val="20"/>
        </w:rPr>
        <w:t>Bukti digital dipertahankan untuk kepentingan investigasi dan audit.</w:t>
      </w:r>
    </w:p>
    <w:p>
      <w:pPr>
        <w:pStyle w:val="Heading2"/>
      </w:pPr>
      <w:r>
        <w:t>10.13 Keadaan Kahar</w:t>
      </w:r>
    </w:p>
    <w:p>
      <w:pPr>
        <w:pStyle w:val="ListBullet"/>
        <w:spacing w:after="40"/>
        <w:ind w:left="340" w:hanging="142"/>
      </w:pPr>
      <w:r>
        <w:rPr>
          <w:rFonts w:ascii="Liberation Sans" w:hAnsi="Liberation Sans"/>
          <w:sz w:val="20"/>
        </w:rPr>
        <w:t>Pihak yang mengalami keadaan kahar menyampaikan pemberitahuan tertulis paling lambat 3 x 24 jam sejak kejadian.</w:t>
      </w:r>
    </w:p>
    <w:p>
      <w:pPr>
        <w:pStyle w:val="ListBullet"/>
        <w:spacing w:after="40"/>
        <w:ind w:left="340" w:hanging="142"/>
      </w:pPr>
      <w:r>
        <w:rPr>
          <w:rFonts w:ascii="Liberation Sans" w:hAnsi="Liberation Sans"/>
          <w:sz w:val="20"/>
        </w:rPr>
        <w:t>Pemberitahuan memuat bukti, dampak, tindakan sementara, dan usulan waktu pengganti.</w:t>
      </w:r>
    </w:p>
    <w:p>
      <w:pPr>
        <w:pStyle w:val="ListBullet"/>
        <w:spacing w:after="40"/>
        <w:ind w:left="340" w:hanging="142"/>
      </w:pPr>
      <w:r>
        <w:rPr>
          <w:rFonts w:ascii="Liberation Sans" w:hAnsi="Liberation Sans"/>
          <w:sz w:val="20"/>
        </w:rPr>
        <w:t>Penjadwalan ulang tetap memerlukan keputusan hakim atau pejabat berwenang sesuai konteks.</w:t>
      </w:r>
    </w:p>
    <w:p>
      <w:pPr>
        <w:pStyle w:val="Heading2"/>
      </w:pPr>
      <w:r>
        <w:t>10.14 Mutasi atau Perpindahan Tahanan</w:t>
      </w:r>
    </w:p>
    <w:p>
      <w:pPr>
        <w:spacing w:after="40"/>
        <w:ind w:left="312" w:hanging="255"/>
      </w:pPr>
      <w:r>
        <w:rPr>
          <w:rFonts w:ascii="Liberation Sans" w:hAnsi="Liberation Sans"/>
          <w:sz w:val="20"/>
        </w:rPr>
        <w:t>1. Instansi asal mencatat mutasi dan lokasi baru.</w:t>
      </w:r>
    </w:p>
    <w:p>
      <w:pPr>
        <w:spacing w:after="40"/>
        <w:ind w:left="312" w:hanging="255"/>
      </w:pPr>
      <w:r>
        <w:rPr>
          <w:rFonts w:ascii="Liberation Sans" w:hAnsi="Liberation Sans"/>
          <w:sz w:val="20"/>
        </w:rPr>
        <w:t>2. Pejabat penghubung menyampaikan informasi kepada Pengadilan, Kejaksaan, dan satuan kerja Pemasyarakatan tujuan.</w:t>
      </w:r>
    </w:p>
    <w:p>
      <w:pPr>
        <w:spacing w:after="40"/>
        <w:ind w:left="312" w:hanging="255"/>
      </w:pPr>
      <w:r>
        <w:rPr>
          <w:rFonts w:ascii="Liberation Sans" w:hAnsi="Liberation Sans"/>
          <w:sz w:val="20"/>
        </w:rPr>
        <w:t>3. Akses CIMS dialihkan berdasarkan prinsip least privilege.</w:t>
      </w:r>
    </w:p>
    <w:p>
      <w:pPr>
        <w:spacing w:after="40"/>
        <w:ind w:left="312" w:hanging="255"/>
      </w:pPr>
      <w:r>
        <w:rPr>
          <w:rFonts w:ascii="Liberation Sans" w:hAnsi="Liberation Sans"/>
          <w:sz w:val="20"/>
        </w:rPr>
        <w:t>4. Checklist kesiapan, verifikasi identitas, dan uji teknis dilakukan ulang.</w:t>
      </w:r>
    </w:p>
    <w:p>
      <w:pPr>
        <w:spacing w:after="40"/>
        <w:ind w:left="312" w:hanging="255"/>
      </w:pPr>
      <w:r>
        <w:rPr>
          <w:rFonts w:ascii="Liberation Sans" w:hAnsi="Liberation Sans"/>
          <w:sz w:val="20"/>
        </w:rPr>
        <w:t>5. Riwayat lokasi dan pengalihan tanggung jawab disimpan dalam audit trail.</w:t>
      </w:r>
    </w:p>
    <w:p>
      <w:pPr>
        <w:pStyle w:val="Heading2"/>
      </w:pPr>
      <w:r>
        <w:t>10.15 Pembacaan Putusan Tingkat Banding</w:t>
      </w:r>
    </w:p>
    <w:tbl>
      <w:tblPr>
        <w:tblW w:type="auto" w:w="0"/>
        <w:jc w:val="center"/>
        <w:tblLook w:firstColumn="1" w:firstRow="1" w:lastColumn="0" w:lastRow="0" w:noHBand="0" w:noVBand="1" w:val="04A0"/>
      </w:tblPr>
      <w:tblGrid>
        <w:gridCol w:w="9866"/>
      </w:tblGrid>
      <w:tr>
        <w:trPr>
          <w:cantSplit/>
        </w:trPr>
        <w:tc>
          <w:tcPr>
            <w:tcW w:type="dxa" w:w="9866"/>
            <w:shd w:fill="E2F0D9"/>
          </w:tcPr>
          <w:p>
            <w:pPr>
              <w:spacing w:after="60"/>
            </w:pPr>
            <w:r>
              <w:rPr>
                <w:rFonts w:ascii="Liberation Sans" w:hAnsi="Liberation Sans"/>
              </w:rPr>
            </w:r>
            <w:r>
              <w:rPr>
                <w:rFonts w:ascii="Liberation Sans" w:hAnsi="Liberation Sans"/>
                <w:b/>
                <w:color w:val="548235"/>
                <w:sz w:val="21"/>
              </w:rPr>
              <w:t>Ketentuan khusus mulai 1 Agustus 2026</w:t>
            </w:r>
          </w:p>
          <w:p>
            <w:pPr>
              <w:pStyle w:val="BoxText"/>
            </w:pPr>
            <w:r>
              <w:rPr>
                <w:rFonts w:ascii="Liberation Sans" w:hAnsi="Liberation Sans"/>
              </w:rPr>
              <w:t>Modul pembacaan putusan tingkat banding wajib mendukung kehadiran terdakwa dan Penuntut Umum secara langsung atau elektronik, bukti pemberitahuan, pencatatan hadir atau tidak hadir, serta pengunggahan petikan putusan pada hari yang sama.</w:t>
            </w:r>
          </w:p>
        </w:tc>
      </w:tr>
    </w:tbl>
    <w:p>
      <w:pPr>
        <w:spacing w:after="0"/>
      </w:pPr>
    </w:p>
    <w:p>
      <w:pPr>
        <w:spacing w:after="40"/>
        <w:ind w:left="312" w:hanging="255"/>
      </w:pPr>
      <w:r>
        <w:rPr>
          <w:rFonts w:ascii="Liberation Sans" w:hAnsi="Liberation Sans"/>
          <w:sz w:val="20"/>
        </w:rPr>
        <w:t>1. Majelis Hakim Pengadilan Tinggi menetapkan tanggal, waktu, dan cara pembacaan putusan.</w:t>
      </w:r>
    </w:p>
    <w:p>
      <w:pPr>
        <w:spacing w:after="40"/>
        <w:ind w:left="312" w:hanging="255"/>
      </w:pPr>
      <w:r>
        <w:rPr>
          <w:rFonts w:ascii="Liberation Sans" w:hAnsi="Liberation Sans"/>
          <w:sz w:val="20"/>
        </w:rPr>
        <w:t>2. Penetapan memuat tautan undangan apabila pembacaan dilakukan secara elektronik.</w:t>
      </w:r>
    </w:p>
    <w:p>
      <w:pPr>
        <w:spacing w:after="40"/>
        <w:ind w:left="312" w:hanging="255"/>
      </w:pPr>
      <w:r>
        <w:rPr>
          <w:rFonts w:ascii="Liberation Sans" w:hAnsi="Liberation Sans"/>
          <w:sz w:val="20"/>
        </w:rPr>
        <w:t>3. Panitera Pengadilan Tinggi mengirimkan penetapan kepada Penuntut Umum.</w:t>
      </w:r>
    </w:p>
    <w:p>
      <w:pPr>
        <w:spacing w:after="40"/>
        <w:ind w:left="312" w:hanging="255"/>
      </w:pPr>
      <w:r>
        <w:rPr>
          <w:rFonts w:ascii="Liberation Sans" w:hAnsi="Liberation Sans"/>
          <w:sz w:val="20"/>
        </w:rPr>
        <w:t>4. Penuntut Umum meneruskan pemberitahuan kepada terdakwa melalui Pemasyarakatan dan kepada advokat.</w:t>
      </w:r>
    </w:p>
    <w:p>
      <w:pPr>
        <w:spacing w:after="40"/>
        <w:ind w:left="312" w:hanging="255"/>
      </w:pPr>
      <w:r>
        <w:rPr>
          <w:rFonts w:ascii="Liberation Sans" w:hAnsi="Liberation Sans"/>
          <w:sz w:val="20"/>
        </w:rPr>
        <w:t>5. Pemasyarakatan menyampaikan pemberitahuan langsung kepada terdakwa dan merekam bukti penerimaan.</w:t>
      </w:r>
    </w:p>
    <w:p>
      <w:pPr>
        <w:spacing w:after="40"/>
        <w:ind w:left="312" w:hanging="255"/>
      </w:pPr>
      <w:r>
        <w:rPr>
          <w:rFonts w:ascii="Liberation Sans" w:hAnsi="Liberation Sans"/>
          <w:sz w:val="20"/>
        </w:rPr>
        <w:t>6. Apabila tanggal berubah, penetapan perubahan dikirim melalui rantai yang sama.</w:t>
      </w:r>
    </w:p>
    <w:p>
      <w:pPr>
        <w:spacing w:after="40"/>
        <w:ind w:left="312" w:hanging="255"/>
      </w:pPr>
      <w:r>
        <w:rPr>
          <w:rFonts w:ascii="Liberation Sans" w:hAnsi="Liberation Sans"/>
          <w:sz w:val="20"/>
        </w:rPr>
        <w:t>7. Status hadir atau tidak hadir dicatat pada berita acara dan paragraf penutup putusan sesuai keadaan.</w:t>
      </w:r>
    </w:p>
    <w:p>
      <w:pPr>
        <w:spacing w:after="40"/>
        <w:ind w:left="312" w:hanging="255"/>
      </w:pPr>
      <w:r>
        <w:rPr>
          <w:rFonts w:ascii="Liberation Sans" w:hAnsi="Liberation Sans"/>
          <w:sz w:val="20"/>
        </w:rPr>
        <w:t>8. Petikan putusan diunggah pada hari yang sama dengan pembacaan putusan.</w:t>
      </w:r>
    </w:p>
    <w:p>
      <w:pPr>
        <w:spacing w:after="40"/>
        <w:ind w:left="312" w:hanging="255"/>
      </w:pPr>
      <w:r>
        <w:rPr>
          <w:rFonts w:ascii="Liberation Sans" w:hAnsi="Liberation Sans"/>
          <w:sz w:val="20"/>
        </w:rPr>
        <w:t>9. Salinan putusan dan berkas perkara disampaikan kepada pengadilan tingkat pertama dalam tujuh hari.</w:t>
      </w:r>
    </w:p>
    <w:p>
      <w:pPr>
        <w:spacing w:after="40"/>
        <w:ind w:left="312" w:hanging="255"/>
      </w:pPr>
      <w:r>
        <w:rPr>
          <w:rFonts w:ascii="Liberation Sans" w:hAnsi="Liberation Sans"/>
          <w:sz w:val="20"/>
        </w:rPr>
        <w:t>10. Sistem menampilkan tenggang kasasi 14 hari sesuai ketentuan yang berlaku, tanpa mengambil alih perhitungan hukum oleh panitera.</w:t>
      </w:r>
    </w:p>
    <w:p>
      <w:pPr>
        <w:pStyle w:val="Heading2"/>
      </w:pPr>
      <w:r>
        <w:t>10.16 Dokumentasi, Rekaman, dan Dokumen Resmi</w:t>
      </w:r>
    </w:p>
    <w:p>
      <w:pPr>
        <w:pStyle w:val="ListBullet"/>
        <w:spacing w:after="40"/>
        <w:ind w:left="340" w:hanging="142"/>
      </w:pPr>
      <w:r>
        <w:rPr>
          <w:rFonts w:ascii="Liberation Sans" w:hAnsi="Liberation Sans"/>
          <w:sz w:val="20"/>
        </w:rPr>
        <w:t>Penetapan, berita acara, putusan, dakwaan, tuntutan, dan dokumen resmi dikelola pada sistem resmi atau melalui integrasi yang disahkan.</w:t>
      </w:r>
    </w:p>
    <w:p>
      <w:pPr>
        <w:pStyle w:val="ListBullet"/>
        <w:spacing w:after="40"/>
        <w:ind w:left="340" w:hanging="142"/>
      </w:pPr>
      <w:r>
        <w:rPr>
          <w:rFonts w:ascii="Liberation Sans" w:hAnsi="Liberation Sans"/>
          <w:sz w:val="20"/>
        </w:rPr>
        <w:t>CIMS menyimpan metadata, referensi, hash, status sinkronisasi, bukti pengiriman, dan audit trail.</w:t>
      </w:r>
    </w:p>
    <w:p>
      <w:pPr>
        <w:pStyle w:val="ListBullet"/>
        <w:spacing w:after="40"/>
        <w:ind w:left="340" w:hanging="142"/>
      </w:pPr>
      <w:r>
        <w:rPr>
          <w:rFonts w:ascii="Liberation Sans" w:hAnsi="Liberation Sans"/>
          <w:sz w:val="20"/>
        </w:rPr>
        <w:t>Rekaman audiovisual diperlakukan sebagai dokumentasi resmi sesuai PKS dan dikelola dengan chain of custody.</w:t>
      </w:r>
    </w:p>
    <w:p>
      <w:pPr>
        <w:pStyle w:val="ListBullet"/>
        <w:spacing w:after="40"/>
        <w:ind w:left="340" w:hanging="142"/>
      </w:pPr>
      <w:r>
        <w:rPr>
          <w:rFonts w:ascii="Liberation Sans" w:hAnsi="Liberation Sans"/>
          <w:sz w:val="20"/>
        </w:rPr>
        <w:t>Ringkasan AI, transkripsi otomatis, atau analitik tidak menjadi berita acara atau putusan dan wajib melalui verifikasi manusia.</w:t>
      </w:r>
    </w:p>
    <w:p>
      <w:pPr>
        <w:pStyle w:val="Heading2"/>
      </w:pPr>
      <w:r>
        <w:t>10.17 Keamanan Data dan Akses</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2268"/>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Prinsip</w:t>
            </w:r>
          </w:p>
        </w:tc>
        <w:tc>
          <w:tcPr>
            <w:tcW w:type="dxa" w:w="6803"/>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Kontrol Minimum</w:t>
            </w:r>
          </w:p>
        </w:tc>
      </w:tr>
      <w:tr>
        <w:trPr>
          <w:cantSplit/>
        </w:trPr>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Kerahasiaan</w:t>
            </w:r>
          </w:p>
        </w:tc>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Akses berbasis peran, pembatasan perkara, enkripsi, ruang konsultasi privat</w:t>
            </w:r>
          </w:p>
        </w:tc>
      </w:tr>
      <w:tr>
        <w:trPr>
          <w:cantSplit/>
        </w:trPr>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Integritas</w:t>
            </w:r>
          </w:p>
        </w:tc>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Hash, tanda tangan elektronik, versioning, audit log, sinkronisasi tervalidasi</w:t>
            </w:r>
          </w:p>
        </w:tc>
      </w:tr>
      <w:tr>
        <w:trPr>
          <w:cantSplit/>
        </w:trPr>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Ketersediaan</w:t>
            </w:r>
          </w:p>
        </w:tc>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Backup, pemulihan bencana, koneksi cadangan, pemantauan layanan</w:t>
            </w:r>
          </w:p>
        </w:tc>
      </w:tr>
      <w:tr>
        <w:trPr>
          <w:cantSplit/>
        </w:trPr>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Akuntabilitas</w:t>
            </w:r>
          </w:p>
        </w:tc>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Identitas pengguna, MFA, timestamp, IP atau device log, alasan perubahan</w:t>
            </w:r>
          </w:p>
        </w:tc>
      </w:tr>
      <w:tr>
        <w:trPr>
          <w:cantSplit/>
        </w:trPr>
        <w:tc>
          <w:tcPr>
            <w:tcW w:type="dxa" w:w="2268"/>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Minimalisasi data</w:t>
            </w:r>
          </w:p>
        </w:tc>
        <w:tc>
          <w:tcPr>
            <w:tcW w:type="dxa" w:w="680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Menyimpan hanya data yang diperlukan dan menghindari duplikasi dokumen identitas</w:t>
            </w:r>
          </w:p>
        </w:tc>
      </w:tr>
      <w:tr>
        <w:trPr>
          <w:cantSplit/>
        </w:trPr>
        <w:tc>
          <w:tcPr>
            <w:tcW w:type="dxa" w:w="226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Retensi</w:t>
            </w:r>
          </w:p>
        </w:tc>
        <w:tc>
          <w:tcPr>
            <w:tcW w:type="dxa" w:w="680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Jadwal retensi ditetapkan berdasarkan kategori arsip, dokumen perkara, rekaman, dan log</w:t>
            </w:r>
          </w:p>
        </w:tc>
      </w:tr>
    </w:tbl>
    <w:p>
      <w:pPr>
        <w:spacing w:after="20"/>
      </w:pPr>
    </w:p>
    <w:p>
      <w:pPr>
        <w:pStyle w:val="Heading2"/>
      </w:pPr>
      <w:r>
        <w:t>10.18 Monitoring, Evaluasi, dan Pengembangan</w:t>
      </w:r>
    </w:p>
    <w:p>
      <w:pPr>
        <w:pStyle w:val="ListBullet"/>
        <w:spacing w:after="40"/>
        <w:ind w:left="340" w:hanging="142"/>
      </w:pPr>
      <w:r>
        <w:rPr>
          <w:rFonts w:ascii="Liberation Sans" w:hAnsi="Liberation Sans"/>
          <w:sz w:val="20"/>
        </w:rPr>
        <w:t>Monitoring dan evaluasi bersama dilaksanakan sekurang-kurangnya satu kali dalam satu tahun.</w:t>
      </w:r>
    </w:p>
    <w:p>
      <w:pPr>
        <w:pStyle w:val="ListBullet"/>
        <w:spacing w:after="40"/>
        <w:ind w:left="340" w:hanging="142"/>
      </w:pPr>
      <w:r>
        <w:rPr>
          <w:rFonts w:ascii="Liberation Sans" w:hAnsi="Liberation Sans"/>
          <w:sz w:val="20"/>
        </w:rPr>
        <w:t>Evaluasi mencakup pelaksanaan sidang, aplikasi pertukaran data, keamanan, efektivitas, kepatuhan, dan pengalaman pengguna.</w:t>
      </w:r>
    </w:p>
    <w:p>
      <w:pPr>
        <w:pStyle w:val="ListBullet"/>
        <w:spacing w:after="40"/>
        <w:ind w:left="340" w:hanging="142"/>
      </w:pPr>
      <w:r>
        <w:rPr>
          <w:rFonts w:ascii="Liberation Sans" w:hAnsi="Liberation Sans"/>
          <w:sz w:val="20"/>
        </w:rPr>
        <w:t>Perubahan sistem yang memengaruhi kewenangan, data sensitif, rekaman, atau AI wajib melalui analisis dampak dan persetujuan.</w:t>
      </w:r>
    </w:p>
    <w:p>
      <w:pPr>
        <w:pStyle w:val="Heading1"/>
      </w:pPr>
      <w:r>
        <w:t>11. SLA DAN INDIKATOR KINERJA</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3118"/>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Indikator</w:t>
            </w:r>
          </w:p>
        </w:tc>
        <w:tc>
          <w:tcPr>
            <w:tcW w:type="dxa" w:w="5953"/>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Definisi</w:t>
            </w:r>
          </w:p>
        </w:tc>
      </w:tr>
      <w:tr>
        <w:trPr>
          <w:cantSplit/>
        </w:trPr>
        <w:tc>
          <w:tcPr>
            <w:tcW w:type="dxa" w:w="311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Persentase pemberitahuan berhasil</w:t>
            </w:r>
          </w:p>
        </w:tc>
        <w:tc>
          <w:tcPr>
            <w:tcW w:type="dxa" w:w="595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Pemberitahuan yang diterima dibanding total pemberitahuan</w:t>
            </w:r>
          </w:p>
        </w:tc>
      </w:tr>
      <w:tr>
        <w:trPr>
          <w:cantSplit/>
        </w:trPr>
        <w:tc>
          <w:tcPr>
            <w:tcW w:type="dxa" w:w="311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Persentase acknowledgment tepat waktu</w:t>
            </w:r>
          </w:p>
        </w:tc>
        <w:tc>
          <w:tcPr>
            <w:tcW w:type="dxa" w:w="595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Acknowledgment sesuai SLA konfigurasi</w:t>
            </w:r>
          </w:p>
        </w:tc>
      </w:tr>
      <w:tr>
        <w:trPr>
          <w:cantSplit/>
        </w:trPr>
        <w:tc>
          <w:tcPr>
            <w:tcW w:type="dxa" w:w="311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Kesiapan sebelum sidang</w:t>
            </w:r>
          </w:p>
        </w:tc>
        <w:tc>
          <w:tcPr>
            <w:tcW w:type="dxa" w:w="595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Checklist lengkap sebelum waktu mulai</w:t>
            </w:r>
          </w:p>
        </w:tc>
      </w:tr>
      <w:tr>
        <w:trPr>
          <w:cantSplit/>
        </w:trPr>
        <w:tc>
          <w:tcPr>
            <w:tcW w:type="dxa" w:w="311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Ketepatan waktu mulai sidang</w:t>
            </w:r>
          </w:p>
        </w:tc>
        <w:tc>
          <w:tcPr>
            <w:tcW w:type="dxa" w:w="595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Sidang dimulai sesuai toleransi yang disepakati</w:t>
            </w:r>
          </w:p>
        </w:tc>
      </w:tr>
      <w:tr>
        <w:trPr>
          <w:cantSplit/>
        </w:trPr>
        <w:tc>
          <w:tcPr>
            <w:tcW w:type="dxa" w:w="311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Gangguan teknis</w:t>
            </w:r>
          </w:p>
        </w:tc>
        <w:tc>
          <w:tcPr>
            <w:tcW w:type="dxa" w:w="595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Jumlah, durasi, dan waktu pemulihan</w:t>
            </w:r>
          </w:p>
        </w:tc>
      </w:tr>
      <w:tr>
        <w:trPr>
          <w:cantSplit/>
        </w:trPr>
        <w:tc>
          <w:tcPr>
            <w:tcW w:type="dxa" w:w="311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Insiden siber</w:t>
            </w:r>
          </w:p>
        </w:tc>
        <w:tc>
          <w:tcPr>
            <w:tcW w:type="dxa" w:w="595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Jumlah, tingkat dampak, dan kepatuhan pemberitahuan 1 x 24 jam</w:t>
            </w:r>
          </w:p>
        </w:tc>
      </w:tr>
      <w:tr>
        <w:trPr>
          <w:cantSplit/>
        </w:trPr>
        <w:tc>
          <w:tcPr>
            <w:tcW w:type="dxa" w:w="311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Keadaan kahar</w:t>
            </w:r>
          </w:p>
        </w:tc>
        <w:tc>
          <w:tcPr>
            <w:tcW w:type="dxa" w:w="595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Kepatuhan pemberitahuan 3 x 24 jam</w:t>
            </w:r>
          </w:p>
        </w:tc>
      </w:tr>
      <w:tr>
        <w:trPr>
          <w:cantSplit/>
        </w:trPr>
        <w:tc>
          <w:tcPr>
            <w:tcW w:type="dxa" w:w="3118"/>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Kepatuhan dokumentasi</w:t>
            </w:r>
          </w:p>
        </w:tc>
        <w:tc>
          <w:tcPr>
            <w:tcW w:type="dxa" w:w="5953"/>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Berita acara, bukti terima, rekaman, dan log tersedia</w:t>
            </w:r>
          </w:p>
        </w:tc>
      </w:tr>
      <w:tr>
        <w:trPr>
          <w:cantSplit/>
        </w:trPr>
        <w:tc>
          <w:tcPr>
            <w:tcW w:type="dxa" w:w="3118"/>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Kepatuhan putusan banding</w:t>
            </w:r>
          </w:p>
        </w:tc>
        <w:tc>
          <w:tcPr>
            <w:tcW w:type="dxa" w:w="5953"/>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Petikan hari yang sama dan salinan atau berkas tujuh hari</w:t>
            </w:r>
          </w:p>
        </w:tc>
      </w:tr>
    </w:tbl>
    <w:p>
      <w:pPr>
        <w:spacing w:after="20"/>
      </w:pPr>
    </w:p>
    <w:p>
      <w:pPr>
        <w:pStyle w:val="SmallNote"/>
      </w:pPr>
      <w:r>
        <w:t>Nilai target numerik ditetapkan dalam lampiran SLA atau keputusan bersama agar dapat dikonfigurasi tanpa mengubah substansi SOP.</w:t>
      </w:r>
    </w:p>
    <w:p>
      <w:pPr>
        <w:pStyle w:val="Heading1"/>
      </w:pPr>
      <w:r>
        <w:t>12. REKAMAN DAN FORMULIR WAJIB</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1417"/>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Kode</w:t>
            </w:r>
          </w:p>
        </w:tc>
        <w:tc>
          <w:tcPr>
            <w:tcW w:type="dxa" w:w="7654"/>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Nama Formulir</w:t>
            </w:r>
          </w:p>
        </w:tc>
      </w:tr>
      <w:tr>
        <w:trPr>
          <w:cantSplit/>
        </w:trPr>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F-01</w:t>
            </w:r>
          </w:p>
        </w:tc>
        <w:tc>
          <w:tcPr>
            <w:tcW w:type="dxa" w:w="765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Form permohonan atau identifikasi keadaan tertentu</w:t>
            </w:r>
          </w:p>
        </w:tc>
      </w:tr>
      <w:tr>
        <w:trPr>
          <w:cantSplit/>
        </w:trPr>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F-02</w:t>
            </w:r>
          </w:p>
        </w:tc>
        <w:tc>
          <w:tcPr>
            <w:tcW w:type="dxa" w:w="765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Penetapan persidangan elektronik dan referensi dokumen</w:t>
            </w:r>
          </w:p>
        </w:tc>
      </w:tr>
      <w:tr>
        <w:trPr>
          <w:cantSplit/>
        </w:trPr>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F-03</w:t>
            </w:r>
          </w:p>
        </w:tc>
        <w:tc>
          <w:tcPr>
            <w:tcW w:type="dxa" w:w="765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Form pemberitahuan dan acknowledgment</w:t>
            </w:r>
          </w:p>
        </w:tc>
      </w:tr>
      <w:tr>
        <w:trPr>
          <w:cantSplit/>
        </w:trPr>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F-04</w:t>
            </w:r>
          </w:p>
        </w:tc>
        <w:tc>
          <w:tcPr>
            <w:tcW w:type="dxa" w:w="765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Checklist kesiapan dan uji teknis</w:t>
            </w:r>
          </w:p>
        </w:tc>
      </w:tr>
      <w:tr>
        <w:trPr>
          <w:cantSplit/>
        </w:trPr>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F-05</w:t>
            </w:r>
          </w:p>
        </w:tc>
        <w:tc>
          <w:tcPr>
            <w:tcW w:type="dxa" w:w="765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Form verifikasi identitas dan sterilitas ruangan</w:t>
            </w:r>
          </w:p>
        </w:tc>
      </w:tr>
      <w:tr>
        <w:trPr>
          <w:cantSplit/>
        </w:trPr>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F-06</w:t>
            </w:r>
          </w:p>
        </w:tc>
        <w:tc>
          <w:tcPr>
            <w:tcW w:type="dxa" w:w="765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Daftar hadir elektronik</w:t>
            </w:r>
          </w:p>
        </w:tc>
      </w:tr>
      <w:tr>
        <w:trPr>
          <w:cantSplit/>
        </w:trPr>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F-07</w:t>
            </w:r>
          </w:p>
        </w:tc>
        <w:tc>
          <w:tcPr>
            <w:tcW w:type="dxa" w:w="765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Laporan gangguan teknis</w:t>
            </w:r>
          </w:p>
        </w:tc>
      </w:tr>
      <w:tr>
        <w:trPr>
          <w:cantSplit/>
        </w:trPr>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F-08</w:t>
            </w:r>
          </w:p>
        </w:tc>
        <w:tc>
          <w:tcPr>
            <w:tcW w:type="dxa" w:w="765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Laporan insiden siber</w:t>
            </w:r>
          </w:p>
        </w:tc>
      </w:tr>
      <w:tr>
        <w:trPr>
          <w:cantSplit/>
        </w:trPr>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F-09</w:t>
            </w:r>
          </w:p>
        </w:tc>
        <w:tc>
          <w:tcPr>
            <w:tcW w:type="dxa" w:w="765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Pemberitahuan keadaan kahar</w:t>
            </w:r>
          </w:p>
        </w:tc>
      </w:tr>
      <w:tr>
        <w:trPr>
          <w:cantSplit/>
        </w:trPr>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F-10</w:t>
            </w:r>
          </w:p>
        </w:tc>
        <w:tc>
          <w:tcPr>
            <w:tcW w:type="dxa" w:w="765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Form mutasi atau pengalihan lokasi tahanan</w:t>
            </w:r>
          </w:p>
        </w:tc>
      </w:tr>
      <w:tr>
        <w:trPr>
          <w:cantSplit/>
        </w:trPr>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F-11</w:t>
            </w:r>
          </w:p>
        </w:tc>
        <w:tc>
          <w:tcPr>
            <w:tcW w:type="dxa" w:w="765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Form pembacaan putusan tingkat banding</w:t>
            </w:r>
          </w:p>
        </w:tc>
      </w:tr>
      <w:tr>
        <w:trPr>
          <w:cantSplit/>
        </w:trPr>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F-12</w:t>
            </w:r>
          </w:p>
        </w:tc>
        <w:tc>
          <w:tcPr>
            <w:tcW w:type="dxa" w:w="765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Laporan monitoring dan evaluasi tahunan</w:t>
            </w:r>
          </w:p>
        </w:tc>
      </w:tr>
    </w:tbl>
    <w:p>
      <w:pPr>
        <w:spacing w:after="20"/>
      </w:pPr>
    </w:p>
    <w:p>
      <w:pPr>
        <w:pStyle w:val="Heading1"/>
      </w:pPr>
      <w:r>
        <w:t>13. STATUS PROSES DALAM CIMS</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3402"/>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Status</w:t>
            </w:r>
          </w:p>
        </w:tc>
        <w:tc>
          <w:tcPr>
            <w:tcW w:type="dxa" w:w="5669"/>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7"/>
              </w:rPr>
              <w:t>Makna</w:t>
            </w:r>
          </w:p>
        </w:tc>
      </w:tr>
      <w:tr>
        <w:trPr>
          <w:cantSplit/>
        </w:trPr>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DRAFT</w:t>
            </w:r>
          </w:p>
        </w:tc>
        <w:tc>
          <w:tcPr>
            <w:tcW w:type="dxa" w:w="56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Data awal belum diajukan</w:t>
            </w:r>
          </w:p>
        </w:tc>
      </w:tr>
      <w:tr>
        <w:trPr>
          <w:cantSplit/>
        </w:trPr>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WAITING_JUDICIAL_DETERMINATION</w:t>
            </w:r>
          </w:p>
        </w:tc>
        <w:tc>
          <w:tcPr>
            <w:tcW w:type="dxa" w:w="56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Menunggu penetapan hakim atau majelis hakim</w:t>
            </w:r>
          </w:p>
        </w:tc>
      </w:tr>
      <w:tr>
        <w:trPr>
          <w:cantSplit/>
        </w:trPr>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ELECTRONIC_TRIAL_DETERMINED</w:t>
            </w:r>
          </w:p>
        </w:tc>
        <w:tc>
          <w:tcPr>
            <w:tcW w:type="dxa" w:w="56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Persidangan elektronik telah ditetapkan</w:t>
            </w:r>
          </w:p>
        </w:tc>
      </w:tr>
      <w:tr>
        <w:trPr>
          <w:cantSplit/>
        </w:trPr>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COORDINATION</w:t>
            </w:r>
          </w:p>
        </w:tc>
        <w:tc>
          <w:tcPr>
            <w:tcW w:type="dxa" w:w="56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Koordinasi jadwal dan peserta</w:t>
            </w:r>
          </w:p>
        </w:tc>
      </w:tr>
      <w:tr>
        <w:trPr>
          <w:cantSplit/>
        </w:trPr>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WAITING_ACKNOWLEDGMENT</w:t>
            </w:r>
          </w:p>
        </w:tc>
        <w:tc>
          <w:tcPr>
            <w:tcW w:type="dxa" w:w="56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Menunggu konfirmasi penerimaan</w:t>
            </w:r>
          </w:p>
        </w:tc>
      </w:tr>
      <w:tr>
        <w:trPr>
          <w:cantSplit/>
        </w:trPr>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READINESS_CHECK</w:t>
            </w:r>
          </w:p>
        </w:tc>
        <w:tc>
          <w:tcPr>
            <w:tcW w:type="dxa" w:w="56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Checklist kesiapan sedang dilengkapi</w:t>
            </w:r>
          </w:p>
        </w:tc>
      </w:tr>
      <w:tr>
        <w:trPr>
          <w:cantSplit/>
        </w:trPr>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TECHNICAL_TEST</w:t>
            </w:r>
          </w:p>
        </w:tc>
        <w:tc>
          <w:tcPr>
            <w:tcW w:type="dxa" w:w="56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Uji teknis sedang dilaksanakan</w:t>
            </w:r>
          </w:p>
        </w:tc>
      </w:tr>
      <w:tr>
        <w:trPr>
          <w:cantSplit/>
        </w:trPr>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READY</w:t>
            </w:r>
          </w:p>
        </w:tc>
        <w:tc>
          <w:tcPr>
            <w:tcW w:type="dxa" w:w="56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Seluruh persyaratan minimum terpenuhi</w:t>
            </w:r>
          </w:p>
        </w:tc>
      </w:tr>
      <w:tr>
        <w:trPr>
          <w:cantSplit/>
        </w:trPr>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IN_PROGRESS</w:t>
            </w:r>
          </w:p>
        </w:tc>
        <w:tc>
          <w:tcPr>
            <w:tcW w:type="dxa" w:w="56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Sidang berlangsung</w:t>
            </w:r>
          </w:p>
        </w:tc>
      </w:tr>
      <w:tr>
        <w:trPr>
          <w:cantSplit/>
        </w:trPr>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SUSPENDED</w:t>
            </w:r>
          </w:p>
        </w:tc>
        <w:tc>
          <w:tcPr>
            <w:tcW w:type="dxa" w:w="56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Sidang diskors</w:t>
            </w:r>
          </w:p>
        </w:tc>
      </w:tr>
      <w:tr>
        <w:trPr>
          <w:cantSplit/>
        </w:trPr>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POSTPONED</w:t>
            </w:r>
          </w:p>
        </w:tc>
        <w:tc>
          <w:tcPr>
            <w:tcW w:type="dxa" w:w="56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Sidang ditunda</w:t>
            </w:r>
          </w:p>
        </w:tc>
      </w:tr>
      <w:tr>
        <w:trPr>
          <w:cantSplit/>
        </w:trPr>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COMPLETED</w:t>
            </w:r>
          </w:p>
        </w:tc>
        <w:tc>
          <w:tcPr>
            <w:tcW w:type="dxa" w:w="56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Sidang selesai</w:t>
            </w:r>
          </w:p>
        </w:tc>
      </w:tr>
      <w:tr>
        <w:trPr>
          <w:cantSplit/>
        </w:trPr>
        <w:tc>
          <w:tcPr>
            <w:tcW w:type="dxa" w:w="3402"/>
            <w:vAlign w:val="center"/>
            <w:tcMar>
              <w:top w:w="80" w:type="dxa"/>
              <w:start w:w="100" w:type="dxa"/>
              <w:bottom w:w="80" w:type="dxa"/>
              <w:end w:w="100" w:type="dxa"/>
            </w:tcMar>
          </w:tcPr>
          <w:p>
            <w:pPr>
              <w:spacing w:after="0" w:before="0"/>
              <w:jc w:val="left"/>
            </w:pPr>
            <w:r/>
            <w:r>
              <w:rPr>
                <w:rFonts w:ascii="Liberation Sans" w:hAnsi="Liberation Sans" w:eastAsia="Liberation Sans"/>
                <w:b/>
                <w:color w:val="1F2937"/>
                <w:sz w:val="17"/>
              </w:rPr>
              <w:t>DOCUMENTATION_PENDING</w:t>
            </w:r>
          </w:p>
        </w:tc>
        <w:tc>
          <w:tcPr>
            <w:tcW w:type="dxa" w:w="5669"/>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7"/>
              </w:rPr>
              <w:t>Dokumentasi atau sinkronisasi belum lengkap</w:t>
            </w:r>
          </w:p>
        </w:tc>
      </w:tr>
      <w:tr>
        <w:trPr>
          <w:cantSplit/>
        </w:trPr>
        <w:tc>
          <w:tcPr>
            <w:tcW w:type="dxa" w:w="3402"/>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color w:val="1F2937"/>
                <w:sz w:val="17"/>
              </w:rPr>
              <w:t>CLOSED</w:t>
            </w:r>
          </w:p>
        </w:tc>
        <w:tc>
          <w:tcPr>
            <w:tcW w:type="dxa" w:w="5669"/>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7"/>
              </w:rPr>
              <w:t>Proses ditutup setelah dokumen dan audit lengkap</w:t>
            </w:r>
          </w:p>
        </w:tc>
      </w:tr>
    </w:tbl>
    <w:p>
      <w:pPr>
        <w:spacing w:after="20"/>
      </w:pPr>
    </w:p>
    <w:p>
      <w:pPr>
        <w:pStyle w:val="Heading1"/>
      </w:pPr>
      <w:r>
        <w:t>14. MATRIKS RACI RINGKAS</w:t>
      </w:r>
    </w:p>
    <w:tbl>
      <w:tblPr>
        <w:tblStyle w:val="TableGrid"/>
        <w:tblW w:type="auto" w:w="0"/>
        <w:jc w:val="center"/>
        <w:tblLayout w:type="autofit"/>
        <w:tblLook w:firstColumn="1" w:firstRow="1" w:lastColumn="0" w:lastRow="0" w:noHBand="0" w:noVBand="1" w:val="04A0"/>
      </w:tblPr>
      <w:tblGrid>
        <w:gridCol w:w="1973"/>
        <w:gridCol w:w="1973"/>
        <w:gridCol w:w="1973"/>
        <w:gridCol w:w="1973"/>
        <w:gridCol w:w="1973"/>
      </w:tblGrid>
      <w:tr>
        <w:trPr>
          <w:tblHeader w:val="true"/>
          <w:cantSplit/>
        </w:trPr>
        <w:tc>
          <w:tcPr>
            <w:tcW w:type="dxa" w:w="3005"/>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5"/>
              </w:rPr>
              <w:t>Aktivitas</w:t>
            </w:r>
          </w:p>
        </w:tc>
        <w:tc>
          <w:tcPr>
            <w:tcW w:type="dxa" w:w="1417"/>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5"/>
              </w:rPr>
              <w:t>Pengadilan</w:t>
            </w:r>
          </w:p>
        </w:tc>
        <w:tc>
          <w:tcPr>
            <w:tcW w:type="dxa" w:w="1417"/>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5"/>
              </w:rPr>
              <w:t>Kejaksaan</w:t>
            </w:r>
          </w:p>
        </w:tc>
        <w:tc>
          <w:tcPr>
            <w:tcW w:type="dxa" w:w="1587"/>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5"/>
              </w:rPr>
              <w:t>Pemasyarakatan</w:t>
            </w:r>
          </w:p>
        </w:tc>
        <w:tc>
          <w:tcPr>
            <w:tcW w:type="dxa" w:w="1984"/>
            <w:vAlign w:val="center"/>
            <w:tcMar>
              <w:top w:w="80" w:type="dxa"/>
              <w:start w:w="100" w:type="dxa"/>
              <w:bottom w:w="80" w:type="dxa"/>
              <w:end w:w="100" w:type="dxa"/>
            </w:tcMar>
            <w:shd w:fill="17365D"/>
          </w:tcPr>
          <w:p>
            <w:pPr>
              <w:spacing w:after="0" w:before="0"/>
              <w:jc w:val="center"/>
            </w:pPr>
            <w:r/>
            <w:r>
              <w:rPr>
                <w:rFonts w:ascii="Liberation Sans" w:hAnsi="Liberation Sans" w:eastAsia="Liberation Sans"/>
                <w:b/>
                <w:color w:val="FFFFFF"/>
                <w:sz w:val="15"/>
              </w:rPr>
              <w:t>Tim TI/Pejabat Penghubung</w:t>
            </w:r>
          </w:p>
        </w:tc>
      </w:tr>
      <w:tr>
        <w:trPr>
          <w:cantSplit/>
        </w:trPr>
        <w:tc>
          <w:tcPr>
            <w:tcW w:type="dxa" w:w="300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Penetapan elektronik</w:t>
            </w:r>
          </w:p>
        </w:tc>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A/R</w:t>
            </w:r>
          </w:p>
        </w:tc>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C</w:t>
            </w:r>
          </w:p>
        </w:tc>
        <w:tc>
          <w:tcPr>
            <w:tcW w:type="dxa" w:w="158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C</w:t>
            </w:r>
          </w:p>
        </w:tc>
        <w:tc>
          <w:tcPr>
            <w:tcW w:type="dxa" w:w="198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I</w:t>
            </w:r>
          </w:p>
        </w:tc>
      </w:tr>
      <w:tr>
        <w:trPr>
          <w:cantSplit/>
        </w:trPr>
        <w:tc>
          <w:tcPr>
            <w:tcW w:type="dxa" w:w="300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Penyusunan jadwal</w:t>
            </w:r>
          </w:p>
        </w:tc>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A/R</w:t>
            </w:r>
          </w:p>
        </w:tc>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C</w:t>
            </w:r>
          </w:p>
        </w:tc>
        <w:tc>
          <w:tcPr>
            <w:tcW w:type="dxa" w:w="158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C</w:t>
            </w:r>
          </w:p>
        </w:tc>
        <w:tc>
          <w:tcPr>
            <w:tcW w:type="dxa" w:w="198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I</w:t>
            </w:r>
          </w:p>
        </w:tc>
      </w:tr>
      <w:tr>
        <w:trPr>
          <w:cantSplit/>
        </w:trPr>
        <w:tc>
          <w:tcPr>
            <w:tcW w:type="dxa" w:w="300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Pemberitahuan ke Kejaksaan</w:t>
            </w:r>
          </w:p>
        </w:tc>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A/R</w:t>
            </w:r>
          </w:p>
        </w:tc>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Rcv</w:t>
            </w:r>
          </w:p>
        </w:tc>
        <w:tc>
          <w:tcPr>
            <w:tcW w:type="dxa" w:w="158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I</w:t>
            </w:r>
          </w:p>
        </w:tc>
        <w:tc>
          <w:tcPr>
            <w:tcW w:type="dxa" w:w="198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C</w:t>
            </w:r>
          </w:p>
        </w:tc>
      </w:tr>
      <w:tr>
        <w:trPr>
          <w:cantSplit/>
        </w:trPr>
        <w:tc>
          <w:tcPr>
            <w:tcW w:type="dxa" w:w="300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Pemberitahuan ke terdakwa</w:t>
            </w:r>
          </w:p>
        </w:tc>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I</w:t>
            </w:r>
          </w:p>
        </w:tc>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A/R</w:t>
            </w:r>
          </w:p>
        </w:tc>
        <w:tc>
          <w:tcPr>
            <w:tcW w:type="dxa" w:w="158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R</w:t>
            </w:r>
          </w:p>
        </w:tc>
        <w:tc>
          <w:tcPr>
            <w:tcW w:type="dxa" w:w="198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C</w:t>
            </w:r>
          </w:p>
        </w:tc>
      </w:tr>
      <w:tr>
        <w:trPr>
          <w:cantSplit/>
        </w:trPr>
        <w:tc>
          <w:tcPr>
            <w:tcW w:type="dxa" w:w="300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Persiapan terdakwa dan ruang</w:t>
            </w:r>
          </w:p>
        </w:tc>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I</w:t>
            </w:r>
          </w:p>
        </w:tc>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C</w:t>
            </w:r>
          </w:p>
        </w:tc>
        <w:tc>
          <w:tcPr>
            <w:tcW w:type="dxa" w:w="158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A/R</w:t>
            </w:r>
          </w:p>
        </w:tc>
        <w:tc>
          <w:tcPr>
            <w:tcW w:type="dxa" w:w="198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C</w:t>
            </w:r>
          </w:p>
        </w:tc>
      </w:tr>
      <w:tr>
        <w:trPr>
          <w:cantSplit/>
        </w:trPr>
        <w:tc>
          <w:tcPr>
            <w:tcW w:type="dxa" w:w="300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Uji teknis</w:t>
            </w:r>
          </w:p>
        </w:tc>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C</w:t>
            </w:r>
          </w:p>
        </w:tc>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C</w:t>
            </w:r>
          </w:p>
        </w:tc>
        <w:tc>
          <w:tcPr>
            <w:tcW w:type="dxa" w:w="158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R</w:t>
            </w:r>
          </w:p>
        </w:tc>
        <w:tc>
          <w:tcPr>
            <w:tcW w:type="dxa" w:w="198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A/R</w:t>
            </w:r>
          </w:p>
        </w:tc>
      </w:tr>
      <w:tr>
        <w:trPr>
          <w:cantSplit/>
        </w:trPr>
        <w:tc>
          <w:tcPr>
            <w:tcW w:type="dxa" w:w="300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Pelaksanaan sidang</w:t>
            </w:r>
          </w:p>
        </w:tc>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A/R</w:t>
            </w:r>
          </w:p>
        </w:tc>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R</w:t>
            </w:r>
          </w:p>
        </w:tc>
        <w:tc>
          <w:tcPr>
            <w:tcW w:type="dxa" w:w="158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R</w:t>
            </w:r>
          </w:p>
        </w:tc>
        <w:tc>
          <w:tcPr>
            <w:tcW w:type="dxa" w:w="198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C</w:t>
            </w:r>
          </w:p>
        </w:tc>
      </w:tr>
      <w:tr>
        <w:trPr>
          <w:cantSplit/>
        </w:trPr>
        <w:tc>
          <w:tcPr>
            <w:tcW w:type="dxa" w:w="300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Gangguan teknis</w:t>
            </w:r>
          </w:p>
        </w:tc>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A keputusan</w:t>
            </w:r>
          </w:p>
        </w:tc>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C</w:t>
            </w:r>
          </w:p>
        </w:tc>
        <w:tc>
          <w:tcPr>
            <w:tcW w:type="dxa" w:w="158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C</w:t>
            </w:r>
          </w:p>
        </w:tc>
        <w:tc>
          <w:tcPr>
            <w:tcW w:type="dxa" w:w="198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R teknis</w:t>
            </w:r>
          </w:p>
        </w:tc>
      </w:tr>
      <w:tr>
        <w:trPr>
          <w:cantSplit/>
        </w:trPr>
        <w:tc>
          <w:tcPr>
            <w:tcW w:type="dxa" w:w="3005"/>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Insiden siber</w:t>
            </w:r>
          </w:p>
        </w:tc>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A governance</w:t>
            </w:r>
          </w:p>
        </w:tc>
        <w:tc>
          <w:tcPr>
            <w:tcW w:type="dxa" w:w="141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C</w:t>
            </w:r>
          </w:p>
        </w:tc>
        <w:tc>
          <w:tcPr>
            <w:tcW w:type="dxa" w:w="1587"/>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C</w:t>
            </w:r>
          </w:p>
        </w:tc>
        <w:tc>
          <w:tcPr>
            <w:tcW w:type="dxa" w:w="1984"/>
            <w:vAlign w:val="center"/>
            <w:tcMar>
              <w:top w:w="80" w:type="dxa"/>
              <w:start w:w="100" w:type="dxa"/>
              <w:bottom w:w="80" w:type="dxa"/>
              <w:end w:w="100" w:type="dxa"/>
            </w:tcMar>
          </w:tcPr>
          <w:p>
            <w:pPr>
              <w:spacing w:after="0" w:before="0"/>
              <w:jc w:val="left"/>
            </w:pPr>
            <w:r/>
            <w:r>
              <w:rPr>
                <w:rFonts w:ascii="Liberation Sans" w:hAnsi="Liberation Sans" w:eastAsia="Liberation Sans"/>
                <w:b w:val="0"/>
                <w:color w:val="1F2937"/>
                <w:sz w:val="15"/>
              </w:rPr>
              <w:t>R mitigasi</w:t>
            </w:r>
          </w:p>
        </w:tc>
      </w:tr>
      <w:tr>
        <w:trPr>
          <w:cantSplit/>
        </w:trPr>
        <w:tc>
          <w:tcPr>
            <w:tcW w:type="dxa" w:w="3005"/>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Monitoring tahunan</w:t>
            </w:r>
          </w:p>
        </w:tc>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A/R</w:t>
            </w:r>
          </w:p>
        </w:tc>
        <w:tc>
          <w:tcPr>
            <w:tcW w:type="dxa" w:w="141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A/R</w:t>
            </w:r>
          </w:p>
        </w:tc>
        <w:tc>
          <w:tcPr>
            <w:tcW w:type="dxa" w:w="1587"/>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A/R</w:t>
            </w:r>
          </w:p>
        </w:tc>
        <w:tc>
          <w:tcPr>
            <w:tcW w:type="dxa" w:w="1984"/>
            <w:vAlign w:val="center"/>
            <w:tcMar>
              <w:top w:w="80" w:type="dxa"/>
              <w:start w:w="100" w:type="dxa"/>
              <w:bottom w:w="80" w:type="dxa"/>
              <w:end w:w="100" w:type="dxa"/>
            </w:tcMar>
            <w:shd w:fill="F8FAFC"/>
          </w:tcPr>
          <w:p>
            <w:pPr>
              <w:spacing w:after="0" w:before="0"/>
              <w:jc w:val="left"/>
            </w:pPr>
            <w:r/>
            <w:r>
              <w:rPr>
                <w:rFonts w:ascii="Liberation Sans" w:hAnsi="Liberation Sans" w:eastAsia="Liberation Sans"/>
                <w:b w:val="0"/>
                <w:color w:val="1F2937"/>
                <w:sz w:val="15"/>
              </w:rPr>
              <w:t>C</w:t>
            </w:r>
          </w:p>
        </w:tc>
      </w:tr>
    </w:tbl>
    <w:p>
      <w:pPr>
        <w:spacing w:after="20"/>
      </w:pPr>
    </w:p>
    <w:p>
      <w:pPr>
        <w:pStyle w:val="SmallNote"/>
      </w:pPr>
      <w:r>
        <w:t>A = accountable, R = responsible, C = consulted, I = informed.</w:t>
      </w:r>
    </w:p>
    <w:p>
      <w:pPr>
        <w:pStyle w:val="Heading1"/>
      </w:pPr>
      <w:r>
        <w:t>15. PENUTUP</w:t>
      </w:r>
    </w:p>
    <w:p>
      <w:r>
        <w:t>SOP ini menjadi dasar operasional pengembangan dan penggunaan CIMS sebagai sistem pendukung koordinasi persidangan pidana elektronik. Setiap fitur CIMS harus diturunkan dari prosedur, kewenangan, bukti, dan kontrol yang ditetapkan dalam SOP ini. Implementasi produksi hanya dapat dilakukan setelah validasi hukum, uji keamanan, uji penerimaan pengguna lintas instansi, penetapan SLA, dan pengesahan pejabat berwenang.</w:t>
      </w:r>
    </w:p>
    <w:sectPr w:rsidR="00FC693F" w:rsidRPr="0006063C" w:rsidSect="00034616">
      <w:headerReference w:type="default" r:id="rId9"/>
      <w:footerReference w:type="default" r:id="rId10"/>
      <w:pgSz w:w="11906" w:h="16838"/>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8738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87385"/>
        <w:sz w:val="16"/>
      </w:rPr>
      <w:t>CIMS | Persidangan Pidana Elektronik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Liberation Sans" w:hAnsi="Liberation Sans" w:eastAsia="Liberation San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C8A4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eastAsia="Liberation Sans"/>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Liberation Sans" w:hAnsi="Liberation Sans" w:eastAsia="Liberation Sans"/>
      <w:b/>
      <w:i/>
      <w:iCs/>
      <w:color w:val="2F75B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eastAsia="Liberation Sans"/>
      <w:color w:val="5B6573"/>
      <w:sz w:val="17"/>
    </w:rPr>
  </w:style>
  <w:style w:type="paragraph" w:customStyle="1" w:styleId="BoxText">
    <w:name w:val="Box Text"/>
    <w:pPr>
      <w:spacing w:after="40"/>
    </w:pPr>
    <w:rPr>
      <w:rFonts w:ascii="Liberation Sans" w:hAnsi="Liberation Sans" w:eastAsia="Liberation San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Persidangan Pidana Elektronik CIMS Revisi 2026</dc:title>
  <dc:subject>Koordinasi lintas instansi dan persyaratan aplikasi CIMS</dc:subject>
  <dc:creator>Tim Penyusun</dc:creator>
  <cp:keywords/>
  <dc:description>generated by python-docx</dc:description>
  <cp:lastModifiedBy/>
  <cp:revision>1</cp:revision>
  <dcterms:created xsi:type="dcterms:W3CDTF">2013-12-23T23:15:00Z</dcterms:created>
  <dcterms:modified xsi:type="dcterms:W3CDTF">2013-12-23T23:15:00Z</dcterms:modified>
  <cp:category/>
</cp:coreProperties>
</file>