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7365D"/>
          <w:sz w:val="44"/>
        </w:rPr>
        <w:t>MATRIKS PENYESUAIAN MVP CIMS</w:t>
      </w:r>
    </w:p>
    <w:p>
      <w:pPr>
        <w:jc w:val="center"/>
      </w:pPr>
      <w:r>
        <w:rPr>
          <w:rFonts w:ascii="Liberation Sans" w:hAnsi="Liberation Sans"/>
          <w:b/>
          <w:color w:val="2F75B5"/>
          <w:sz w:val="24"/>
        </w:rPr>
        <w:t>Penyesuaian Produk, Proses, Data, dan Roadmap Berdasarkan SOP, PKS Persidangan Elektronik, dan SEMA Nomor 2 Tahun 2026</w:t>
      </w:r>
    </w:p>
    <w:p/>
    <w:tbl>
      <w:tblPr>
        <w:tblW w:type="auto" w:w="0"/>
        <w:jc w:val="center"/>
        <w:tblLayout w:type="fixed"/>
        <w:tblLook w:firstColumn="1" w:firstRow="1" w:lastColumn="0" w:lastRow="0" w:noHBand="0" w:noVBand="1" w:val="04A0"/>
      </w:tblPr>
      <w:tblGrid>
        <w:gridCol w:w="2835"/>
        <w:gridCol w:w="5102"/>
      </w:tblGrid>
      <w:tr>
        <w:trPr>
          <w:cantSplit/>
        </w:trPr>
        <w:tc>
          <w:tcPr>
            <w:tcW w:type="dxa" w:w="7399"/>
            <w:vAlign w:val="center"/>
            <w:tcMar>
              <w:top w:w="80" w:type="dxa"/>
              <w:start w:w="100" w:type="dxa"/>
              <w:bottom w:w="80" w:type="dxa"/>
              <w:end w:w="100" w:type="dxa"/>
            </w:tcMar>
            <w:shd w:fill="D9EAF7"/>
          </w:tcPr>
          <w:p>
            <w:pPr>
              <w:spacing w:after="0" w:before="0"/>
              <w:jc w:val="left"/>
            </w:pPr>
            <w:r/>
            <w:r>
              <w:rPr>
                <w:rFonts w:ascii="Liberation Sans" w:hAnsi="Liberation Sans" w:eastAsia="Liberation Sans"/>
                <w:b/>
                <w:color w:val="17365D"/>
                <w:sz w:val="20"/>
              </w:rPr>
              <w:t>Nama Dokumen</w:t>
            </w:r>
          </w:p>
        </w:tc>
        <w:tc>
          <w:tcPr>
            <w:tcW w:type="dxa" w:w="7399"/>
            <w:vAlign w:val="center"/>
            <w:tcMar>
              <w:top w:w="80" w:type="dxa"/>
              <w:start w:w="100" w:type="dxa"/>
              <w:bottom w:w="80" w:type="dxa"/>
              <w:end w:w="100" w:type="dxa"/>
            </w:tcMar>
          </w:tcPr>
          <w:p>
            <w:pPr>
              <w:spacing w:after="0" w:before="0"/>
              <w:jc w:val="left"/>
            </w:pPr>
            <w:r>
              <w:t>MATRIKS PENYESUAIAN MVP CIMS</w:t>
            </w:r>
            <w:r>
              <w:rPr>
                <w:rFonts w:ascii="Liberation Sans" w:hAnsi="Liberation Sans" w:eastAsia="Liberation Sans"/>
                <w:b w:val="0"/>
                <w:color w:val="1F2937"/>
                <w:sz w:val="20"/>
              </w:rPr>
            </w:r>
          </w:p>
        </w:tc>
      </w:tr>
      <w:tr>
        <w:trPr>
          <w:cantSplit/>
        </w:trPr>
        <w:tc>
          <w:tcPr>
            <w:tcW w:type="dxa" w:w="7399"/>
            <w:vAlign w:val="center"/>
            <w:tcMar>
              <w:top w:w="80" w:type="dxa"/>
              <w:start w:w="100" w:type="dxa"/>
              <w:bottom w:w="80" w:type="dxa"/>
              <w:end w:w="100" w:type="dxa"/>
            </w:tcMar>
            <w:shd w:fill="D9EAF7"/>
          </w:tcPr>
          <w:p>
            <w:pPr>
              <w:spacing w:after="0" w:before="0"/>
              <w:jc w:val="left"/>
            </w:pPr>
            <w:r/>
            <w:r>
              <w:rPr>
                <w:rFonts w:ascii="Liberation Sans" w:hAnsi="Liberation Sans" w:eastAsia="Liberation Sans"/>
                <w:b/>
                <w:color w:val="17365D"/>
                <w:sz w:val="20"/>
              </w:rPr>
              <w:t>Versi</w:t>
            </w:r>
          </w:p>
        </w:tc>
        <w:tc>
          <w:tcPr>
            <w:tcW w:type="dxa" w:w="739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20"/>
              </w:rPr>
              <w:t>Versi 2.0</w:t>
            </w:r>
          </w:p>
        </w:tc>
      </w:tr>
      <w:tr>
        <w:trPr>
          <w:cantSplit/>
        </w:trPr>
        <w:tc>
          <w:tcPr>
            <w:tcW w:type="dxa" w:w="7399"/>
            <w:vAlign w:val="center"/>
            <w:tcMar>
              <w:top w:w="80" w:type="dxa"/>
              <w:start w:w="100" w:type="dxa"/>
              <w:bottom w:w="80" w:type="dxa"/>
              <w:end w:w="100" w:type="dxa"/>
            </w:tcMar>
            <w:shd w:fill="D9EAF7"/>
          </w:tcPr>
          <w:p>
            <w:pPr>
              <w:spacing w:after="0" w:before="0"/>
              <w:jc w:val="left"/>
            </w:pPr>
            <w:r/>
            <w:r>
              <w:rPr>
                <w:rFonts w:ascii="Liberation Sans" w:hAnsi="Liberation Sans" w:eastAsia="Liberation Sans"/>
                <w:b/>
                <w:color w:val="17365D"/>
                <w:sz w:val="20"/>
              </w:rPr>
              <w:t>Status</w:t>
            </w:r>
          </w:p>
        </w:tc>
        <w:tc>
          <w:tcPr>
            <w:tcW w:type="dxa" w:w="739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20"/>
              </w:rPr>
              <w:t>Dokumen Acuan Pengembangan</w:t>
            </w:r>
          </w:p>
        </w:tc>
      </w:tr>
      <w:tr>
        <w:trPr>
          <w:cantSplit/>
        </w:trPr>
        <w:tc>
          <w:tcPr>
            <w:tcW w:type="dxa" w:w="7399"/>
            <w:vAlign w:val="center"/>
            <w:tcMar>
              <w:top w:w="80" w:type="dxa"/>
              <w:start w:w="100" w:type="dxa"/>
              <w:bottom w:w="80" w:type="dxa"/>
              <w:end w:w="100" w:type="dxa"/>
            </w:tcMar>
            <w:shd w:fill="D9EAF7"/>
          </w:tcPr>
          <w:p>
            <w:pPr>
              <w:spacing w:after="0" w:before="0"/>
              <w:jc w:val="left"/>
            </w:pPr>
            <w:r/>
            <w:r>
              <w:rPr>
                <w:rFonts w:ascii="Liberation Sans" w:hAnsi="Liberation Sans" w:eastAsia="Liberation Sans"/>
                <w:b/>
                <w:color w:val="17365D"/>
                <w:sz w:val="20"/>
              </w:rPr>
              <w:t>Tanggal Penyusunan</w:t>
            </w:r>
          </w:p>
        </w:tc>
        <w:tc>
          <w:tcPr>
            <w:tcW w:type="dxa" w:w="739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20"/>
              </w:rPr>
              <w:t>Juli 2026</w:t>
            </w:r>
          </w:p>
        </w:tc>
      </w:tr>
    </w:tbl>
    <w:p/>
    <w:p>
      <w:pPr>
        <w:pStyle w:val="SmallNote"/>
        <w:jc w:val="center"/>
      </w:pPr>
      <w:r>
        <w:t>Dokumen ini harus melalui validasi hukum, keamanan informasi, kesepakatan lintas instansi, dan pengesahan pejabat berwenang sebelum diberlakukan.</w:t>
      </w:r>
    </w:p>
    <w:p>
      <w:r>
        <w:br w:type="page"/>
      </w:r>
    </w:p>
    <w:p>
      <w:pPr>
        <w:pStyle w:val="Heading1"/>
      </w:pPr>
      <w:r>
        <w:t>1. RINGKASAN EKSEKUTIF</w:t>
      </w:r>
    </w:p>
    <w:tbl>
      <w:tblPr>
        <w:tblW w:type="auto" w:w="0"/>
        <w:jc w:val="center"/>
        <w:tblLook w:firstColumn="1" w:firstRow="1" w:lastColumn="0" w:lastRow="0" w:noHBand="0" w:noVBand="1" w:val="04A0"/>
      </w:tblPr>
      <w:tblGrid>
        <w:gridCol w:w="14798"/>
      </w:tblGrid>
      <w:tr>
        <w:trPr>
          <w:cantSplit/>
        </w:trPr>
        <w:tc>
          <w:tcPr>
            <w:tcW w:type="dxa" w:w="14798"/>
            <w:shd w:fill="D9EAF7"/>
          </w:tcPr>
          <w:p>
            <w:pPr>
              <w:spacing w:after="60"/>
            </w:pPr>
            <w:r>
              <w:rPr>
                <w:rFonts w:ascii="Liberation Sans" w:hAnsi="Liberation Sans"/>
              </w:rPr>
            </w:r>
            <w:r>
              <w:rPr>
                <w:rFonts w:ascii="Liberation Sans" w:hAnsi="Liberation Sans"/>
                <w:b/>
                <w:color w:val="17365D"/>
                <w:sz w:val="21"/>
              </w:rPr>
              <w:t>Kesimpulan utama</w:t>
            </w:r>
          </w:p>
          <w:p>
            <w:pPr>
              <w:pStyle w:val="BoxText"/>
            </w:pPr>
            <w:r>
              <w:rPr>
                <w:rFonts w:ascii="Liberation Sans" w:hAnsi="Liberation Sans"/>
              </w:rPr>
              <w:t>MVP saat ini harus mengalami perubahan substansial. Rancangan awal masih bersifat technology-first, yaitu registrasi perkara, smart scheduling, pembuatan Zoom, notifikasi, dashboard, dan audit log. Rancangan baru harus compliance-first. Penetapan hakim, rantai pemberitahuan resmi, acknowledgment, kesiapan lintas instansi, perlindungan hak terdakwa, pemeriksaan saksi atau ahli, pengamanan data, insiden siber, keadaan kahar, pembacaan putusan banding, dan batas kewenangan CIMS harus menjadi inti produk sejak tahap pertama.</w:t>
            </w:r>
          </w:p>
        </w:tc>
      </w:tr>
    </w:tbl>
    <w:p>
      <w:pPr>
        <w:spacing w:after="0"/>
      </w:pPr>
    </w:p>
    <w:p>
      <w:r>
        <w:t>Dokumen MVP yang diperiksa telah merancang alur registrasi perkara, penjadwalan otomatis, pembuatan ruang Zoom, notifikasi H-7, H-1 dan H-30 menit, verifikasi identitas, pengelolaan dokumen, monitoring, cross-satker, AI Court Assistant, audit log, serta roadmap tiga fase. Namun, elemen kepatuhan utama belum menjadi gerbang proses dan sebagian fitur hukum sensitif masih ditempatkan sebagai otomatisasi teknis.</w:t>
      </w:r>
    </w:p>
    <w:p>
      <w:pPr>
        <w:pStyle w:val="Heading1"/>
      </w:pPr>
      <w:r>
        <w:t>2. POSISI PRODUK YANG DIREKOMENDASIKAN</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340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8"/>
              </w:rPr>
              <w:t>Aspek</w:t>
            </w:r>
          </w:p>
        </w:tc>
        <w:tc>
          <w:tcPr>
            <w:tcW w:type="dxa" w:w="1077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8"/>
              </w:rPr>
              <w:t>Rekomendasi</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8"/>
              </w:rPr>
              <w:t>Nama fungsi produk</w:t>
            </w:r>
          </w:p>
        </w:tc>
        <w:tc>
          <w:tcPr>
            <w:tcW w:type="dxa" w:w="1077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Court Coordination and Electronic Hearing Orchestration</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8"/>
              </w:rPr>
              <w:t>Kedudukan</w:t>
            </w:r>
          </w:p>
        </w:tc>
        <w:tc>
          <w:tcPr>
            <w:tcW w:type="dxa" w:w="1077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Lapisan koordinasi dan orkestrasi, bukan register atau repositori hukum utama</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8"/>
              </w:rPr>
              <w:t>Sistem sumber</w:t>
            </w:r>
          </w:p>
        </w:tc>
        <w:tc>
          <w:tcPr>
            <w:tcW w:type="dxa" w:w="1077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Sistem Informasi Pengadilan, e-Berpadu, register resmi, dan sistem instansi</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8"/>
              </w:rPr>
              <w:t>Data yang disimpan</w:t>
            </w:r>
          </w:p>
        </w:tc>
        <w:tc>
          <w:tcPr>
            <w:tcW w:type="dxa" w:w="1077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Referensi perkara, metadata, penetapan, status, acknowledgment, checklist, kehadiran, insiden, hash, dan audit log</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8"/>
              </w:rPr>
              <w:t>Platform video</w:t>
            </w:r>
          </w:p>
        </w:tc>
        <w:tc>
          <w:tcPr>
            <w:tcW w:type="dxa" w:w="1077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Abstraksi provider, tidak dikunci hanya pada Zoom</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8"/>
              </w:rPr>
              <w:t>AI</w:t>
            </w:r>
          </w:p>
        </w:tc>
        <w:tc>
          <w:tcPr>
            <w:tcW w:type="dxa" w:w="1077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Fitur bantuan administratif dengan human review, bukan sumber hukum atau pengambil keputusan</w:t>
            </w:r>
          </w:p>
        </w:tc>
      </w:tr>
    </w:tbl>
    <w:p>
      <w:pPr>
        <w:spacing w:after="20"/>
      </w:pPr>
    </w:p>
    <w:p>
      <w:pPr>
        <w:pStyle w:val="Heading1"/>
      </w:pPr>
      <w:r>
        <w:t>3. GAP KRITIS MVP SAAT INI</w:t>
      </w:r>
    </w:p>
    <w:tbl>
      <w:tblPr>
        <w:tblStyle w:val="TableGrid"/>
        <w:tblW w:type="auto" w:w="0"/>
        <w:jc w:val="center"/>
        <w:tblLayout w:type="autofit"/>
        <w:tblLook w:firstColumn="1" w:firstRow="1" w:lastColumn="0" w:lastRow="0" w:noHBand="0" w:noVBand="1" w:val="04A0"/>
      </w:tblPr>
      <w:tblGrid>
        <w:gridCol w:w="2960"/>
        <w:gridCol w:w="2960"/>
        <w:gridCol w:w="2960"/>
        <w:gridCol w:w="2960"/>
        <w:gridCol w:w="2960"/>
      </w:tblGrid>
      <w:tr>
        <w:trPr>
          <w:tblHeader w:val="true"/>
          <w:cantSplit/>
        </w:trPr>
        <w:tc>
          <w:tcPr>
            <w:tcW w:type="dxa" w:w="238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Area</w:t>
            </w:r>
          </w:p>
        </w:tc>
        <w:tc>
          <w:tcPr>
            <w:tcW w:type="dxa" w:w="351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Rancangan Saat Ini</w:t>
            </w:r>
          </w:p>
        </w:tc>
        <w:tc>
          <w:tcPr>
            <w:tcW w:type="dxa" w:w="442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Kebutuhan SOP/PKS</w:t>
            </w:r>
          </w:p>
        </w:tc>
        <w:tc>
          <w:tcPr>
            <w:tcW w:type="dxa" w:w="136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Prioritas</w:t>
            </w:r>
          </w:p>
        </w:tc>
        <w:tc>
          <w:tcPr>
            <w:tcW w:type="dxa" w:w="425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Perubahan</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Trigger persidangan elektronik</w:t>
            </w:r>
          </w:p>
        </w:tc>
        <w:tc>
          <w:tcPr>
            <w:tcW w:type="dxa" w:w="351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Ruang virtual dibuat setelah jadwal disetujui</w:t>
            </w:r>
          </w:p>
        </w:tc>
        <w:tc>
          <w:tcPr>
            <w:tcW w:type="dxa" w:w="442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Harus didahului penetapan hakim atau majelis hakim</w:t>
            </w:r>
          </w:p>
        </w:tc>
        <w:tc>
          <w:tcPr>
            <w:tcW w:type="dxa" w:w="136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Tambahkan workflow judicial determination dan hard gate sebelum room creation</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Kedudukan CIMS</w:t>
            </w:r>
          </w:p>
        </w:tc>
        <w:tc>
          <w:tcPr>
            <w:tcW w:type="dxa" w:w="351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Mengelola seluruh siklus dan dokumen</w:t>
            </w:r>
          </w:p>
        </w:tc>
        <w:tc>
          <w:tcPr>
            <w:tcW w:type="dxa" w:w="442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Berisiko dianggap menggantikan sistem resmi</w:t>
            </w:r>
          </w:p>
        </w:tc>
        <w:tc>
          <w:tcPr>
            <w:tcW w:type="dxa" w:w="136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Tetapkan CIMS sebagai orchestration layer dan simpan official_system_reference</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Notifikasi</w:t>
            </w:r>
          </w:p>
        </w:tc>
        <w:tc>
          <w:tcPr>
            <w:tcW w:type="dxa" w:w="351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WA, email, push sebagai reminder</w:t>
            </w:r>
          </w:p>
        </w:tc>
        <w:tc>
          <w:tcPr>
            <w:tcW w:type="dxa" w:w="442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Belum membedakan pemberitahuan resmi dan pengingat</w:t>
            </w:r>
          </w:p>
        </w:tc>
        <w:tc>
          <w:tcPr>
            <w:tcW w:type="dxa" w:w="136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Bangun official notice, acknowledgment, fallback, dan proof of service</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Pembagian aktor</w:t>
            </w:r>
          </w:p>
        </w:tc>
        <w:tc>
          <w:tcPr>
            <w:tcW w:type="dxa" w:w="351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Admin, hakim, panitera, jaksa, advokat, Lapas, saksi</w:t>
            </w:r>
          </w:p>
        </w:tc>
        <w:tc>
          <w:tcPr>
            <w:tcW w:type="dxa" w:w="442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Belum mengikuti tanggung jawab PKS dan pejabat penghubung</w:t>
            </w:r>
          </w:p>
        </w:tc>
        <w:tc>
          <w:tcPr>
            <w:tcW w:type="dxa" w:w="136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Tinggi</w:t>
            </w:r>
          </w:p>
        </w:tc>
        <w:tc>
          <w:tcPr>
            <w:tcW w:type="dxa" w:w="425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Tambahkan organization, unit, liaison officer, dan delegated authority</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Putusan banding</w:t>
            </w:r>
          </w:p>
        </w:tc>
        <w:tc>
          <w:tcPr>
            <w:tcW w:type="dxa" w:w="351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Belum ada modul khusus</w:t>
            </w:r>
          </w:p>
        </w:tc>
        <w:tc>
          <w:tcPr>
            <w:tcW w:type="dxa" w:w="442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Wajib mendukung penetapan, perubahan tanggal, kehadiran, petikan hari yang sama, dan salinan tujuh hari</w:t>
            </w:r>
          </w:p>
        </w:tc>
        <w:tc>
          <w:tcPr>
            <w:tcW w:type="dxa" w:w="136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Bangun appeal decision reading workflow</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Advokat</w:t>
            </w:r>
          </w:p>
        </w:tc>
        <w:tc>
          <w:tcPr>
            <w:tcW w:type="dxa" w:w="351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Portal dan breakout room</w:t>
            </w:r>
          </w:p>
        </w:tc>
        <w:tc>
          <w:tcPr>
            <w:tcW w:type="dxa" w:w="442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Belum ada aturan lokasi dan konsultasi privat</w:t>
            </w:r>
          </w:p>
        </w:tc>
        <w:tc>
          <w:tcPr>
            <w:tcW w:type="dxa" w:w="136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Tinggi</w:t>
            </w:r>
          </w:p>
        </w:tc>
        <w:tc>
          <w:tcPr>
            <w:tcW w:type="dxa" w:w="425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Tambahkan advocate location, private consultation, dan access controls</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Saksi dan ahli</w:t>
            </w:r>
          </w:p>
        </w:tc>
        <w:tc>
          <w:tcPr>
            <w:tcW w:type="dxa" w:w="351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Saksi join room</w:t>
            </w:r>
          </w:p>
        </w:tc>
        <w:tc>
          <w:tcPr>
            <w:tcW w:type="dxa" w:w="442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Belum mengatur lokasi, petugas pengawas, ahli, penerjemah, dan saksi rentan</w:t>
            </w:r>
          </w:p>
        </w:tc>
        <w:tc>
          <w:tcPr>
            <w:tcW w:type="dxa" w:w="136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Tinggi</w:t>
            </w:r>
          </w:p>
        </w:tc>
        <w:tc>
          <w:tcPr>
            <w:tcW w:type="dxa" w:w="425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Bangun witness-expert examination workflow</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Kesiapan ruang</w:t>
            </w:r>
          </w:p>
        </w:tc>
        <w:tc>
          <w:tcPr>
            <w:tcW w:type="dxa" w:w="351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Konfirmasi sederhana dari Lapas</w:t>
            </w:r>
          </w:p>
        </w:tc>
        <w:tc>
          <w:tcPr>
            <w:tcW w:type="dxa" w:w="442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Belum memuat CCTV, sterilitas, internet cadangan, petugas, dan eviden</w:t>
            </w:r>
          </w:p>
        </w:tc>
        <w:tc>
          <w:tcPr>
            <w:tcW w:type="dxa" w:w="136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Bangun dynamic checklist with evidence</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Gangguan</w:t>
            </w:r>
          </w:p>
        </w:tc>
        <w:tc>
          <w:tcPr>
            <w:tcW w:type="dxa" w:w="351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Belum terstruktur</w:t>
            </w:r>
          </w:p>
        </w:tc>
        <w:tc>
          <w:tcPr>
            <w:tcW w:type="dxa" w:w="442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Teknis, siber, dan keadaan kahar memiliki prosedur berbeda</w:t>
            </w:r>
          </w:p>
        </w:tc>
        <w:tc>
          <w:tcPr>
            <w:tcW w:type="dxa" w:w="136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Pisahkan incident domains dan SLA 1 x 24 serta 3 x 24</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Rekaman</w:t>
            </w:r>
          </w:p>
        </w:tc>
        <w:tc>
          <w:tcPr>
            <w:tcW w:type="dxa" w:w="351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Input untuk AI summary</w:t>
            </w:r>
          </w:p>
        </w:tc>
        <w:tc>
          <w:tcPr>
            <w:tcW w:type="dxa" w:w="442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PKS menempatkan rekaman audiovisual sebagai dokumentasi resmi</w:t>
            </w:r>
          </w:p>
        </w:tc>
        <w:tc>
          <w:tcPr>
            <w:tcW w:type="dxa" w:w="136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Bangun recording governance, integrity hash, access log, and retention</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Face recognition</w:t>
            </w:r>
          </w:p>
        </w:tc>
        <w:tc>
          <w:tcPr>
            <w:tcW w:type="dxa" w:w="351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Ditempatkan sebagai fitur lanjutan</w:t>
            </w:r>
          </w:p>
        </w:tc>
        <w:tc>
          <w:tcPr>
            <w:tcW w:type="dxa" w:w="442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Biometrik berisiko tinggi dan membutuhkan dasar serta kontrol</w:t>
            </w:r>
          </w:p>
        </w:tc>
        <w:tc>
          <w:tcPr>
            <w:tcW w:type="dxa" w:w="136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Tinggi</w:t>
            </w:r>
          </w:p>
        </w:tc>
        <w:tc>
          <w:tcPr>
            <w:tcW w:type="dxa" w:w="425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Tunda, gunakan verifikasi petugas dan liveness opsional</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AI summary</w:t>
            </w:r>
          </w:p>
        </w:tc>
        <w:tc>
          <w:tcPr>
            <w:tcW w:type="dxa" w:w="351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Dirancang dari rekaman sidang</w:t>
            </w:r>
          </w:p>
        </w:tc>
        <w:tc>
          <w:tcPr>
            <w:tcW w:type="dxa" w:w="442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Berisiko dianggap catatan resmi</w:t>
            </w:r>
          </w:p>
        </w:tc>
        <w:tc>
          <w:tcPr>
            <w:tcW w:type="dxa" w:w="136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Tinggi</w:t>
            </w:r>
          </w:p>
        </w:tc>
        <w:tc>
          <w:tcPr>
            <w:tcW w:type="dxa" w:w="425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Label draft, human review, no automatic publication, not part of legal record</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Security</w:t>
            </w:r>
          </w:p>
        </w:tc>
        <w:tc>
          <w:tcPr>
            <w:tcW w:type="dxa" w:w="351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JWT, MFA, AES, backup</w:t>
            </w:r>
          </w:p>
        </w:tc>
        <w:tc>
          <w:tcPr>
            <w:tcW w:type="dxa" w:w="442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Belum memuat klasifikasi data, retensi, least privilege, DLP, incident response</w:t>
            </w:r>
          </w:p>
        </w:tc>
        <w:tc>
          <w:tcPr>
            <w:tcW w:type="dxa" w:w="136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Perlu security and privacy by design sejak MVP</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Database</w:t>
            </w:r>
          </w:p>
        </w:tc>
        <w:tc>
          <w:tcPr>
            <w:tcW w:type="dxa" w:w="351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Tabel umum users, cases, hearings, zoom, notification, audit</w:t>
            </w:r>
          </w:p>
        </w:tc>
        <w:tc>
          <w:tcPr>
            <w:tcW w:type="dxa" w:w="442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Belum merepresentasikan proses hukum dan bukti</w:t>
            </w:r>
          </w:p>
        </w:tc>
        <w:tc>
          <w:tcPr>
            <w:tcW w:type="dxa" w:w="136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Kritis</w:t>
            </w:r>
          </w:p>
        </w:tc>
        <w:tc>
          <w:tcPr>
            <w:tcW w:type="dxa" w:w="425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Revisi data model sesuai domain SOP</w:t>
            </w:r>
          </w:p>
        </w:tc>
      </w:tr>
    </w:tbl>
    <w:p>
      <w:pPr>
        <w:spacing w:after="20"/>
      </w:pPr>
    </w:p>
    <w:p>
      <w:pPr>
        <w:pStyle w:val="Heading1"/>
      </w:pPr>
      <w:r>
        <w:t>4. RUANG LINGKUP MVP BARU</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1247"/>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ID</w:t>
            </w:r>
          </w:p>
        </w:tc>
        <w:tc>
          <w:tcPr>
            <w:tcW w:type="dxa" w:w="13039"/>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Must Have untuk MVP Kepatuhan</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M-01</w:t>
            </w:r>
          </w:p>
        </w:tc>
        <w:tc>
          <w:tcPr>
            <w:tcW w:type="dxa" w:w="1303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Identity, organization, satker, role, delegated authority, dan MFA</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M-02</w:t>
            </w:r>
          </w:p>
        </w:tc>
        <w:tc>
          <w:tcPr>
            <w:tcW w:type="dxa" w:w="1303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Sinkronisasi atau referensi perkara dari sistem resmi</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M-03</w:t>
            </w:r>
          </w:p>
        </w:tc>
        <w:tc>
          <w:tcPr>
            <w:tcW w:type="dxa" w:w="1303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Permohonan atau identifikasi keadaan tertentu</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M-04</w:t>
            </w:r>
          </w:p>
        </w:tc>
        <w:tc>
          <w:tcPr>
            <w:tcW w:type="dxa" w:w="1303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Penetapan hakim atau majelis hakim sebagai gerbang proses</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M-05</w:t>
            </w:r>
          </w:p>
        </w:tc>
        <w:tc>
          <w:tcPr>
            <w:tcW w:type="dxa" w:w="1303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Scheduling, conflict check, approval, dan riwayat perubahan</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M-06</w:t>
            </w:r>
          </w:p>
        </w:tc>
        <w:tc>
          <w:tcPr>
            <w:tcW w:type="dxa" w:w="1303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Provider-agnostic virtual room dan pengendalian peran</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M-07</w:t>
            </w:r>
          </w:p>
        </w:tc>
        <w:tc>
          <w:tcPr>
            <w:tcW w:type="dxa" w:w="1303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Pemberitahuan resmi, acknowledgment, proof of delivery, dan fallback</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M-08</w:t>
            </w:r>
          </w:p>
        </w:tc>
        <w:tc>
          <w:tcPr>
            <w:tcW w:type="dxa" w:w="1303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Portal Pengadilan, Kejaksaan, Pemasyarakatan, dan pejabat penghubung</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M-09</w:t>
            </w:r>
          </w:p>
        </w:tc>
        <w:tc>
          <w:tcPr>
            <w:tcW w:type="dxa" w:w="1303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Checklist kesiapan, uji teknis, dan unggah eviden</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M-10</w:t>
            </w:r>
          </w:p>
        </w:tc>
        <w:tc>
          <w:tcPr>
            <w:tcW w:type="dxa" w:w="1303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Verifikasi identitas, lokasi peserta, dan sterilitas ruangan</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M-11</w:t>
            </w:r>
          </w:p>
        </w:tc>
        <w:tc>
          <w:tcPr>
            <w:tcW w:type="dxa" w:w="1303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Kehadiran, event log, skors, penundaan, dan penjadwalan ulang</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M-12</w:t>
            </w:r>
          </w:p>
        </w:tc>
        <w:tc>
          <w:tcPr>
            <w:tcW w:type="dxa" w:w="1303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Gangguan teknis, insiden siber, dan keadaan kahar</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M-13</w:t>
            </w:r>
          </w:p>
        </w:tc>
        <w:tc>
          <w:tcPr>
            <w:tcW w:type="dxa" w:w="1303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Audit trail yang tidak dapat diubah oleh pengguna biasa</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M-14</w:t>
            </w:r>
          </w:p>
        </w:tc>
        <w:tc>
          <w:tcPr>
            <w:tcW w:type="dxa" w:w="1303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Dashboard kepatuhan dan eskalasi</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M-15</w:t>
            </w:r>
          </w:p>
        </w:tc>
        <w:tc>
          <w:tcPr>
            <w:tcW w:type="dxa" w:w="1303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Modul pembacaan putusan tingkat banding</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M-16</w:t>
            </w:r>
          </w:p>
        </w:tc>
        <w:tc>
          <w:tcPr>
            <w:tcW w:type="dxa" w:w="1303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Integrasi dokumen dan rekaman melalui metadata, hash, dan referensi sistem resmi</w:t>
            </w:r>
          </w:p>
        </w:tc>
      </w:tr>
    </w:tbl>
    <w:p>
      <w:pPr>
        <w:spacing w:after="20"/>
      </w:pPr>
    </w:p>
    <w:p>
      <w:pPr>
        <w:pStyle w:val="Heading1"/>
      </w:pPr>
      <w:r>
        <w:t>5. FITUR YANG DIPINDAHKAN DARI MVP</w:t>
      </w:r>
    </w:p>
    <w:tbl>
      <w:tblPr>
        <w:tblStyle w:val="TableGrid"/>
        <w:tblW w:type="auto" w:w="0"/>
        <w:jc w:val="center"/>
        <w:tblLayout w:type="autofit"/>
        <w:tblLook w:firstColumn="1" w:firstRow="1" w:lastColumn="0" w:lastRow="0" w:noHBand="0" w:noVBand="1" w:val="04A0"/>
      </w:tblPr>
      <w:tblGrid>
        <w:gridCol w:w="4933"/>
        <w:gridCol w:w="4933"/>
        <w:gridCol w:w="4933"/>
      </w:tblGrid>
      <w:tr>
        <w:trPr>
          <w:tblHeader w:val="true"/>
          <w:cantSplit/>
        </w:trPr>
        <w:tc>
          <w:tcPr>
            <w:tcW w:type="dxa" w:w="340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Fitur Awal</w:t>
            </w:r>
          </w:p>
        </w:tc>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Keputusan</w:t>
            </w:r>
          </w:p>
        </w:tc>
        <w:tc>
          <w:tcPr>
            <w:tcW w:type="dxa" w:w="8504"/>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Alasan</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AI Court Summary</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Fase 3</w:t>
            </w:r>
          </w:p>
        </w:tc>
        <w:tc>
          <w:tcPr>
            <w:tcW w:type="dxa" w:w="850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Membutuhkan governance, human review, kualitas transkripsi, dan keputusan apakah output dapat disimpan.</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Voice transcription</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Fase 3</w:t>
            </w:r>
          </w:p>
        </w:tc>
        <w:tc>
          <w:tcPr>
            <w:tcW w:type="dxa" w:w="850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Harus memisahkan transkrip bantuan dari berita acara resmi.</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Predictive scheduling</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Fase 2 atau 3</w:t>
            </w:r>
          </w:p>
        </w:tc>
        <w:tc>
          <w:tcPr>
            <w:tcW w:type="dxa" w:w="850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Boleh memberi rekomendasi, tetapi tidak boleh mengesahkan jadwal atau persidangan elektronik.</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Face recognition</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Ditunda</w:t>
            </w:r>
          </w:p>
        </w:tc>
        <w:tc>
          <w:tcPr>
            <w:tcW w:type="dxa" w:w="850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Data biometrik berisiko tinggi. Prioritaskan verifikasi petugas dan liveness sederhana.</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Mobile app penuh</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Fase 2</w:t>
            </w:r>
          </w:p>
        </w:tc>
        <w:tc>
          <w:tcPr>
            <w:tcW w:type="dxa" w:w="850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MVP dapat memakai responsive web dan push notification.</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National analytics</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Fase 2</w:t>
            </w:r>
          </w:p>
        </w:tc>
        <w:tc>
          <w:tcPr>
            <w:tcW w:type="dxa" w:w="850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Bangun setelah data quality, integrasi, dan definisi indikator stabil.</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Digital evidence repository penuh</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Di luar scope awal</w:t>
            </w:r>
          </w:p>
        </w:tc>
        <w:tc>
          <w:tcPr>
            <w:tcW w:type="dxa" w:w="850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CIMS sebaiknya mereferensikan repositori resmi kecuali ada mandat integrasi dan governance.</w:t>
            </w:r>
          </w:p>
        </w:tc>
      </w:tr>
    </w:tbl>
    <w:p>
      <w:pPr>
        <w:spacing w:after="20"/>
      </w:pPr>
    </w:p>
    <w:p>
      <w:pPr>
        <w:pStyle w:val="Heading1"/>
      </w:pPr>
      <w:r>
        <w:t>6. MODUL PRODUK REVISI</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3969"/>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Modul</w:t>
            </w:r>
          </w:p>
        </w:tc>
        <w:tc>
          <w:tcPr>
            <w:tcW w:type="dxa" w:w="1020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Cakupan</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01 Identity and Organization</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Akun, MFA, instansi, satker, jabatan, pejabat penghubung, delegasi</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02 Case Reference and Integration</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Referensi perkara, sinkronisasi, data source, official record URL atau ID</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03 Judicial Determination</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Permohonan, alasan, penetapan, mode persidangan, tanda tangan atau hash</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04 Scheduling and Calendar</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Ketersediaan, konflik, approval, perubahan, alasan, versi jadwal</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05 Official Notice and Acknowledgment</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Rantai pemberitahuan, receipt, ack, retry, fallback, SLA</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06 Readiness and Technical Test</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Checklist dinamis, eviden, perangkat, jaringan, ruangan, petugas</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07 Participant and Location Verification</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Identitas, lokasi, ruangan, advokat, saksi, ahli, penerjemah</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08 Virtual Hearing Control</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Provider adapter, waiting room, role control, room isolation, join token</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09 Hearing Operation</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Attendance, event timeline, skors, tunda, hasil sidang, next action</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10 Incident and Continuity</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Gangguan teknis, insiden siber, keadaan kahar, pemulihan</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11 Appeal Decision Reading</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Penetapan pembacaan, perubahan tanggal, notice chain, presence, deadlines</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12 Record and Evidence Reference</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Metadata, hash, chain of custody, recording reference, document status</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13 Audit, Compliance, and Monitoring</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Immutable log, compliance dashboard, annual evaluation</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14 Configuration and Legal Rules</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SLA, template, channel, retention, status, provider, effective dates</w:t>
            </w:r>
          </w:p>
        </w:tc>
      </w:tr>
    </w:tbl>
    <w:p>
      <w:pPr>
        <w:spacing w:after="20"/>
      </w:pPr>
    </w:p>
    <w:p>
      <w:pPr>
        <w:pStyle w:val="Heading1"/>
      </w:pPr>
      <w:r>
        <w:t>7. REVISI ALUR BISNIS</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1247"/>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Tahap</w:t>
            </w:r>
          </w:p>
        </w:tc>
        <w:tc>
          <w:tcPr>
            <w:tcW w:type="dxa" w:w="12926"/>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Alur Baru</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1</w:t>
            </w:r>
          </w:p>
        </w:tc>
        <w:tc>
          <w:tcPr>
            <w:tcW w:type="dxa" w:w="1292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Case reference imported or entered</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2</w:t>
            </w:r>
          </w:p>
        </w:tc>
        <w:tc>
          <w:tcPr>
            <w:tcW w:type="dxa" w:w="1292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Electronic hearing request or condition recorded</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3</w:t>
            </w:r>
          </w:p>
        </w:tc>
        <w:tc>
          <w:tcPr>
            <w:tcW w:type="dxa" w:w="1292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Judge or panel issues determination</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4</w:t>
            </w:r>
          </w:p>
        </w:tc>
        <w:tc>
          <w:tcPr>
            <w:tcW w:type="dxa" w:w="1292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Scheduling engine proposes options</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5</w:t>
            </w:r>
          </w:p>
        </w:tc>
        <w:tc>
          <w:tcPr>
            <w:tcW w:type="dxa" w:w="1292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Authorized officer approves schedule</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6</w:t>
            </w:r>
          </w:p>
        </w:tc>
        <w:tc>
          <w:tcPr>
            <w:tcW w:type="dxa" w:w="1292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Virtual room is created through approved provider</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7</w:t>
            </w:r>
          </w:p>
        </w:tc>
        <w:tc>
          <w:tcPr>
            <w:tcW w:type="dxa" w:w="1292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Official notices are sent and acknowledged</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8</w:t>
            </w:r>
          </w:p>
        </w:tc>
        <w:tc>
          <w:tcPr>
            <w:tcW w:type="dxa" w:w="1292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Readiness checklist and technical test completed</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9</w:t>
            </w:r>
          </w:p>
        </w:tc>
        <w:tc>
          <w:tcPr>
            <w:tcW w:type="dxa" w:w="1292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Identity, location, advocate, and room verified</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10</w:t>
            </w:r>
          </w:p>
        </w:tc>
        <w:tc>
          <w:tcPr>
            <w:tcW w:type="dxa" w:w="1292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Judge opens electronic hearing</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11</w:t>
            </w:r>
          </w:p>
        </w:tc>
        <w:tc>
          <w:tcPr>
            <w:tcW w:type="dxa" w:w="1292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Attendance, recording, documents, and events logged</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12</w:t>
            </w:r>
          </w:p>
        </w:tc>
        <w:tc>
          <w:tcPr>
            <w:tcW w:type="dxa" w:w="1292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Incident, suspension, postponement, or completion recorded</w:t>
            </w:r>
          </w:p>
        </w:tc>
      </w:tr>
      <w:tr>
        <w:trPr>
          <w:cantSplit/>
        </w:trPr>
        <w:tc>
          <w:tcPr>
            <w:tcW w:type="dxa" w:w="124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13</w:t>
            </w:r>
          </w:p>
        </w:tc>
        <w:tc>
          <w:tcPr>
            <w:tcW w:type="dxa" w:w="1292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Official systems synchronized and documentation completed</w:t>
            </w:r>
          </w:p>
        </w:tc>
      </w:tr>
      <w:tr>
        <w:trPr>
          <w:cantSplit/>
        </w:trPr>
        <w:tc>
          <w:tcPr>
            <w:tcW w:type="dxa" w:w="124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14</w:t>
            </w:r>
          </w:p>
        </w:tc>
        <w:tc>
          <w:tcPr>
            <w:tcW w:type="dxa" w:w="1292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Audit and compliance status closed</w:t>
            </w:r>
          </w:p>
        </w:tc>
      </w:tr>
    </w:tbl>
    <w:p>
      <w:pPr>
        <w:spacing w:after="20"/>
      </w:pPr>
    </w:p>
    <w:p>
      <w:pPr>
        <w:pStyle w:val="Heading1"/>
      </w:pPr>
      <w:r>
        <w:t>8. STATE MACHINE YANG DIREKOMENDASIKAN</w:t>
      </w:r>
    </w:p>
    <w:tbl>
      <w:tblPr>
        <w:tblStyle w:val="TableGrid"/>
        <w:tblW w:type="auto" w:w="0"/>
        <w:jc w:val="center"/>
        <w:tblLayout w:type="autofit"/>
        <w:tblLook w:firstColumn="1" w:firstRow="1" w:lastColumn="0" w:lastRow="0" w:noHBand="0" w:noVBand="1" w:val="04A0"/>
      </w:tblPr>
      <w:tblGrid>
        <w:gridCol w:w="4933"/>
        <w:gridCol w:w="4933"/>
        <w:gridCol w:w="4933"/>
      </w:tblGrid>
      <w:tr>
        <w:trPr>
          <w:tblHeader w:val="true"/>
          <w:cantSplit/>
        </w:trPr>
        <w:tc>
          <w:tcPr>
            <w:tcW w:type="dxa" w:w="3969"/>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Dari</w:t>
            </w:r>
          </w:p>
        </w:tc>
        <w:tc>
          <w:tcPr>
            <w:tcW w:type="dxa" w:w="3969"/>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Ke</w:t>
            </w:r>
          </w:p>
        </w:tc>
        <w:tc>
          <w:tcPr>
            <w:tcW w:type="dxa" w:w="6236"/>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Trigger</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DRAFT</w:t>
            </w:r>
          </w:p>
        </w:tc>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WAITING_JUDICIAL_DETERMINATION</w:t>
            </w:r>
          </w:p>
        </w:tc>
        <w:tc>
          <w:tcPr>
            <w:tcW w:type="dxa" w:w="623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Permohonan diajukan</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WAITING_JUDICIAL_DETERMINATION</w:t>
            </w:r>
          </w:p>
        </w:tc>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ELECTRONIC_TRIAL_DETERMINED</w:t>
            </w:r>
          </w:p>
        </w:tc>
        <w:tc>
          <w:tcPr>
            <w:tcW w:type="dxa" w:w="623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Penetapan sah diterbitkan</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ELECTRONIC_TRIAL_DETERMINED</w:t>
            </w:r>
          </w:p>
        </w:tc>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COORDINATION</w:t>
            </w:r>
          </w:p>
        </w:tc>
        <w:tc>
          <w:tcPr>
            <w:tcW w:type="dxa" w:w="623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Koordinasi dimulai</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COORDINATION</w:t>
            </w:r>
          </w:p>
        </w:tc>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WAITING_ACKNOWLEDGMENT</w:t>
            </w:r>
          </w:p>
        </w:tc>
        <w:tc>
          <w:tcPr>
            <w:tcW w:type="dxa" w:w="623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Pemberitahuan dikirim</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WAITING_ACKNOWLEDGMENT</w:t>
            </w:r>
          </w:p>
        </w:tc>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READINESS_CHECK</w:t>
            </w:r>
          </w:p>
        </w:tc>
        <w:tc>
          <w:tcPr>
            <w:tcW w:type="dxa" w:w="623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Ack minimum terpenuhi</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READINESS_CHECK</w:t>
            </w:r>
          </w:p>
        </w:tc>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TECHNICAL_TEST</w:t>
            </w:r>
          </w:p>
        </w:tc>
        <w:tc>
          <w:tcPr>
            <w:tcW w:type="dxa" w:w="623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Checklist administratif lengkap</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TECHNICAL_TEST</w:t>
            </w:r>
          </w:p>
        </w:tc>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READY</w:t>
            </w:r>
          </w:p>
        </w:tc>
        <w:tc>
          <w:tcPr>
            <w:tcW w:type="dxa" w:w="623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Uji teknis lulus</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READY</w:t>
            </w:r>
          </w:p>
        </w:tc>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IN_PROGRESS</w:t>
            </w:r>
          </w:p>
        </w:tc>
        <w:tc>
          <w:tcPr>
            <w:tcW w:type="dxa" w:w="623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Hakim membuka sidang</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IN_PROGRESS</w:t>
            </w:r>
          </w:p>
        </w:tc>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SUSPENDED</w:t>
            </w:r>
          </w:p>
        </w:tc>
        <w:tc>
          <w:tcPr>
            <w:tcW w:type="dxa" w:w="623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Skors</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SUSPENDED</w:t>
            </w:r>
          </w:p>
        </w:tc>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IN_PROGRESS</w:t>
            </w:r>
          </w:p>
        </w:tc>
        <w:tc>
          <w:tcPr>
            <w:tcW w:type="dxa" w:w="623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Sidang dilanjutkan</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IN_PROGRESS</w:t>
            </w:r>
          </w:p>
        </w:tc>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POSTPONED</w:t>
            </w:r>
          </w:p>
        </w:tc>
        <w:tc>
          <w:tcPr>
            <w:tcW w:type="dxa" w:w="623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Hakim menunda</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IN_PROGRESS</w:t>
            </w:r>
          </w:p>
        </w:tc>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COMPLETED</w:t>
            </w:r>
          </w:p>
        </w:tc>
        <w:tc>
          <w:tcPr>
            <w:tcW w:type="dxa" w:w="623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Hakim menutup</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COMPLETED</w:t>
            </w:r>
          </w:p>
        </w:tc>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DOCUMENTATION_PENDING</w:t>
            </w:r>
          </w:p>
        </w:tc>
        <w:tc>
          <w:tcPr>
            <w:tcW w:type="dxa" w:w="623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Dokumen atau sinkronisasi belum lengkap</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DOCUMENTATION_PENDING</w:t>
            </w:r>
          </w:p>
        </w:tc>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CLOSED</w:t>
            </w:r>
          </w:p>
        </w:tc>
        <w:tc>
          <w:tcPr>
            <w:tcW w:type="dxa" w:w="623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Semua bukti dan audit lengkap</w:t>
            </w:r>
          </w:p>
        </w:tc>
      </w:tr>
    </w:tbl>
    <w:p>
      <w:pPr>
        <w:spacing w:after="20"/>
      </w:pPr>
    </w:p>
    <w:p>
      <w:pPr>
        <w:pStyle w:val="Heading1"/>
      </w:pPr>
      <w:r>
        <w:t>9. PERUBAHAN DATA MODEL</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453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Entitas</w:t>
            </w:r>
          </w:p>
        </w:tc>
        <w:tc>
          <w:tcPr>
            <w:tcW w:type="dxa" w:w="963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Fungsi</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organizations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Instansi dan satker</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organization_units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Unit kerja dan wilayah hukum</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liaison_officers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Pejabat penghubung dan periode penunjukan</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users, roles, permissions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Akun dan least privilege</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delegations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Pelimpahan kewenangan sementara</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cases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Referensi perkara</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official_system_refs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ID atau tautan pada sistem resmi</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case_parties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Terdakwa, Penuntut Umum, advokat, saksi, ahli, penerjemah</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electronic_hearing_requests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Permohonan atau keadaan tertentu</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judicial_determinations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Penetapan hakim, mode, alasan, tanggal, hash</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hearings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Agenda dan status proses</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hearing_schedules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Versi jadwal</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schedule_conflicts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Bentrok dan hasil resolusi</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virtual_room_providers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Konfigurasi penyedia</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virtual_sessions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Meeting ID, token, host, provider</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official_notices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Pemberitahuan resmi</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notice_recipients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Penerima dan peran</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delivery_receipts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Sent, delivered, failed</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acknowledgments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Konfirmasi penerimaan</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readiness_checklists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Checklist per lokasi</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readiness_items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Item, status, eviden, petugas</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technical_tests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Hasil uji perangkat dan jaringan</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identity_verifications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Metode, petugas, waktu, hasil</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participant_locations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Lokasi dan dasar penetapan</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room_inspections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Sterilitas, CCTV, orang dalam ruang</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attendance</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Kehadiran dan waktu</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hearing_events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Timeline operasional</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technical_incidents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Gangguan teknis</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cyber_incidents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Insiden siber</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force_majeure_events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Keadaan kahar</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custody_transfers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Mutasi tahanan</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appeal_decision_readings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Pembacaan putusan banding</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decision_notifications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Rantai pemberitahuan putusan</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recordings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Metadata dan chain of custody</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documents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Metadata dokumen, bukan otomatis file induk</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document_hashes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Integritas</w:t>
            </w:r>
          </w:p>
        </w:tc>
      </w:tr>
      <w:tr>
        <w:trPr>
          <w:cantSplit/>
        </w:trPr>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5"/>
              </w:rPr>
              <w:t>retention_policies</w:t>
            </w:r>
          </w:p>
        </w:tc>
        <w:tc>
          <w:tcPr>
            <w:tcW w:type="dxa" w:w="96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Kebijakan simpan dan hapus</w:t>
            </w:r>
          </w:p>
        </w:tc>
      </w:tr>
      <w:tr>
        <w:trPr>
          <w:cantSplit/>
        </w:trPr>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5"/>
              </w:rPr>
              <w:t>audit_logs</w:t>
            </w:r>
          </w:p>
        </w:tc>
        <w:tc>
          <w:tcPr>
            <w:tcW w:type="dxa" w:w="96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Audit append-only</w:t>
            </w:r>
          </w:p>
        </w:tc>
      </w:tr>
    </w:tbl>
    <w:p>
      <w:pPr>
        <w:spacing w:after="20"/>
      </w:pPr>
    </w:p>
    <w:p>
      <w:pPr>
        <w:pStyle w:val="Heading1"/>
      </w:pPr>
      <w:r>
        <w:t>10. REVISI ROLE DAN PERMISSION</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368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Peran</w:t>
            </w:r>
          </w:p>
        </w:tc>
        <w:tc>
          <w:tcPr>
            <w:tcW w:type="dxa" w:w="1048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Permission Utama</w:t>
            </w:r>
          </w:p>
        </w:tc>
      </w:tr>
      <w:tr>
        <w:trPr>
          <w:cantSplit/>
        </w:trPr>
        <w:tc>
          <w:tcPr>
            <w:tcW w:type="dxa" w:w="368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Judge</w:t>
            </w:r>
          </w:p>
        </w:tc>
        <w:tc>
          <w:tcPr>
            <w:tcW w:type="dxa" w:w="1048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Approve determination, start or close hearing, suspend, postpone, view authorized case</w:t>
            </w:r>
          </w:p>
        </w:tc>
      </w:tr>
      <w:tr>
        <w:trPr>
          <w:cantSplit/>
        </w:trPr>
        <w:tc>
          <w:tcPr>
            <w:tcW w:type="dxa" w:w="368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Court Clerk</w:t>
            </w:r>
          </w:p>
        </w:tc>
        <w:tc>
          <w:tcPr>
            <w:tcW w:type="dxa" w:w="1048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Prepare schedule, notice, participants, attendance, documentation, and synchronization</w:t>
            </w:r>
          </w:p>
        </w:tc>
      </w:tr>
      <w:tr>
        <w:trPr>
          <w:cantSplit/>
        </w:trPr>
        <w:tc>
          <w:tcPr>
            <w:tcW w:type="dxa" w:w="368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Prosecutor</w:t>
            </w:r>
          </w:p>
        </w:tc>
        <w:tc>
          <w:tcPr>
            <w:tcW w:type="dxa" w:w="1048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Acknowledge notice, transmit notice, upload authorized document, attend hearing</w:t>
            </w:r>
          </w:p>
        </w:tc>
      </w:tr>
      <w:tr>
        <w:trPr>
          <w:cantSplit/>
        </w:trPr>
        <w:tc>
          <w:tcPr>
            <w:tcW w:type="dxa" w:w="368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Corrections Officer</w:t>
            </w:r>
          </w:p>
        </w:tc>
        <w:tc>
          <w:tcPr>
            <w:tcW w:type="dxa" w:w="1048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Prepare defendant, verify identity, complete readiness, receive and deliver notice</w:t>
            </w:r>
          </w:p>
        </w:tc>
      </w:tr>
      <w:tr>
        <w:trPr>
          <w:cantSplit/>
        </w:trPr>
        <w:tc>
          <w:tcPr>
            <w:tcW w:type="dxa" w:w="368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Advocate</w:t>
            </w:r>
          </w:p>
        </w:tc>
        <w:tc>
          <w:tcPr>
            <w:tcW w:type="dxa" w:w="1048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Acknowledge notice, access assigned case, join hearing, request private consultation</w:t>
            </w:r>
          </w:p>
        </w:tc>
      </w:tr>
      <w:tr>
        <w:trPr>
          <w:cantSplit/>
        </w:trPr>
        <w:tc>
          <w:tcPr>
            <w:tcW w:type="dxa" w:w="368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Witness or Expert</w:t>
            </w:r>
          </w:p>
        </w:tc>
        <w:tc>
          <w:tcPr>
            <w:tcW w:type="dxa" w:w="1048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Limited one-time access to assigned hearing only</w:t>
            </w:r>
          </w:p>
        </w:tc>
      </w:tr>
      <w:tr>
        <w:trPr>
          <w:cantSplit/>
        </w:trPr>
        <w:tc>
          <w:tcPr>
            <w:tcW w:type="dxa" w:w="368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Liaison Officer</w:t>
            </w:r>
          </w:p>
        </w:tc>
        <w:tc>
          <w:tcPr>
            <w:tcW w:type="dxa" w:w="1048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Cross-institution coordination and escalation, no substantive case editing</w:t>
            </w:r>
          </w:p>
        </w:tc>
      </w:tr>
      <w:tr>
        <w:trPr>
          <w:cantSplit/>
        </w:trPr>
        <w:tc>
          <w:tcPr>
            <w:tcW w:type="dxa" w:w="368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IT Operator</w:t>
            </w:r>
          </w:p>
        </w:tc>
        <w:tc>
          <w:tcPr>
            <w:tcW w:type="dxa" w:w="1048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Technical configuration and incident support, no unrestricted case content access</w:t>
            </w:r>
          </w:p>
        </w:tc>
      </w:tr>
      <w:tr>
        <w:trPr>
          <w:cantSplit/>
        </w:trPr>
        <w:tc>
          <w:tcPr>
            <w:tcW w:type="dxa" w:w="3685"/>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Security Officer</w:t>
            </w:r>
          </w:p>
        </w:tc>
        <w:tc>
          <w:tcPr>
            <w:tcW w:type="dxa" w:w="1048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Cyber incident and audit access</w:t>
            </w:r>
          </w:p>
        </w:tc>
      </w:tr>
      <w:tr>
        <w:trPr>
          <w:cantSplit/>
        </w:trPr>
        <w:tc>
          <w:tcPr>
            <w:tcW w:type="dxa" w:w="368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System Administrator</w:t>
            </w:r>
          </w:p>
        </w:tc>
        <w:tc>
          <w:tcPr>
            <w:tcW w:type="dxa" w:w="1048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Account and configuration management with privileged access monitoring</w:t>
            </w:r>
          </w:p>
        </w:tc>
      </w:tr>
    </w:tbl>
    <w:p>
      <w:pPr>
        <w:spacing w:after="20"/>
      </w:pPr>
    </w:p>
    <w:p>
      <w:pPr>
        <w:pStyle w:val="Heading1"/>
      </w:pPr>
      <w:r>
        <w:t>11. KEBUTUHAN NONFUNGSIONAL REVISI</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311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Domain</w:t>
            </w:r>
          </w:p>
        </w:tc>
        <w:tc>
          <w:tcPr>
            <w:tcW w:type="dxa" w:w="1105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Kebutuhan</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Security</w:t>
            </w:r>
          </w:p>
        </w:tc>
        <w:tc>
          <w:tcPr>
            <w:tcW w:type="dxa" w:w="1105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MFA wajib untuk peran sensitif, RBAC dan ABAC, encryption at rest and in transit, secret management, session control</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Privacy</w:t>
            </w:r>
          </w:p>
        </w:tc>
        <w:tc>
          <w:tcPr>
            <w:tcW w:type="dxa" w:w="1105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Data minimization, masking, purpose limitation, biometrics disabled by default, access review</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Auditability</w:t>
            </w:r>
          </w:p>
        </w:tc>
        <w:tc>
          <w:tcPr>
            <w:tcW w:type="dxa" w:w="1105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Append-only audit, before and after value, reason code, correlation ID, export evidence</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Availability</w:t>
            </w:r>
          </w:p>
        </w:tc>
        <w:tc>
          <w:tcPr>
            <w:tcW w:type="dxa" w:w="1105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Service health, queue retry, provider failover, backup, disaster recovery</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Interoperability</w:t>
            </w:r>
          </w:p>
        </w:tc>
        <w:tc>
          <w:tcPr>
            <w:tcW w:type="dxa" w:w="1105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API versioning, official system reference, webhook signing, idempotency</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Performance</w:t>
            </w:r>
          </w:p>
        </w:tc>
        <w:tc>
          <w:tcPr>
            <w:tcW w:type="dxa" w:w="1105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P95 response target per service, notification queue monitoring, concurrent hearing capacity</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Integrity</w:t>
            </w:r>
          </w:p>
        </w:tc>
        <w:tc>
          <w:tcPr>
            <w:tcW w:type="dxa" w:w="1105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Document and recording hash, signature verification, trusted timestamp</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Retention</w:t>
            </w:r>
          </w:p>
        </w:tc>
        <w:tc>
          <w:tcPr>
            <w:tcW w:type="dxa" w:w="1105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Configurable retention by data class and legal record category</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Observability</w:t>
            </w:r>
          </w:p>
        </w:tc>
        <w:tc>
          <w:tcPr>
            <w:tcW w:type="dxa" w:w="1105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Application, security, integration, notification, and provider logs</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Accessibility</w:t>
            </w:r>
          </w:p>
        </w:tc>
        <w:tc>
          <w:tcPr>
            <w:tcW w:type="dxa" w:w="1105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Keyboard navigation, caption support, contrast, readable forms, low-bandwidth mode</w:t>
            </w:r>
          </w:p>
        </w:tc>
      </w:tr>
    </w:tbl>
    <w:p>
      <w:pPr>
        <w:spacing w:after="20"/>
      </w:pPr>
    </w:p>
    <w:p>
      <w:pPr>
        <w:pStyle w:val="Heading1"/>
      </w:pPr>
      <w:r>
        <w:t>12. ACCEPTANCE CRITERIA MVP</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1417"/>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ID</w:t>
            </w:r>
          </w:p>
        </w:tc>
        <w:tc>
          <w:tcPr>
            <w:tcW w:type="dxa" w:w="12756"/>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Kriteria Penerimaan</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AC-01</w:t>
            </w:r>
          </w:p>
        </w:tc>
        <w:tc>
          <w:tcPr>
            <w:tcW w:type="dxa" w:w="1275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Virtual room cannot be created before a valid judicial determination exists.</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AC-02</w:t>
            </w:r>
          </w:p>
        </w:tc>
        <w:tc>
          <w:tcPr>
            <w:tcW w:type="dxa" w:w="1275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Every official notice has sender, recipient, document reference, sent time, delivery status, acknowledgment, and fallback history.</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AC-03</w:t>
            </w:r>
          </w:p>
        </w:tc>
        <w:tc>
          <w:tcPr>
            <w:tcW w:type="dxa" w:w="1275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 hearing cannot move to READY until mandatory checklist items are complete.</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AC-04</w:t>
            </w:r>
          </w:p>
        </w:tc>
        <w:tc>
          <w:tcPr>
            <w:tcW w:type="dxa" w:w="1275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The system records identity verification, location, room inspection, and responsible officer.</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AC-05</w:t>
            </w:r>
          </w:p>
        </w:tc>
        <w:tc>
          <w:tcPr>
            <w:tcW w:type="dxa" w:w="1275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Judge can suspend, resume, postpone, or close the hearing and each action is logged.</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AC-06</w:t>
            </w:r>
          </w:p>
        </w:tc>
        <w:tc>
          <w:tcPr>
            <w:tcW w:type="dxa" w:w="1275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Technical incident, cyber incident, and force majeure use separate forms and escalation paths.</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AC-07</w:t>
            </w:r>
          </w:p>
        </w:tc>
        <w:tc>
          <w:tcPr>
            <w:tcW w:type="dxa" w:w="1275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Cyber incident notification timer supports the 1 x 24 hour obligation.</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AC-08</w:t>
            </w:r>
          </w:p>
        </w:tc>
        <w:tc>
          <w:tcPr>
            <w:tcW w:type="dxa" w:w="1275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Force majeure notification timer supports the 3 x 24 hour obligation.</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AC-09</w:t>
            </w:r>
          </w:p>
        </w:tc>
        <w:tc>
          <w:tcPr>
            <w:tcW w:type="dxa" w:w="1275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Appeal decision reading workflow supports original date, changed date, notice chain, presence, same-day excerpt status, seven-day transmission status, and cassation deadline display.</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AC-10</w:t>
            </w:r>
          </w:p>
        </w:tc>
        <w:tc>
          <w:tcPr>
            <w:tcW w:type="dxa" w:w="1275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CIMS stores official record references and does not silently create a competing legal record.</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AC-11</w:t>
            </w:r>
          </w:p>
        </w:tc>
        <w:tc>
          <w:tcPr>
            <w:tcW w:type="dxa" w:w="1275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AI output, if enabled, is labeled draft and cannot be published without human approval.</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AC-12</w:t>
            </w:r>
          </w:p>
        </w:tc>
        <w:tc>
          <w:tcPr>
            <w:tcW w:type="dxa" w:w="1275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All privileged actions include user, role, organization, time, device or IP, reason, and correlation ID.</w:t>
            </w:r>
          </w:p>
        </w:tc>
      </w:tr>
    </w:tbl>
    <w:p>
      <w:pPr>
        <w:spacing w:after="20"/>
      </w:pPr>
    </w:p>
    <w:p>
      <w:pPr>
        <w:pStyle w:val="Heading1"/>
      </w:pPr>
      <w:r>
        <w:t>13. ROADMAP REVISI</w:t>
      </w:r>
    </w:p>
    <w:tbl>
      <w:tblPr>
        <w:tblStyle w:val="TableGrid"/>
        <w:tblW w:type="auto" w:w="0"/>
        <w:jc w:val="center"/>
        <w:tblLayout w:type="autofit"/>
        <w:tblLook w:firstColumn="1" w:firstRow="1" w:lastColumn="0" w:lastRow="0" w:noHBand="0" w:noVBand="1" w:val="04A0"/>
      </w:tblPr>
      <w:tblGrid>
        <w:gridCol w:w="3699"/>
        <w:gridCol w:w="3699"/>
        <w:gridCol w:w="3699"/>
        <w:gridCol w:w="3699"/>
      </w:tblGrid>
      <w:tr>
        <w:trPr>
          <w:tblHeader w:val="true"/>
          <w:cantSplit/>
        </w:trPr>
        <w:tc>
          <w:tcPr>
            <w:tcW w:type="dxa" w:w="170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Fase</w:t>
            </w:r>
          </w:p>
        </w:tc>
        <w:tc>
          <w:tcPr>
            <w:tcW w:type="dxa" w:w="340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Fokus</w:t>
            </w:r>
          </w:p>
        </w:tc>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Estimasi</w:t>
            </w:r>
          </w:p>
        </w:tc>
        <w:tc>
          <w:tcPr>
            <w:tcW w:type="dxa" w:w="6803"/>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Output</w:t>
            </w:r>
          </w:p>
        </w:tc>
      </w:tr>
      <w:tr>
        <w:trPr>
          <w:cantSplit/>
        </w:trPr>
        <w:tc>
          <w:tcPr>
            <w:tcW w:type="dxa" w:w="170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Phase 0</w:t>
            </w:r>
          </w:p>
        </w:tc>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Legal and Process Baseline</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2 sampai 4 minggu</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Validasi SOP, RACI, data classification, integration boundary, threat model, user research lintas instansi</w:t>
            </w:r>
          </w:p>
        </w:tc>
      </w:tr>
      <w:tr>
        <w:trPr>
          <w:cantSplit/>
        </w:trPr>
        <w:tc>
          <w:tcPr>
            <w:tcW w:type="dxa" w:w="170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Phase 1</w:t>
            </w:r>
          </w:p>
        </w:tc>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Compliance MVP</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12 sampai 16 minggu</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Determination gate, scheduling, notice and ack, readiness, virtual room, attendance, incidents, audit, appeal decision module</w:t>
            </w:r>
          </w:p>
        </w:tc>
      </w:tr>
      <w:tr>
        <w:trPr>
          <w:cantSplit/>
        </w:trPr>
        <w:tc>
          <w:tcPr>
            <w:tcW w:type="dxa" w:w="170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Phase 2</w:t>
            </w:r>
          </w:p>
        </w:tc>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Integration and Hardening</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12 minggu</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Integrasi sistem resmi, document and recording reference, mobile responsive, cyber controls, DR test, monitoring tahunan</w:t>
            </w:r>
          </w:p>
        </w:tc>
      </w:tr>
      <w:tr>
        <w:trPr>
          <w:cantSplit/>
        </w:trPr>
        <w:tc>
          <w:tcPr>
            <w:tcW w:type="dxa" w:w="170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Phase 3</w:t>
            </w:r>
          </w:p>
        </w:tc>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Assistive Intelligence</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Setelah stabil</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Transcription, AI draft summary, advisory analytics, model governance, evaluation, human approval</w:t>
            </w:r>
          </w:p>
        </w:tc>
      </w:tr>
    </w:tbl>
    <w:p>
      <w:pPr>
        <w:spacing w:after="20"/>
      </w:pPr>
    </w:p>
    <w:p>
      <w:pPr>
        <w:pStyle w:val="Heading1"/>
      </w:pPr>
      <w:r>
        <w:t>14. PRIORITAS BACKLOG MOSCOW</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Kategori</w:t>
            </w:r>
          </w:p>
        </w:tc>
        <w:tc>
          <w:tcPr>
            <w:tcW w:type="dxa" w:w="11906"/>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Isi</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MUST</w:t>
            </w:r>
          </w:p>
        </w:tc>
        <w:tc>
          <w:tcPr>
            <w:tcW w:type="dxa" w:w="1190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Judicial determination, official notice, ack, readiness, identity and room verification, virtual control, incidents, audit, appeal decision reading, security baseline</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SHOULD</w:t>
            </w:r>
          </w:p>
        </w:tc>
        <w:tc>
          <w:tcPr>
            <w:tcW w:type="dxa" w:w="1190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Official system integration, document hash, recording reference, monitoring analytics, responsive mobile, configurable legal templates</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COULD</w:t>
            </w:r>
          </w:p>
        </w:tc>
        <w:tc>
          <w:tcPr>
            <w:tcW w:type="dxa" w:w="11906"/>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Provider failover automation, calendar integration, low-bandwidth mode, operational risk scoring</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WON’T NOW</w:t>
            </w:r>
          </w:p>
        </w:tc>
        <w:tc>
          <w:tcPr>
            <w:tcW w:type="dxa" w:w="11906"/>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Face recognition, automatic legal conclusions, predictive judgment, AI replacing minutes, unrestricted national data lake</w:t>
            </w:r>
          </w:p>
        </w:tc>
      </w:tr>
    </w:tbl>
    <w:p>
      <w:pPr>
        <w:spacing w:after="20"/>
      </w:pPr>
    </w:p>
    <w:p>
      <w:pPr>
        <w:pStyle w:val="Heading1"/>
      </w:pPr>
      <w:r>
        <w:t>15. RISIKO PRODUK DAN KONTROL</w:t>
      </w:r>
    </w:p>
    <w:tbl>
      <w:tblPr>
        <w:tblStyle w:val="TableGrid"/>
        <w:tblW w:type="auto" w:w="0"/>
        <w:jc w:val="center"/>
        <w:tblLayout w:type="autofit"/>
        <w:tblLook w:firstColumn="1" w:firstRow="1" w:lastColumn="0" w:lastRow="0" w:noHBand="0" w:noVBand="1" w:val="04A0"/>
      </w:tblPr>
      <w:tblGrid>
        <w:gridCol w:w="4933"/>
        <w:gridCol w:w="4933"/>
        <w:gridCol w:w="4933"/>
      </w:tblGrid>
      <w:tr>
        <w:trPr>
          <w:tblHeader w:val="true"/>
          <w:cantSplit/>
        </w:trPr>
        <w:tc>
          <w:tcPr>
            <w:tcW w:type="dxa" w:w="283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Risiko</w:t>
            </w:r>
          </w:p>
        </w:tc>
        <w:tc>
          <w:tcPr>
            <w:tcW w:type="dxa" w:w="453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Dampak</w:t>
            </w:r>
          </w:p>
        </w:tc>
        <w:tc>
          <w:tcPr>
            <w:tcW w:type="dxa" w:w="6803"/>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Kontrol</w:t>
            </w:r>
          </w:p>
        </w:tc>
      </w:tr>
      <w:tr>
        <w:trPr>
          <w:cantSplit/>
        </w:trPr>
        <w:tc>
          <w:tcPr>
            <w:tcW w:type="dxa" w:w="283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Dual record</w:t>
            </w:r>
          </w:p>
        </w:tc>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CIMS menyimpan dokumen sebagai sumber baru</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Gunakan reference-first, hash, dan sinkronisasi resmi</w:t>
            </w:r>
          </w:p>
        </w:tc>
      </w:tr>
      <w:tr>
        <w:trPr>
          <w:cantSplit/>
        </w:trPr>
        <w:tc>
          <w:tcPr>
            <w:tcW w:type="dxa" w:w="28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Unauthorized access</w:t>
            </w:r>
          </w:p>
        </w:tc>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Admin atau operator melihat isi perkara</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Least privilege, privileged access management, access review</w:t>
            </w:r>
          </w:p>
        </w:tc>
      </w:tr>
      <w:tr>
        <w:trPr>
          <w:cantSplit/>
        </w:trPr>
        <w:tc>
          <w:tcPr>
            <w:tcW w:type="dxa" w:w="283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Notice dispute</w:t>
            </w:r>
          </w:p>
        </w:tc>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Penerima menyangkal pemberitahuan</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Receipt, acknowledgment, trusted timestamp, fallback evidence</w:t>
            </w:r>
          </w:p>
        </w:tc>
      </w:tr>
      <w:tr>
        <w:trPr>
          <w:cantSplit/>
        </w:trPr>
        <w:tc>
          <w:tcPr>
            <w:tcW w:type="dxa" w:w="28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Provider outage</w:t>
            </w:r>
          </w:p>
        </w:tc>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Zoom atau provider gagal</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Provider abstraction, contingency plan, approved fallback</w:t>
            </w:r>
          </w:p>
        </w:tc>
      </w:tr>
      <w:tr>
        <w:trPr>
          <w:cantSplit/>
        </w:trPr>
        <w:tc>
          <w:tcPr>
            <w:tcW w:type="dxa" w:w="283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AI hallucination</w:t>
            </w:r>
          </w:p>
        </w:tc>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Ringkasan salah dianggap benar</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Draft label, human review, no automatic legal use</w:t>
            </w:r>
          </w:p>
        </w:tc>
      </w:tr>
      <w:tr>
        <w:trPr>
          <w:cantSplit/>
        </w:trPr>
        <w:tc>
          <w:tcPr>
            <w:tcW w:type="dxa" w:w="28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Biometric misuse</w:t>
            </w:r>
          </w:p>
        </w:tc>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Face recognition mengumpulkan data berlebih</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Disable by default, legal assessment, manual verification</w:t>
            </w:r>
          </w:p>
        </w:tc>
      </w:tr>
      <w:tr>
        <w:trPr>
          <w:cantSplit/>
        </w:trPr>
        <w:tc>
          <w:tcPr>
            <w:tcW w:type="dxa" w:w="283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Recording leak</w:t>
            </w:r>
          </w:p>
        </w:tc>
        <w:tc>
          <w:tcPr>
            <w:tcW w:type="dxa" w:w="453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Rekaman tersebar</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Encryption, key control, watermark, access log, retention</w:t>
            </w:r>
          </w:p>
        </w:tc>
      </w:tr>
      <w:tr>
        <w:trPr>
          <w:cantSplit/>
        </w:trPr>
        <w:tc>
          <w:tcPr>
            <w:tcW w:type="dxa" w:w="28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Cross-institution ambiguity</w:t>
            </w:r>
          </w:p>
        </w:tc>
        <w:tc>
          <w:tcPr>
            <w:tcW w:type="dxa" w:w="453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Tugas saling dilempar</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RACI, liaison officers, escalation matrix, SLA</w:t>
            </w:r>
          </w:p>
        </w:tc>
      </w:tr>
    </w:tbl>
    <w:p>
      <w:pPr>
        <w:spacing w:after="20"/>
      </w:pPr>
    </w:p>
    <w:p>
      <w:pPr>
        <w:pStyle w:val="Heading1"/>
      </w:pPr>
      <w:r>
        <w:t>16. REKOMENDASI KEPUTUSAN PENGEMBANGAN</w:t>
      </w:r>
    </w:p>
    <w:p>
      <w:pPr>
        <w:spacing w:after="40"/>
        <w:ind w:left="312" w:hanging="255"/>
      </w:pPr>
      <w:r>
        <w:rPr>
          <w:rFonts w:ascii="Liberation Sans" w:hAnsi="Liberation Sans"/>
          <w:sz w:val="20"/>
        </w:rPr>
        <w:t>1. Bekukan pengembangan fitur AI dan face recognition sampai SOP, data governance, serta legal review selesai.</w:t>
      </w:r>
    </w:p>
    <w:p>
      <w:pPr>
        <w:spacing w:after="40"/>
        <w:ind w:left="312" w:hanging="255"/>
      </w:pPr>
      <w:r>
        <w:rPr>
          <w:rFonts w:ascii="Liberation Sans" w:hAnsi="Liberation Sans"/>
          <w:sz w:val="20"/>
        </w:rPr>
        <w:t>2. Ubah backlog MVP dan database sebelum tim membangun modul jadwal dan Zoom lebih lanjut.</w:t>
      </w:r>
    </w:p>
    <w:p>
      <w:pPr>
        <w:spacing w:after="40"/>
        <w:ind w:left="312" w:hanging="255"/>
      </w:pPr>
      <w:r>
        <w:rPr>
          <w:rFonts w:ascii="Liberation Sans" w:hAnsi="Liberation Sans"/>
          <w:sz w:val="20"/>
        </w:rPr>
        <w:t>3. Bangun prototype alur penetapan, pemberitahuan, acknowledgment, checklist, dan putusan banding untuk diuji oleh Pengadilan, Kejaksaan, dan Pemasyarakatan.</w:t>
      </w:r>
    </w:p>
    <w:p>
      <w:pPr>
        <w:spacing w:after="40"/>
        <w:ind w:left="312" w:hanging="255"/>
      </w:pPr>
      <w:r>
        <w:rPr>
          <w:rFonts w:ascii="Liberation Sans" w:hAnsi="Liberation Sans"/>
          <w:sz w:val="20"/>
        </w:rPr>
        <w:t>4. Laksanakan threat modeling, privacy impact assessment, dan role-permission workshop pada Phase 0.</w:t>
      </w:r>
    </w:p>
    <w:p>
      <w:pPr>
        <w:spacing w:after="40"/>
        <w:ind w:left="312" w:hanging="255"/>
      </w:pPr>
      <w:r>
        <w:rPr>
          <w:rFonts w:ascii="Liberation Sans" w:hAnsi="Liberation Sans"/>
          <w:sz w:val="20"/>
        </w:rPr>
        <w:t>5. Gunakan modular monolith untuk MVP, tetapi pisahkan domain legal determination, notice, readiness, incident, audit, dan integration secara tegas.</w:t>
      </w:r>
    </w:p>
    <w:p>
      <w:pPr>
        <w:spacing w:after="40"/>
        <w:ind w:left="312" w:hanging="255"/>
      </w:pPr>
      <w:r>
        <w:rPr>
          <w:rFonts w:ascii="Liberation Sans" w:hAnsi="Liberation Sans"/>
          <w:sz w:val="20"/>
        </w:rPr>
        <w:t>6. Tetapkan satu pilot lintas instansi, bukan pilot hanya pada satu pengadilan, karena nilai produk terletak pada koordinasi tiga pihak.</w:t>
      </w:r>
    </w:p>
    <w:p>
      <w:pPr>
        <w:pStyle w:val="Heading1"/>
      </w:pPr>
      <w:r>
        <w:t>17. OUTPUT DOKUMEN LANJUTAN</w:t>
      </w:r>
    </w:p>
    <w:tbl>
      <w:tblPr>
        <w:tblStyle w:val="TableGrid"/>
        <w:tblW w:type="auto" w:w="0"/>
        <w:jc w:val="center"/>
        <w:tblLayout w:type="autofit"/>
        <w:tblLook w:firstColumn="1" w:firstRow="1" w:lastColumn="0" w:lastRow="0" w:noHBand="0" w:noVBand="1" w:val="04A0"/>
      </w:tblPr>
      <w:tblGrid>
        <w:gridCol w:w="7399"/>
        <w:gridCol w:w="7399"/>
      </w:tblGrid>
      <w:tr>
        <w:trPr>
          <w:tblHeader w:val="true"/>
          <w:cantSplit/>
        </w:trPr>
        <w:tc>
          <w:tcPr>
            <w:tcW w:type="dxa" w:w="3969"/>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Dokumen</w:t>
            </w:r>
          </w:p>
        </w:tc>
        <w:tc>
          <w:tcPr>
            <w:tcW w:type="dxa" w:w="1020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Tujuan</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BRD Revisi</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Business scope dan success metrics berbasis SOP</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BPMN Lintas Instansi</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Alur end-to-end dan exception flow</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RACI Detail</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Kewenangan per aktivitas dan bukti</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SRS Revisi</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Functional and nonfunctional requirements</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ERD Revisi</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Data model domain hukum dan koordinasi</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API Contract</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Integrasi sistem resmi, provider, notification, and evidence</w:t>
            </w:r>
          </w:p>
        </w:tc>
      </w:tr>
      <w:tr>
        <w:trPr>
          <w:cantSplit/>
        </w:trPr>
        <w:tc>
          <w:tcPr>
            <w:tcW w:type="dxa" w:w="3969"/>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6"/>
              </w:rPr>
              <w:t>Threat Model</w:t>
            </w:r>
          </w:p>
        </w:tc>
        <w:tc>
          <w:tcPr>
            <w:tcW w:type="dxa" w:w="102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Asset, threat, control, incident response</w:t>
            </w:r>
          </w:p>
        </w:tc>
      </w:tr>
      <w:tr>
        <w:trPr>
          <w:cantSplit/>
        </w:trPr>
        <w:tc>
          <w:tcPr>
            <w:tcW w:type="dxa" w:w="39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6"/>
              </w:rPr>
              <w:t>UAT Scenario</w:t>
            </w:r>
          </w:p>
        </w:tc>
        <w:tc>
          <w:tcPr>
            <w:tcW w:type="dxa" w:w="102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Skenario normal, putusan banding, gangguan, siber, force majeure, dan mutasi tahanan</w:t>
            </w:r>
          </w:p>
        </w:tc>
      </w:tr>
    </w:tbl>
    <w:p>
      <w:pPr>
        <w:spacing w:after="20"/>
      </w:pPr>
    </w:p>
    <w:p>
      <w:pPr>
        <w:pStyle w:val="Heading1"/>
      </w:pPr>
      <w:r>
        <w:t>18. PENUTUP</w:t>
      </w:r>
    </w:p>
    <w:p>
      <w:r>
        <w:t>Perubahan MVP bukan sekadar menambah fitur. Perubahan utama adalah mengubah model produk dari aplikasi penjadwalan dan konferensi video menjadi sistem koordinasi persidangan elektronik yang berbasis kewenangan, bukti, kontrol, dan akuntabilitas lintas instansi. Setelah fondasi ini dibangun, otomasi, analitik, dan AI dapat dikembangkan secara bertahap dengan risiko yang lebih terkendali.</w:t>
      </w:r>
    </w:p>
    <w:sectPr w:rsidR="00FC693F" w:rsidRPr="0006063C" w:rsidSect="00034616">
      <w:headerReference w:type="default" r:id="rId9"/>
      <w:footerReference w:type="default" r:id="rId10"/>
      <w:pgSz w:w="16838" w:h="11906" w:orient="landscape"/>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873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87385"/>
        <w:sz w:val="16"/>
      </w:rPr>
      <w:t>CIMS | Persidangan Pidana Elektronik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C8A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2F75B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eastAsia="Liberation Sans"/>
      <w:color w:val="5B6573"/>
      <w:sz w:val="17"/>
    </w:rPr>
  </w:style>
  <w:style w:type="paragraph" w:customStyle="1" w:styleId="BoxText">
    <w:name w:val="Box Text"/>
    <w:pPr>
      <w:spacing w:after="40"/>
    </w:pPr>
    <w:rPr>
      <w:rFonts w:ascii="Liberation Sans" w:hAnsi="Liberation Sans" w:eastAsia="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Matriks Penyesuaian MVP CIMS berdasarkan SOP dan PKS 2026</dc:title>
  <dc:subject>Gap analysis dan roadmap pengembangan CIMS</dc:subject>
  <dc:creator>Tim Penyusun</dc:creator>
  <cp:keywords/>
  <dc:description>generated by python-docx</dc:description>
  <cp:lastModifiedBy/>
  <cp:revision>1</cp:revision>
  <dcterms:created xsi:type="dcterms:W3CDTF">2013-12-23T23:15:00Z</dcterms:created>
  <dcterms:modified xsi:type="dcterms:W3CDTF">2013-12-23T23:15:00Z</dcterms:modified>
  <cp:category/>
</cp:coreProperties>
</file>