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w:hAnsi="Aptos" w:eastAsia="Aptos"/>
          <w:b/>
          <w:color w:val="C9A227"/>
          <w:sz w:val="26"/>
        </w:rPr>
        <w:t>COURT INTELLIGENCE MANAGEMENT SYSTEM</w:t>
      </w:r>
    </w:p>
    <w:p>
      <w:pPr>
        <w:spacing w:before="240"/>
        <w:jc w:val="center"/>
      </w:pPr>
      <w:r>
        <w:rPr>
          <w:rFonts w:ascii="Aptos" w:hAnsi="Aptos" w:eastAsia="Aptos"/>
          <w:b/>
          <w:color w:val="17365D"/>
          <w:sz w:val="50"/>
        </w:rPr>
        <w:t>BPMN LINTAS INSTANSI</w:t>
      </w:r>
    </w:p>
    <w:p>
      <w:pPr>
        <w:jc w:val="center"/>
      </w:pPr>
      <w:r>
        <w:rPr>
          <w:rFonts w:ascii="Aptos" w:hAnsi="Aptos" w:eastAsia="Aptos"/>
          <w:color w:val="595959"/>
          <w:sz w:val="24"/>
        </w:rPr>
        <w:t>Alur End-to-End, Pemberitahuan, Kesiapan, Insiden, dan Putusan Banding</w:t>
      </w:r>
    </w:p>
    <w:p>
      <w:pPr>
        <w:spacing w:before="560"/>
        <w:jc w:val="center"/>
      </w:pPr>
    </w:p>
    <w:tbl>
      <w:tblPr>
        <w:tblW w:type="auto" w:w="0"/>
        <w:jc w:val="center"/>
        <w:tblLayout w:type="fixed"/>
        <w:tblLook w:firstColumn="1" w:firstRow="1" w:lastColumn="0" w:lastRow="0" w:noHBand="0" w:noVBand="1" w:val="04A0"/>
      </w:tblPr>
      <w:tblGrid>
        <w:gridCol w:w="7399"/>
        <w:gridCol w:w="7399"/>
      </w:tblGrid>
      <w:tr>
        <w:trPr>
          <w:cantSplit/>
        </w:trPr>
        <w:tc>
          <w:tcPr>
            <w:tcW w:type="dxa" w:w="2835"/>
            <w:shd w:fill="D9EAF7"/>
            <w:vAlign w:val="center"/>
            <w:tcBorders>
              <w:top w:val="single" w:sz="4" w:color="B7C9DA"/>
              <w:left w:val="single" w:sz="4" w:color="B7C9DA"/>
              <w:bottom w:val="single" w:sz="4" w:color="B7C9DA"/>
              <w:right w:val="single" w:sz="4" w:color="B7C9DA"/>
            </w:tcBorders>
          </w:tcPr>
          <w:p>
            <w:r>
              <w:rPr>
                <w:rFonts w:ascii="Aptos" w:hAnsi="Aptos" w:eastAsia="Aptos"/>
                <w:b w:val="0"/>
                <w:sz w:val="18"/>
              </w:rPr>
              <w:t>Kode Dokumen</w:t>
            </w:r>
          </w:p>
        </w:tc>
        <w:tc>
          <w:tcPr>
            <w:tcW w:type="dxa" w:w="4535"/>
            <w:vAlign w:val="center"/>
            <w:tcBorders>
              <w:top w:val="single" w:sz="4" w:color="B7C9DA"/>
              <w:left w:val="single" w:sz="4" w:color="B7C9DA"/>
              <w:bottom w:val="single" w:sz="4" w:color="B7C9DA"/>
              <w:right w:val="single" w:sz="4" w:color="B7C9DA"/>
            </w:tcBorders>
          </w:tcPr>
          <w:p>
            <w:r>
              <w:rPr>
                <w:rFonts w:ascii="Aptos" w:hAnsi="Aptos" w:eastAsia="Aptos"/>
                <w:b w:val="0"/>
                <w:sz w:val="18"/>
              </w:rPr>
              <w:t>CIMS-BPMN-001/2026</w:t>
            </w:r>
          </w:p>
        </w:tc>
      </w:tr>
      <w:tr>
        <w:trPr>
          <w:cantSplit/>
        </w:trPr>
        <w:tc>
          <w:tcPr>
            <w:tcW w:type="dxa" w:w="2835"/>
            <w:shd w:fill="D9EAF7"/>
            <w:vAlign w:val="center"/>
            <w:tcBorders>
              <w:top w:val="single" w:sz="4" w:color="B7C9DA"/>
              <w:left w:val="single" w:sz="4" w:color="B7C9DA"/>
              <w:bottom w:val="single" w:sz="4" w:color="B7C9DA"/>
              <w:right w:val="single" w:sz="4" w:color="B7C9DA"/>
            </w:tcBorders>
          </w:tcPr>
          <w:p>
            <w:r>
              <w:rPr>
                <w:rFonts w:ascii="Aptos" w:hAnsi="Aptos" w:eastAsia="Aptos"/>
                <w:b w:val="0"/>
                <w:sz w:val="18"/>
              </w:rPr>
              <w:t>Versi</w:t>
            </w:r>
          </w:p>
        </w:tc>
        <w:tc>
          <w:tcPr>
            <w:tcW w:type="dxa" w:w="4535"/>
            <w:vAlign w:val="center"/>
            <w:tcBorders>
              <w:top w:val="single" w:sz="4" w:color="B7C9DA"/>
              <w:left w:val="single" w:sz="4" w:color="B7C9DA"/>
              <w:bottom w:val="single" w:sz="4" w:color="B7C9DA"/>
              <w:right w:val="single" w:sz="4" w:color="B7C9DA"/>
            </w:tcBorders>
          </w:tcPr>
          <w:p>
            <w:r>
              <w:rPr>
                <w:rFonts w:ascii="Aptos" w:hAnsi="Aptos" w:eastAsia="Aptos"/>
                <w:b w:val="0"/>
                <w:sz w:val="18"/>
              </w:rPr>
              <w:t>2.1</w:t>
            </w:r>
          </w:p>
        </w:tc>
      </w:tr>
      <w:tr>
        <w:trPr>
          <w:cantSplit/>
        </w:trPr>
        <w:tc>
          <w:tcPr>
            <w:tcW w:type="dxa" w:w="2835"/>
            <w:shd w:fill="D9EAF7"/>
            <w:vAlign w:val="center"/>
            <w:tcBorders>
              <w:top w:val="single" w:sz="4" w:color="B7C9DA"/>
              <w:left w:val="single" w:sz="4" w:color="B7C9DA"/>
              <w:bottom w:val="single" w:sz="4" w:color="B7C9DA"/>
              <w:right w:val="single" w:sz="4" w:color="B7C9DA"/>
            </w:tcBorders>
          </w:tcPr>
          <w:p>
            <w:r>
              <w:rPr>
                <w:rFonts w:ascii="Aptos" w:hAnsi="Aptos" w:eastAsia="Aptos"/>
                <w:b w:val="0"/>
                <w:sz w:val="18"/>
              </w:rPr>
              <w:t>Status</w:t>
            </w:r>
          </w:p>
        </w:tc>
        <w:tc>
          <w:tcPr>
            <w:tcW w:type="dxa" w:w="4535"/>
            <w:vAlign w:val="center"/>
            <w:tcBorders>
              <w:top w:val="single" w:sz="4" w:color="B7C9DA"/>
              <w:left w:val="single" w:sz="4" w:color="B7C9DA"/>
              <w:bottom w:val="single" w:sz="4" w:color="B7C9DA"/>
              <w:right w:val="single" w:sz="4" w:color="B7C9DA"/>
            </w:tcBorders>
          </w:tcPr>
          <w:p>
            <w:r>
              <w:rPr>
                <w:rFonts w:ascii="Aptos" w:hAnsi="Aptos" w:eastAsia="Aptos"/>
                <w:b w:val="0"/>
                <w:sz w:val="18"/>
              </w:rPr>
              <w:t>Development Baseline</w:t>
            </w:r>
          </w:p>
        </w:tc>
      </w:tr>
      <w:tr>
        <w:trPr>
          <w:cantSplit/>
        </w:trPr>
        <w:tc>
          <w:tcPr>
            <w:tcW w:type="dxa" w:w="2835"/>
            <w:shd w:fill="D9EAF7"/>
            <w:vAlign w:val="center"/>
            <w:tcBorders>
              <w:top w:val="single" w:sz="4" w:color="B7C9DA"/>
              <w:left w:val="single" w:sz="4" w:color="B7C9DA"/>
              <w:bottom w:val="single" w:sz="4" w:color="B7C9DA"/>
              <w:right w:val="single" w:sz="4" w:color="B7C9DA"/>
            </w:tcBorders>
          </w:tcPr>
          <w:p>
            <w:r>
              <w:rPr>
                <w:rFonts w:ascii="Aptos" w:hAnsi="Aptos" w:eastAsia="Aptos"/>
                <w:b w:val="0"/>
                <w:sz w:val="18"/>
              </w:rPr>
              <w:t>Tanggal</w:t>
            </w:r>
          </w:p>
        </w:tc>
        <w:tc>
          <w:tcPr>
            <w:tcW w:type="dxa" w:w="4535"/>
            <w:vAlign w:val="center"/>
            <w:tcBorders>
              <w:top w:val="single" w:sz="4" w:color="B7C9DA"/>
              <w:left w:val="single" w:sz="4" w:color="B7C9DA"/>
              <w:bottom w:val="single" w:sz="4" w:color="B7C9DA"/>
              <w:right w:val="single" w:sz="4" w:color="B7C9DA"/>
            </w:tcBorders>
          </w:tcPr>
          <w:p>
            <w:r>
              <w:rPr>
                <w:rFonts w:ascii="Aptos" w:hAnsi="Aptos" w:eastAsia="Aptos"/>
                <w:b w:val="0"/>
                <w:sz w:val="18"/>
              </w:rPr>
              <w:t>Juli 2026</w:t>
            </w:r>
          </w:p>
        </w:tc>
      </w:tr>
    </w:tbl>
    <w:p>
      <w:pPr>
        <w:spacing w:before="640"/>
        <w:jc w:val="center"/>
      </w:pPr>
      <w:r>
        <w:rPr>
          <w:rFonts w:ascii="Aptos" w:hAnsi="Aptos" w:eastAsia="Aptos"/>
          <w:i/>
          <w:color w:val="595959"/>
          <w:sz w:val="18"/>
        </w:rPr>
        <w:t>Dokumen ini diturunkan dari SOP Persidangan Pidana Elektronik CIMS Revisi 2026, PKS lintas instansi, SEMA Nomor 2 Tahun 2026, dan Matriks Penyesuaian MVP CIMS.</w:t>
      </w:r>
    </w:p>
    <w:p>
      <w:r>
        <w:br w:type="page"/>
      </w:r>
    </w:p>
    <w:p>
      <w:pPr>
        <w:pStyle w:val="Heading1"/>
      </w:pPr>
      <w:r>
        <w:t>Pengendalian Dokumen</w:t>
      </w:r>
    </w:p>
    <w:tbl>
      <w:tblPr>
        <w:tblStyle w:val="TableGrid"/>
        <w:tblW w:type="auto" w:w="0"/>
        <w:jc w:val="center"/>
        <w:tblLayout w:type="fixed"/>
        <w:tblLook w:firstColumn="1" w:firstRow="1" w:lastColumn="0" w:lastRow="0" w:noHBand="0" w:noVBand="1" w:val="04A0"/>
      </w:tblPr>
      <w:tblGrid>
        <w:gridCol w:w="4933"/>
        <w:gridCol w:w="4933"/>
        <w:gridCol w:w="4933"/>
      </w:tblGrid>
      <w:tr>
        <w:trPr>
          <w:tblHeader w:val="true"/>
          <w:cantSplit/>
        </w:trPr>
        <w:tc>
          <w:tcPr>
            <w:tcW w:type="dxa" w:w="2154"/>
            <w:shd w:fill="17365D"/>
            <w:vAlign w:val="center"/>
          </w:tcPr>
          <w:p>
            <w:pPr>
              <w:jc w:val="center"/>
            </w:pPr>
            <w:r>
              <w:rPr>
                <w:rFonts w:ascii="Aptos" w:hAnsi="Aptos" w:eastAsia="Aptos"/>
                <w:b/>
                <w:color w:val="FFFFFF"/>
                <w:sz w:val="17"/>
              </w:rPr>
              <w:t>Tahap</w:t>
            </w:r>
          </w:p>
        </w:tc>
        <w:tc>
          <w:tcPr>
            <w:tcW w:type="dxa" w:w="4819"/>
            <w:shd w:fill="17365D"/>
            <w:vAlign w:val="center"/>
          </w:tcPr>
          <w:p>
            <w:pPr>
              <w:jc w:val="center"/>
            </w:pPr>
            <w:r>
              <w:rPr>
                <w:rFonts w:ascii="Aptos" w:hAnsi="Aptos" w:eastAsia="Aptos"/>
                <w:b/>
                <w:color w:val="FFFFFF"/>
                <w:sz w:val="17"/>
              </w:rPr>
              <w:t>Penanggung Jawab</w:t>
            </w:r>
          </w:p>
        </w:tc>
        <w:tc>
          <w:tcPr>
            <w:tcW w:type="dxa" w:w="2381"/>
            <w:shd w:fill="17365D"/>
            <w:vAlign w:val="center"/>
          </w:tcPr>
          <w:p>
            <w:pPr>
              <w:jc w:val="center"/>
            </w:pPr>
            <w:r>
              <w:rPr>
                <w:rFonts w:ascii="Aptos" w:hAnsi="Aptos" w:eastAsia="Aptos"/>
                <w:b/>
                <w:color w:val="FFFFFF"/>
                <w:sz w:val="17"/>
              </w:rPr>
              <w:t>Paraf atau Tanggal</w:t>
            </w:r>
          </w:p>
        </w:tc>
      </w:tr>
      <w:tr>
        <w:trPr>
          <w:cantSplit/>
        </w:trPr>
        <w:tc>
          <w:tcPr>
            <w:tcW w:type="dxa" w:w="2154"/>
            <w:vAlign w:val="top"/>
          </w:tcPr>
          <w:p>
            <w:pPr>
              <w:spacing w:after="20"/>
            </w:pPr>
            <w:r>
              <w:rPr>
                <w:rFonts w:ascii="Aptos" w:hAnsi="Aptos" w:eastAsia="Aptos"/>
                <w:sz w:val="17"/>
              </w:rPr>
              <w:t>Disusun oleh</w:t>
            </w:r>
          </w:p>
        </w:tc>
        <w:tc>
          <w:tcPr>
            <w:tcW w:type="dxa" w:w="4819"/>
            <w:vAlign w:val="top"/>
          </w:tcPr>
          <w:p>
            <w:pPr>
              <w:spacing w:after="20"/>
            </w:pPr>
            <w:r>
              <w:rPr>
                <w:rFonts w:ascii="Aptos" w:hAnsi="Aptos" w:eastAsia="Aptos"/>
                <w:sz w:val="17"/>
              </w:rPr>
              <w:t>Tim Pengembangan CIMS</w:t>
            </w:r>
          </w:p>
        </w:tc>
        <w:tc>
          <w:tcPr>
            <w:tcW w:type="dxa" w:w="2381"/>
            <w:vAlign w:val="top"/>
          </w:tcPr>
          <w:p>
            <w:pPr>
              <w:spacing w:after="20"/>
            </w:pPr>
            <w:r>
              <w:rPr>
                <w:rFonts w:ascii="Aptos" w:hAnsi="Aptos" w:eastAsia="Aptos"/>
                <w:sz w:val="17"/>
              </w:rPr>
              <w:t>Tanggal: __________</w:t>
            </w:r>
          </w:p>
        </w:tc>
      </w:tr>
      <w:tr>
        <w:trPr>
          <w:cantSplit/>
        </w:trPr>
        <w:tc>
          <w:tcPr>
            <w:tcW w:type="dxa" w:w="2154"/>
            <w:vAlign w:val="top"/>
            <w:shd w:fill="F8FAFC"/>
          </w:tcPr>
          <w:p>
            <w:pPr>
              <w:spacing w:after="20"/>
            </w:pPr>
            <w:r>
              <w:rPr>
                <w:rFonts w:ascii="Aptos" w:hAnsi="Aptos" w:eastAsia="Aptos"/>
                <w:sz w:val="17"/>
              </w:rPr>
              <w:t>Diverifikasi proses bisnis</w:t>
            </w:r>
          </w:p>
        </w:tc>
        <w:tc>
          <w:tcPr>
            <w:tcW w:type="dxa" w:w="4819"/>
            <w:vAlign w:val="top"/>
            <w:shd w:fill="F8FAFC"/>
          </w:tcPr>
          <w:p>
            <w:pPr>
              <w:spacing w:after="20"/>
            </w:pPr>
            <w:r>
              <w:rPr>
                <w:rFonts w:ascii="Aptos" w:hAnsi="Aptos" w:eastAsia="Aptos"/>
                <w:sz w:val="17"/>
              </w:rPr>
              <w:t>Perwakilan Pengadilan, Kejaksaan, dan Pemasyarakatan</w:t>
            </w:r>
          </w:p>
        </w:tc>
        <w:tc>
          <w:tcPr>
            <w:tcW w:type="dxa" w:w="2381"/>
            <w:vAlign w:val="top"/>
            <w:shd w:fill="F8FAFC"/>
          </w:tcPr>
          <w:p>
            <w:pPr>
              <w:spacing w:after="20"/>
            </w:pPr>
            <w:r>
              <w:rPr>
                <w:rFonts w:ascii="Aptos" w:hAnsi="Aptos" w:eastAsia="Aptos"/>
                <w:sz w:val="17"/>
              </w:rPr>
              <w:t>Tanggal: __________</w:t>
            </w:r>
          </w:p>
        </w:tc>
      </w:tr>
      <w:tr>
        <w:trPr>
          <w:cantSplit/>
        </w:trPr>
        <w:tc>
          <w:tcPr>
            <w:tcW w:type="dxa" w:w="2154"/>
            <w:vAlign w:val="top"/>
          </w:tcPr>
          <w:p>
            <w:pPr>
              <w:spacing w:after="20"/>
            </w:pPr>
            <w:r>
              <w:rPr>
                <w:rFonts w:ascii="Aptos" w:hAnsi="Aptos" w:eastAsia="Aptos"/>
                <w:sz w:val="17"/>
              </w:rPr>
              <w:t>Diverifikasi hukum</w:t>
            </w:r>
          </w:p>
        </w:tc>
        <w:tc>
          <w:tcPr>
            <w:tcW w:type="dxa" w:w="4819"/>
            <w:vAlign w:val="top"/>
          </w:tcPr>
          <w:p>
            <w:pPr>
              <w:spacing w:after="20"/>
            </w:pPr>
            <w:r>
              <w:rPr>
                <w:rFonts w:ascii="Aptos" w:hAnsi="Aptos" w:eastAsia="Aptos"/>
                <w:sz w:val="17"/>
              </w:rPr>
              <w:t>Unit hukum masing-masing instansi</w:t>
            </w:r>
          </w:p>
        </w:tc>
        <w:tc>
          <w:tcPr>
            <w:tcW w:type="dxa" w:w="2381"/>
            <w:vAlign w:val="top"/>
          </w:tcPr>
          <w:p>
            <w:pPr>
              <w:spacing w:after="20"/>
            </w:pPr>
            <w:r>
              <w:rPr>
                <w:rFonts w:ascii="Aptos" w:hAnsi="Aptos" w:eastAsia="Aptos"/>
                <w:sz w:val="17"/>
              </w:rPr>
              <w:t>Tanggal: __________</w:t>
            </w:r>
          </w:p>
        </w:tc>
      </w:tr>
      <w:tr>
        <w:trPr>
          <w:cantSplit/>
        </w:trPr>
        <w:tc>
          <w:tcPr>
            <w:tcW w:type="dxa" w:w="2154"/>
            <w:vAlign w:val="top"/>
            <w:shd w:fill="F8FAFC"/>
          </w:tcPr>
          <w:p>
            <w:pPr>
              <w:spacing w:after="20"/>
            </w:pPr>
            <w:r>
              <w:rPr>
                <w:rFonts w:ascii="Aptos" w:hAnsi="Aptos" w:eastAsia="Aptos"/>
                <w:sz w:val="17"/>
              </w:rPr>
              <w:t>Diverifikasi keamanan</w:t>
            </w:r>
          </w:p>
        </w:tc>
        <w:tc>
          <w:tcPr>
            <w:tcW w:type="dxa" w:w="4819"/>
            <w:vAlign w:val="top"/>
            <w:shd w:fill="F8FAFC"/>
          </w:tcPr>
          <w:p>
            <w:pPr>
              <w:spacing w:after="20"/>
            </w:pPr>
            <w:r>
              <w:rPr>
                <w:rFonts w:ascii="Aptos" w:hAnsi="Aptos" w:eastAsia="Aptos"/>
                <w:sz w:val="17"/>
              </w:rPr>
              <w:t>Pejabat atau Tim Keamanan Informasi</w:t>
            </w:r>
          </w:p>
        </w:tc>
        <w:tc>
          <w:tcPr>
            <w:tcW w:type="dxa" w:w="2381"/>
            <w:vAlign w:val="top"/>
            <w:shd w:fill="F8FAFC"/>
          </w:tcPr>
          <w:p>
            <w:pPr>
              <w:spacing w:after="20"/>
            </w:pPr>
            <w:r>
              <w:rPr>
                <w:rFonts w:ascii="Aptos" w:hAnsi="Aptos" w:eastAsia="Aptos"/>
                <w:sz w:val="17"/>
              </w:rPr>
              <w:t>Tanggal: __________</w:t>
            </w:r>
          </w:p>
        </w:tc>
      </w:tr>
      <w:tr>
        <w:trPr>
          <w:cantSplit/>
        </w:trPr>
        <w:tc>
          <w:tcPr>
            <w:tcW w:type="dxa" w:w="2154"/>
            <w:vAlign w:val="top"/>
          </w:tcPr>
          <w:p>
            <w:pPr>
              <w:spacing w:after="20"/>
            </w:pPr>
            <w:r>
              <w:rPr>
                <w:rFonts w:ascii="Aptos" w:hAnsi="Aptos" w:eastAsia="Aptos"/>
                <w:sz w:val="17"/>
              </w:rPr>
              <w:t>Disetujui</w:t>
            </w:r>
          </w:p>
        </w:tc>
        <w:tc>
          <w:tcPr>
            <w:tcW w:type="dxa" w:w="4819"/>
            <w:vAlign w:val="top"/>
          </w:tcPr>
          <w:p>
            <w:pPr>
              <w:spacing w:after="20"/>
            </w:pPr>
            <w:r>
              <w:rPr>
                <w:rFonts w:ascii="Aptos" w:hAnsi="Aptos" w:eastAsia="Aptos"/>
                <w:sz w:val="17"/>
              </w:rPr>
              <w:t>Product Owner dan pejabat berwenang lintas instansi</w:t>
            </w:r>
          </w:p>
        </w:tc>
        <w:tc>
          <w:tcPr>
            <w:tcW w:type="dxa" w:w="2381"/>
            <w:vAlign w:val="top"/>
          </w:tcPr>
          <w:p>
            <w:pPr>
              <w:spacing w:after="20"/>
            </w:pPr>
            <w:r>
              <w:rPr>
                <w:rFonts w:ascii="Aptos" w:hAnsi="Aptos" w:eastAsia="Aptos"/>
                <w:sz w:val="17"/>
              </w:rPr>
              <w:t>Tanggal: __________</w:t>
            </w:r>
          </w:p>
        </w:tc>
      </w:tr>
    </w:tbl>
    <w:p>
      <w:pPr>
        <w:spacing w:after="0"/>
      </w:pPr>
    </w:p>
    <w:tbl>
      <w:tblPr>
        <w:tblW w:type="auto" w:w="0"/>
        <w:jc w:val="center"/>
        <w:tblLook w:firstColumn="1" w:firstRow="1" w:lastColumn="0" w:lastRow="0" w:noHBand="0" w:noVBand="1" w:val="04A0"/>
      </w:tblPr>
      <w:tblGrid>
        <w:gridCol w:w="14798"/>
      </w:tblGrid>
      <w:tr>
        <w:trPr>
          <w:cantSplit/>
        </w:trPr>
        <w:tc>
          <w:tcPr>
            <w:tcW w:type="dxa" w:w="14798"/>
            <w:shd w:fill="D9EAF7"/>
            <w:tcBorders>
              <w:top w:val="single" w:sz="8" w:color="2F75B5"/>
              <w:left w:val="single" w:sz="12" w:color="2F75B5"/>
              <w:bottom w:val="single" w:sz="4" w:color="B7C9DA"/>
              <w:right w:val="single" w:sz="4" w:color="B7C9DA"/>
            </w:tcBorders>
          </w:tcPr>
          <w:p>
            <w:r>
              <w:rPr>
                <w:rFonts w:ascii="Aptos" w:hAnsi="Aptos" w:eastAsia="Aptos"/>
                <w:b/>
                <w:color w:val="17365D"/>
                <w:sz w:val="19"/>
              </w:rPr>
              <w:t>Status baseline</w:t>
              <w:br/>
            </w:r>
            <w:r>
              <w:rPr>
                <w:rFonts w:ascii="Aptos" w:hAnsi="Aptos" w:eastAsia="Aptos"/>
                <w:sz w:val="18"/>
              </w:rPr>
              <w:t>Dokumen menjadi acuan desain dan pengembangan setelah memperoleh persetujuan lintas instansi. Perubahan terhadap alur kewenangan, data sensitif, rekaman, atau AI wajib melalui change control.</w:t>
            </w:r>
          </w:p>
        </w:tc>
      </w:tr>
    </w:tbl>
    <w:p>
      <w:pPr>
        <w:spacing w:after="0"/>
      </w:pPr>
    </w:p>
    <w:p>
      <w:pPr>
        <w:pStyle w:val="Heading1"/>
      </w:pPr>
      <w:r>
        <w:t>1. Tujuan dan Batas Proses</w:t>
      </w:r>
    </w:p>
    <w:p>
      <w:pPr>
        <w:spacing w:after="80"/>
      </w:pPr>
      <w:r>
        <w:rPr>
          <w:rFonts w:ascii="Aptos" w:hAnsi="Aptos" w:eastAsia="Aptos"/>
          <w:i w:val="0"/>
          <w:sz w:val="20"/>
        </w:rPr>
        <w:t>BPMN ini menerjemahkan SOP menjadi alur operasional lintas Pengadilan, Kejaksaan, Pemasyarakatan, advokat atau pihak lain, serta CIMS dan Tim TI. Diagram digunakan sebagai baseline validasi proses sebelum pengembangan modul jadwal dan ruang sidang virtual.</w:t>
      </w:r>
    </w:p>
    <w:tbl>
      <w:tblPr>
        <w:tblW w:type="auto" w:w="0"/>
        <w:jc w:val="center"/>
        <w:tblLook w:firstColumn="1" w:firstRow="1" w:lastColumn="0" w:lastRow="0" w:noHBand="0" w:noVBand="1" w:val="04A0"/>
      </w:tblPr>
      <w:tblGrid>
        <w:gridCol w:w="14798"/>
      </w:tblGrid>
      <w:tr>
        <w:trPr>
          <w:cantSplit/>
        </w:trPr>
        <w:tc>
          <w:tcPr>
            <w:tcW w:type="dxa" w:w="14798"/>
            <w:shd w:fill="D9EAF7"/>
            <w:tcBorders>
              <w:top w:val="single" w:sz="8" w:color="2F75B5"/>
              <w:left w:val="single" w:sz="12" w:color="2F75B5"/>
              <w:bottom w:val="single" w:sz="4" w:color="B7C9DA"/>
              <w:right w:val="single" w:sz="4" w:color="B7C9DA"/>
            </w:tcBorders>
          </w:tcPr>
          <w:p>
            <w:r>
              <w:rPr>
                <w:rFonts w:ascii="Aptos" w:hAnsi="Aptos" w:eastAsia="Aptos"/>
                <w:b/>
                <w:color w:val="17365D"/>
                <w:sz w:val="19"/>
              </w:rPr>
              <w:t>Batas kewenangan</w:t>
              <w:br/>
            </w:r>
            <w:r>
              <w:rPr>
                <w:rFonts w:ascii="Aptos" w:hAnsi="Aptos" w:eastAsia="Aptos"/>
                <w:sz w:val="18"/>
              </w:rPr>
              <w:t>CIMS hanya mengorkestrasi proses dan bukti operasional. CIMS tidak menggantikan penetapan hakim, register perkara, berita acara, putusan, atau repositori resmi.</w:t>
            </w:r>
          </w:p>
        </w:tc>
      </w:tr>
    </w:tbl>
    <w:p>
      <w:pPr>
        <w:spacing w:after="0"/>
      </w:pPr>
    </w:p>
    <w:p>
      <w:pPr>
        <w:pStyle w:val="Heading1"/>
      </w:pPr>
      <w:r>
        <w:t>2. Notasi dan Swimlane</w:t>
      </w:r>
    </w:p>
    <w:tbl>
      <w:tblPr>
        <w:tblStyle w:val="TableGrid"/>
        <w:tblW w:type="auto" w:w="0"/>
        <w:jc w:val="center"/>
        <w:tblLayout w:type="fixed"/>
        <w:tblLook w:firstColumn="1" w:firstRow="1" w:lastColumn="0" w:lastRow="0" w:noHBand="0" w:noVBand="1" w:val="04A0"/>
      </w:tblPr>
      <w:tblGrid>
        <w:gridCol w:w="7399"/>
        <w:gridCol w:w="7399"/>
      </w:tblGrid>
      <w:tr>
        <w:trPr>
          <w:tblHeader w:val="true"/>
          <w:cantSplit/>
        </w:trPr>
        <w:tc>
          <w:tcPr>
            <w:tcW w:type="dxa" w:w="2835"/>
            <w:shd w:fill="17365D"/>
            <w:vAlign w:val="center"/>
          </w:tcPr>
          <w:p>
            <w:pPr>
              <w:jc w:val="center"/>
            </w:pPr>
            <w:r>
              <w:rPr>
                <w:rFonts w:ascii="Aptos" w:hAnsi="Aptos" w:eastAsia="Aptos"/>
                <w:b/>
                <w:color w:val="FFFFFF"/>
                <w:sz w:val="17"/>
              </w:rPr>
              <w:t>Elemen</w:t>
            </w:r>
          </w:p>
        </w:tc>
        <w:tc>
          <w:tcPr>
            <w:tcW w:type="dxa" w:w="10205"/>
            <w:shd w:fill="17365D"/>
            <w:vAlign w:val="center"/>
          </w:tcPr>
          <w:p>
            <w:pPr>
              <w:jc w:val="center"/>
            </w:pPr>
            <w:r>
              <w:rPr>
                <w:rFonts w:ascii="Aptos" w:hAnsi="Aptos" w:eastAsia="Aptos"/>
                <w:b/>
                <w:color w:val="FFFFFF"/>
                <w:sz w:val="17"/>
              </w:rPr>
              <w:t>Makna</w:t>
            </w:r>
          </w:p>
        </w:tc>
      </w:tr>
      <w:tr>
        <w:trPr>
          <w:cantSplit/>
        </w:trPr>
        <w:tc>
          <w:tcPr>
            <w:tcW w:type="dxa" w:w="2835"/>
            <w:vAlign w:val="top"/>
          </w:tcPr>
          <w:p>
            <w:pPr>
              <w:spacing w:after="20"/>
            </w:pPr>
            <w:r>
              <w:rPr>
                <w:rFonts w:ascii="Aptos" w:hAnsi="Aptos" w:eastAsia="Aptos"/>
                <w:sz w:val="17"/>
              </w:rPr>
              <w:t>Lingkaran</w:t>
            </w:r>
          </w:p>
        </w:tc>
        <w:tc>
          <w:tcPr>
            <w:tcW w:type="dxa" w:w="10205"/>
            <w:vAlign w:val="top"/>
          </w:tcPr>
          <w:p>
            <w:pPr>
              <w:spacing w:after="20"/>
            </w:pPr>
            <w:r>
              <w:rPr>
                <w:rFonts w:ascii="Aptos" w:hAnsi="Aptos" w:eastAsia="Aptos"/>
                <w:sz w:val="17"/>
              </w:rPr>
              <w:t>Peristiwa awal atau akhir</w:t>
            </w:r>
          </w:p>
        </w:tc>
      </w:tr>
      <w:tr>
        <w:trPr>
          <w:cantSplit/>
        </w:trPr>
        <w:tc>
          <w:tcPr>
            <w:tcW w:type="dxa" w:w="2835"/>
            <w:vAlign w:val="top"/>
            <w:shd w:fill="F8FAFC"/>
          </w:tcPr>
          <w:p>
            <w:pPr>
              <w:spacing w:after="20"/>
            </w:pPr>
            <w:r>
              <w:rPr>
                <w:rFonts w:ascii="Aptos" w:hAnsi="Aptos" w:eastAsia="Aptos"/>
                <w:sz w:val="17"/>
              </w:rPr>
              <w:t>Kotak membulat</w:t>
            </w:r>
          </w:p>
        </w:tc>
        <w:tc>
          <w:tcPr>
            <w:tcW w:type="dxa" w:w="10205"/>
            <w:vAlign w:val="top"/>
            <w:shd w:fill="F8FAFC"/>
          </w:tcPr>
          <w:p>
            <w:pPr>
              <w:spacing w:after="20"/>
            </w:pPr>
            <w:r>
              <w:rPr>
                <w:rFonts w:ascii="Aptos" w:hAnsi="Aptos" w:eastAsia="Aptos"/>
                <w:sz w:val="17"/>
              </w:rPr>
              <w:t>Aktivitas atau tugas</w:t>
            </w:r>
          </w:p>
        </w:tc>
      </w:tr>
      <w:tr>
        <w:trPr>
          <w:cantSplit/>
        </w:trPr>
        <w:tc>
          <w:tcPr>
            <w:tcW w:type="dxa" w:w="2835"/>
            <w:vAlign w:val="top"/>
          </w:tcPr>
          <w:p>
            <w:pPr>
              <w:spacing w:after="20"/>
            </w:pPr>
            <w:r>
              <w:rPr>
                <w:rFonts w:ascii="Aptos" w:hAnsi="Aptos" w:eastAsia="Aptos"/>
                <w:sz w:val="17"/>
              </w:rPr>
              <w:t>Belah ketupat</w:t>
            </w:r>
          </w:p>
        </w:tc>
        <w:tc>
          <w:tcPr>
            <w:tcW w:type="dxa" w:w="10205"/>
            <w:vAlign w:val="top"/>
          </w:tcPr>
          <w:p>
            <w:pPr>
              <w:spacing w:after="20"/>
            </w:pPr>
            <w:r>
              <w:rPr>
                <w:rFonts w:ascii="Aptos" w:hAnsi="Aptos" w:eastAsia="Aptos"/>
                <w:sz w:val="17"/>
              </w:rPr>
              <w:t>Gateway atau keputusan</w:t>
            </w:r>
          </w:p>
        </w:tc>
      </w:tr>
      <w:tr>
        <w:trPr>
          <w:cantSplit/>
        </w:trPr>
        <w:tc>
          <w:tcPr>
            <w:tcW w:type="dxa" w:w="2835"/>
            <w:vAlign w:val="top"/>
            <w:shd w:fill="F8FAFC"/>
          </w:tcPr>
          <w:p>
            <w:pPr>
              <w:spacing w:after="20"/>
            </w:pPr>
            <w:r>
              <w:rPr>
                <w:rFonts w:ascii="Aptos" w:hAnsi="Aptos" w:eastAsia="Aptos"/>
                <w:sz w:val="17"/>
              </w:rPr>
              <w:t>Panah</w:t>
            </w:r>
          </w:p>
        </w:tc>
        <w:tc>
          <w:tcPr>
            <w:tcW w:type="dxa" w:w="10205"/>
            <w:vAlign w:val="top"/>
            <w:shd w:fill="F8FAFC"/>
          </w:tcPr>
          <w:p>
            <w:pPr>
              <w:spacing w:after="20"/>
            </w:pPr>
            <w:r>
              <w:rPr>
                <w:rFonts w:ascii="Aptos" w:hAnsi="Aptos" w:eastAsia="Aptos"/>
                <w:sz w:val="17"/>
              </w:rPr>
              <w:t>Urutan proses</w:t>
            </w:r>
          </w:p>
        </w:tc>
      </w:tr>
      <w:tr>
        <w:trPr>
          <w:cantSplit/>
        </w:trPr>
        <w:tc>
          <w:tcPr>
            <w:tcW w:type="dxa" w:w="2835"/>
            <w:vAlign w:val="top"/>
          </w:tcPr>
          <w:p>
            <w:pPr>
              <w:spacing w:after="20"/>
            </w:pPr>
            <w:r>
              <w:rPr>
                <w:rFonts w:ascii="Aptos" w:hAnsi="Aptos" w:eastAsia="Aptos"/>
                <w:sz w:val="17"/>
              </w:rPr>
              <w:t>Swimlane</w:t>
            </w:r>
          </w:p>
        </w:tc>
        <w:tc>
          <w:tcPr>
            <w:tcW w:type="dxa" w:w="10205"/>
            <w:vAlign w:val="top"/>
          </w:tcPr>
          <w:p>
            <w:pPr>
              <w:spacing w:after="20"/>
            </w:pPr>
            <w:r>
              <w:rPr>
                <w:rFonts w:ascii="Aptos" w:hAnsi="Aptos" w:eastAsia="Aptos"/>
                <w:sz w:val="17"/>
              </w:rPr>
              <w:t>Instansi atau kelompok pelaksana</w:t>
            </w:r>
          </w:p>
        </w:tc>
      </w:tr>
      <w:tr>
        <w:trPr>
          <w:cantSplit/>
        </w:trPr>
        <w:tc>
          <w:tcPr>
            <w:tcW w:type="dxa" w:w="2835"/>
            <w:vAlign w:val="top"/>
            <w:shd w:fill="F8FAFC"/>
          </w:tcPr>
          <w:p>
            <w:pPr>
              <w:spacing w:after="20"/>
            </w:pPr>
            <w:r>
              <w:rPr>
                <w:rFonts w:ascii="Aptos" w:hAnsi="Aptos" w:eastAsia="Aptos"/>
                <w:sz w:val="17"/>
              </w:rPr>
              <w:t>Kotak merah muda</w:t>
            </w:r>
          </w:p>
        </w:tc>
        <w:tc>
          <w:tcPr>
            <w:tcW w:type="dxa" w:w="10205"/>
            <w:vAlign w:val="top"/>
            <w:shd w:fill="F8FAFC"/>
          </w:tcPr>
          <w:p>
            <w:pPr>
              <w:spacing w:after="20"/>
            </w:pPr>
            <w:r>
              <w:rPr>
                <w:rFonts w:ascii="Aptos" w:hAnsi="Aptos" w:eastAsia="Aptos"/>
                <w:sz w:val="17"/>
              </w:rPr>
              <w:t>Eskalasi, risiko, atau kejadian khusus</w:t>
            </w:r>
          </w:p>
        </w:tc>
      </w:tr>
    </w:tbl>
    <w:p>
      <w:pPr>
        <w:spacing w:after="0"/>
      </w:pPr>
    </w:p>
    <w:p>
      <w:pPr>
        <w:pStyle w:val="Heading1"/>
      </w:pPr>
      <w:r>
        <w:t>3. BPMN Utama Persidangan Elektronik</w:t>
      </w:r>
    </w:p>
    <w:p>
      <w:pPr>
        <w:jc w:val="center"/>
      </w:pPr>
      <w:r>
        <w:drawing>
          <wp:inline xmlns:a="http://schemas.openxmlformats.org/drawingml/2006/main" xmlns:pic="http://schemas.openxmlformats.org/drawingml/2006/picture">
            <wp:extent cx="9180000" cy="2710703"/>
            <wp:docPr id="1" name="Picture 1"/>
            <wp:cNvGraphicFramePr>
              <a:graphicFrameLocks noChangeAspect="1"/>
            </wp:cNvGraphicFramePr>
            <a:graphic>
              <a:graphicData uri="http://schemas.openxmlformats.org/drawingml/2006/picture">
                <pic:pic>
                  <pic:nvPicPr>
                    <pic:cNvPr id="0" name="bpmn_main.png"/>
                    <pic:cNvPicPr/>
                  </pic:nvPicPr>
                  <pic:blipFill>
                    <a:blip r:embed="rId11"/>
                    <a:stretch>
                      <a:fillRect/>
                    </a:stretch>
                  </pic:blipFill>
                  <pic:spPr>
                    <a:xfrm>
                      <a:off x="0" y="0"/>
                      <a:ext cx="9180000" cy="2710703"/>
                    </a:xfrm>
                    <a:prstGeom prst="rect"/>
                  </pic:spPr>
                </pic:pic>
              </a:graphicData>
            </a:graphic>
          </wp:inline>
        </w:drawing>
      </w:r>
    </w:p>
    <w:p>
      <w:pPr>
        <w:jc w:val="center"/>
      </w:pPr>
      <w:r>
        <w:rPr>
          <w:rFonts w:ascii="Aptos" w:hAnsi="Aptos" w:eastAsia="Aptos"/>
          <w:i/>
          <w:color w:val="595959"/>
          <w:sz w:val="17"/>
        </w:rPr>
        <w:t>Gambar 1. Alur utama dari referensi perkara sampai penutupan dan audit.</w:t>
      </w:r>
    </w:p>
    <w:tbl>
      <w:tblPr>
        <w:tblStyle w:val="TableGrid"/>
        <w:tblW w:type="auto" w:w="0"/>
        <w:jc w:val="center"/>
        <w:tblLayout w:type="fixed"/>
        <w:tblLook w:firstColumn="1" w:firstRow="1" w:lastColumn="0" w:lastRow="0" w:noHBand="0" w:noVBand="1" w:val="04A0"/>
      </w:tblPr>
      <w:tblGrid>
        <w:gridCol w:w="3699"/>
        <w:gridCol w:w="3699"/>
        <w:gridCol w:w="3699"/>
        <w:gridCol w:w="3699"/>
      </w:tblGrid>
      <w:tr>
        <w:trPr>
          <w:tblHeader w:val="true"/>
          <w:cantSplit/>
        </w:trPr>
        <w:tc>
          <w:tcPr>
            <w:tcW w:type="dxa" w:w="1417"/>
            <w:shd w:fill="17365D"/>
            <w:vAlign w:val="center"/>
          </w:tcPr>
          <w:p>
            <w:pPr>
              <w:jc w:val="center"/>
            </w:pPr>
            <w:r>
              <w:rPr>
                <w:rFonts w:ascii="Aptos" w:hAnsi="Aptos" w:eastAsia="Aptos"/>
                <w:b/>
                <w:color w:val="FFFFFF"/>
                <w:sz w:val="15"/>
              </w:rPr>
              <w:t>ID</w:t>
            </w:r>
          </w:p>
        </w:tc>
        <w:tc>
          <w:tcPr>
            <w:tcW w:type="dxa" w:w="3118"/>
            <w:shd w:fill="17365D"/>
            <w:vAlign w:val="center"/>
          </w:tcPr>
          <w:p>
            <w:pPr>
              <w:jc w:val="center"/>
            </w:pPr>
            <w:r>
              <w:rPr>
                <w:rFonts w:ascii="Aptos" w:hAnsi="Aptos" w:eastAsia="Aptos"/>
                <w:b/>
                <w:color w:val="FFFFFF"/>
                <w:sz w:val="15"/>
              </w:rPr>
              <w:t>Pelaksana Utama</w:t>
            </w:r>
          </w:p>
        </w:tc>
        <w:tc>
          <w:tcPr>
            <w:tcW w:type="dxa" w:w="5953"/>
            <w:shd w:fill="17365D"/>
            <w:vAlign w:val="center"/>
          </w:tcPr>
          <w:p>
            <w:pPr>
              <w:jc w:val="center"/>
            </w:pPr>
            <w:r>
              <w:rPr>
                <w:rFonts w:ascii="Aptos" w:hAnsi="Aptos" w:eastAsia="Aptos"/>
                <w:b/>
                <w:color w:val="FFFFFF"/>
                <w:sz w:val="15"/>
              </w:rPr>
              <w:t>Aktivitas</w:t>
            </w:r>
          </w:p>
        </w:tc>
        <w:tc>
          <w:tcPr>
            <w:tcW w:type="dxa" w:w="3969"/>
            <w:shd w:fill="17365D"/>
            <w:vAlign w:val="center"/>
          </w:tcPr>
          <w:p>
            <w:pPr>
              <w:jc w:val="center"/>
            </w:pPr>
            <w:r>
              <w:rPr>
                <w:rFonts w:ascii="Aptos" w:hAnsi="Aptos" w:eastAsia="Aptos"/>
                <w:b/>
                <w:color w:val="FFFFFF"/>
                <w:sz w:val="15"/>
              </w:rPr>
              <w:t>Output Minimum</w:t>
            </w:r>
          </w:p>
        </w:tc>
      </w:tr>
      <w:tr>
        <w:trPr>
          <w:cantSplit/>
        </w:trPr>
        <w:tc>
          <w:tcPr>
            <w:tcW w:type="dxa" w:w="1417"/>
            <w:vAlign w:val="top"/>
          </w:tcPr>
          <w:p>
            <w:pPr>
              <w:spacing w:after="20"/>
            </w:pPr>
            <w:r>
              <w:rPr>
                <w:rFonts w:ascii="Aptos" w:hAnsi="Aptos" w:eastAsia="Aptos"/>
                <w:sz w:val="15"/>
              </w:rPr>
              <w:t>BPMN-01</w:t>
            </w:r>
          </w:p>
        </w:tc>
        <w:tc>
          <w:tcPr>
            <w:tcW w:type="dxa" w:w="3118"/>
            <w:vAlign w:val="top"/>
          </w:tcPr>
          <w:p>
            <w:pPr>
              <w:spacing w:after="20"/>
            </w:pPr>
            <w:r>
              <w:rPr>
                <w:rFonts w:ascii="Aptos" w:hAnsi="Aptos" w:eastAsia="Aptos"/>
                <w:sz w:val="15"/>
              </w:rPr>
              <w:t>CIMS dan Tim TI</w:t>
            </w:r>
          </w:p>
        </w:tc>
        <w:tc>
          <w:tcPr>
            <w:tcW w:type="dxa" w:w="5953"/>
            <w:vAlign w:val="top"/>
          </w:tcPr>
          <w:p>
            <w:pPr>
              <w:spacing w:after="20"/>
            </w:pPr>
            <w:r>
              <w:rPr>
                <w:rFonts w:ascii="Aptos" w:hAnsi="Aptos" w:eastAsia="Aptos"/>
                <w:sz w:val="15"/>
              </w:rPr>
              <w:t>Mengimpor atau mencatat referensi perkara dari sistem resmi.</w:t>
            </w:r>
          </w:p>
        </w:tc>
        <w:tc>
          <w:tcPr>
            <w:tcW w:type="dxa" w:w="3969"/>
            <w:vAlign w:val="top"/>
          </w:tcPr>
          <w:p>
            <w:pPr>
              <w:spacing w:after="20"/>
            </w:pPr>
            <w:r>
              <w:rPr>
                <w:rFonts w:ascii="Aptos" w:hAnsi="Aptos" w:eastAsia="Aptos"/>
                <w:sz w:val="15"/>
              </w:rPr>
              <w:t>Referensi perkara dan sumber data.</w:t>
            </w:r>
          </w:p>
        </w:tc>
      </w:tr>
      <w:tr>
        <w:trPr>
          <w:cantSplit/>
        </w:trPr>
        <w:tc>
          <w:tcPr>
            <w:tcW w:type="dxa" w:w="1417"/>
            <w:vAlign w:val="top"/>
            <w:shd w:fill="F8FAFC"/>
          </w:tcPr>
          <w:p>
            <w:pPr>
              <w:spacing w:after="20"/>
            </w:pPr>
            <w:r>
              <w:rPr>
                <w:rFonts w:ascii="Aptos" w:hAnsi="Aptos" w:eastAsia="Aptos"/>
                <w:sz w:val="15"/>
              </w:rPr>
              <w:t>BPMN-02</w:t>
            </w:r>
          </w:p>
        </w:tc>
        <w:tc>
          <w:tcPr>
            <w:tcW w:type="dxa" w:w="3118"/>
            <w:vAlign w:val="top"/>
            <w:shd w:fill="F8FAFC"/>
          </w:tcPr>
          <w:p>
            <w:pPr>
              <w:spacing w:after="20"/>
            </w:pPr>
            <w:r>
              <w:rPr>
                <w:rFonts w:ascii="Aptos" w:hAnsi="Aptos" w:eastAsia="Aptos"/>
                <w:sz w:val="15"/>
              </w:rPr>
              <w:t>Pengadilan</w:t>
            </w:r>
          </w:p>
        </w:tc>
        <w:tc>
          <w:tcPr>
            <w:tcW w:type="dxa" w:w="5953"/>
            <w:vAlign w:val="top"/>
            <w:shd w:fill="F8FAFC"/>
          </w:tcPr>
          <w:p>
            <w:pPr>
              <w:spacing w:after="20"/>
            </w:pPr>
            <w:r>
              <w:rPr>
                <w:rFonts w:ascii="Aptos" w:hAnsi="Aptos" w:eastAsia="Aptos"/>
                <w:sz w:val="15"/>
              </w:rPr>
              <w:t>Mencatat permohonan atau keadaan tertentu.</w:t>
            </w:r>
          </w:p>
        </w:tc>
        <w:tc>
          <w:tcPr>
            <w:tcW w:type="dxa" w:w="3969"/>
            <w:vAlign w:val="top"/>
            <w:shd w:fill="F8FAFC"/>
          </w:tcPr>
          <w:p>
            <w:pPr>
              <w:spacing w:after="20"/>
            </w:pPr>
            <w:r>
              <w:rPr>
                <w:rFonts w:ascii="Aptos" w:hAnsi="Aptos" w:eastAsia="Aptos"/>
                <w:sz w:val="15"/>
              </w:rPr>
              <w:t>Permohonan dan alasan.</w:t>
            </w:r>
          </w:p>
        </w:tc>
      </w:tr>
      <w:tr>
        <w:trPr>
          <w:cantSplit/>
        </w:trPr>
        <w:tc>
          <w:tcPr>
            <w:tcW w:type="dxa" w:w="1417"/>
            <w:vAlign w:val="top"/>
          </w:tcPr>
          <w:p>
            <w:pPr>
              <w:spacing w:after="20"/>
            </w:pPr>
            <w:r>
              <w:rPr>
                <w:rFonts w:ascii="Aptos" w:hAnsi="Aptos" w:eastAsia="Aptos"/>
                <w:sz w:val="15"/>
              </w:rPr>
              <w:t>BPMN-03</w:t>
            </w:r>
          </w:p>
        </w:tc>
        <w:tc>
          <w:tcPr>
            <w:tcW w:type="dxa" w:w="3118"/>
            <w:vAlign w:val="top"/>
          </w:tcPr>
          <w:p>
            <w:pPr>
              <w:spacing w:after="20"/>
            </w:pPr>
            <w:r>
              <w:rPr>
                <w:rFonts w:ascii="Aptos" w:hAnsi="Aptos" w:eastAsia="Aptos"/>
                <w:sz w:val="15"/>
              </w:rPr>
              <w:t>Hakim atau Majelis Hakim</w:t>
            </w:r>
          </w:p>
        </w:tc>
        <w:tc>
          <w:tcPr>
            <w:tcW w:type="dxa" w:w="5953"/>
            <w:vAlign w:val="top"/>
          </w:tcPr>
          <w:p>
            <w:pPr>
              <w:spacing w:after="20"/>
            </w:pPr>
            <w:r>
              <w:rPr>
                <w:rFonts w:ascii="Aptos" w:hAnsi="Aptos" w:eastAsia="Aptos"/>
                <w:sz w:val="15"/>
              </w:rPr>
              <w:t>Menilai dan menerbitkan penetapan.</w:t>
            </w:r>
          </w:p>
        </w:tc>
        <w:tc>
          <w:tcPr>
            <w:tcW w:type="dxa" w:w="3969"/>
            <w:vAlign w:val="top"/>
          </w:tcPr>
          <w:p>
            <w:pPr>
              <w:spacing w:after="20"/>
            </w:pPr>
            <w:r>
              <w:rPr>
                <w:rFonts w:ascii="Aptos" w:hAnsi="Aptos" w:eastAsia="Aptos"/>
                <w:sz w:val="15"/>
              </w:rPr>
              <w:t>Penetapan sah atau keputusan non-elektronik.</w:t>
            </w:r>
          </w:p>
        </w:tc>
      </w:tr>
      <w:tr>
        <w:trPr>
          <w:cantSplit/>
        </w:trPr>
        <w:tc>
          <w:tcPr>
            <w:tcW w:type="dxa" w:w="1417"/>
            <w:vAlign w:val="top"/>
            <w:shd w:fill="F8FAFC"/>
          </w:tcPr>
          <w:p>
            <w:pPr>
              <w:spacing w:after="20"/>
            </w:pPr>
            <w:r>
              <w:rPr>
                <w:rFonts w:ascii="Aptos" w:hAnsi="Aptos" w:eastAsia="Aptos"/>
                <w:sz w:val="15"/>
              </w:rPr>
              <w:t>BPMN-04</w:t>
            </w:r>
          </w:p>
        </w:tc>
        <w:tc>
          <w:tcPr>
            <w:tcW w:type="dxa" w:w="3118"/>
            <w:vAlign w:val="top"/>
            <w:shd w:fill="F8FAFC"/>
          </w:tcPr>
          <w:p>
            <w:pPr>
              <w:spacing w:after="20"/>
            </w:pPr>
            <w:r>
              <w:rPr>
                <w:rFonts w:ascii="Aptos" w:hAnsi="Aptos" w:eastAsia="Aptos"/>
                <w:sz w:val="15"/>
              </w:rPr>
              <w:t>CIMS</w:t>
            </w:r>
          </w:p>
        </w:tc>
        <w:tc>
          <w:tcPr>
            <w:tcW w:type="dxa" w:w="5953"/>
            <w:vAlign w:val="top"/>
            <w:shd w:fill="F8FAFC"/>
          </w:tcPr>
          <w:p>
            <w:pPr>
              <w:spacing w:after="20"/>
            </w:pPr>
            <w:r>
              <w:rPr>
                <w:rFonts w:ascii="Aptos" w:hAnsi="Aptos" w:eastAsia="Aptos"/>
                <w:sz w:val="15"/>
              </w:rPr>
              <w:t>Menyusun opsi jadwal dan mendeteksi konflik.</w:t>
            </w:r>
          </w:p>
        </w:tc>
        <w:tc>
          <w:tcPr>
            <w:tcW w:type="dxa" w:w="3969"/>
            <w:vAlign w:val="top"/>
            <w:shd w:fill="F8FAFC"/>
          </w:tcPr>
          <w:p>
            <w:pPr>
              <w:spacing w:after="20"/>
            </w:pPr>
            <w:r>
              <w:rPr>
                <w:rFonts w:ascii="Aptos" w:hAnsi="Aptos" w:eastAsia="Aptos"/>
                <w:sz w:val="15"/>
              </w:rPr>
              <w:t>Status tersedia, konflik, atau menunggu konfirmasi.</w:t>
            </w:r>
          </w:p>
        </w:tc>
      </w:tr>
      <w:tr>
        <w:trPr>
          <w:cantSplit/>
        </w:trPr>
        <w:tc>
          <w:tcPr>
            <w:tcW w:type="dxa" w:w="1417"/>
            <w:vAlign w:val="top"/>
          </w:tcPr>
          <w:p>
            <w:pPr>
              <w:spacing w:after="20"/>
            </w:pPr>
            <w:r>
              <w:rPr>
                <w:rFonts w:ascii="Aptos" w:hAnsi="Aptos" w:eastAsia="Aptos"/>
                <w:sz w:val="15"/>
              </w:rPr>
              <w:t>BPMN-05</w:t>
            </w:r>
          </w:p>
        </w:tc>
        <w:tc>
          <w:tcPr>
            <w:tcW w:type="dxa" w:w="3118"/>
            <w:vAlign w:val="top"/>
          </w:tcPr>
          <w:p>
            <w:pPr>
              <w:spacing w:after="20"/>
            </w:pPr>
            <w:r>
              <w:rPr>
                <w:rFonts w:ascii="Aptos" w:hAnsi="Aptos" w:eastAsia="Aptos"/>
                <w:sz w:val="15"/>
              </w:rPr>
              <w:t>Panitera atau Pejabat Berwenang</w:t>
            </w:r>
          </w:p>
        </w:tc>
        <w:tc>
          <w:tcPr>
            <w:tcW w:type="dxa" w:w="5953"/>
            <w:vAlign w:val="top"/>
          </w:tcPr>
          <w:p>
            <w:pPr>
              <w:spacing w:after="20"/>
            </w:pPr>
            <w:r>
              <w:rPr>
                <w:rFonts w:ascii="Aptos" w:hAnsi="Aptos" w:eastAsia="Aptos"/>
                <w:sz w:val="15"/>
              </w:rPr>
              <w:t>Mengesahkan jadwal.</w:t>
            </w:r>
          </w:p>
        </w:tc>
        <w:tc>
          <w:tcPr>
            <w:tcW w:type="dxa" w:w="3969"/>
            <w:vAlign w:val="top"/>
          </w:tcPr>
          <w:p>
            <w:pPr>
              <w:spacing w:after="20"/>
            </w:pPr>
            <w:r>
              <w:rPr>
                <w:rFonts w:ascii="Aptos" w:hAnsi="Aptos" w:eastAsia="Aptos"/>
                <w:sz w:val="15"/>
              </w:rPr>
              <w:t>Jadwal final dengan versi.</w:t>
            </w:r>
          </w:p>
        </w:tc>
      </w:tr>
      <w:tr>
        <w:trPr>
          <w:cantSplit/>
        </w:trPr>
        <w:tc>
          <w:tcPr>
            <w:tcW w:type="dxa" w:w="1417"/>
            <w:vAlign w:val="top"/>
            <w:shd w:fill="F8FAFC"/>
          </w:tcPr>
          <w:p>
            <w:pPr>
              <w:spacing w:after="20"/>
            </w:pPr>
            <w:r>
              <w:rPr>
                <w:rFonts w:ascii="Aptos" w:hAnsi="Aptos" w:eastAsia="Aptos"/>
                <w:sz w:val="15"/>
              </w:rPr>
              <w:t>BPMN-06</w:t>
            </w:r>
          </w:p>
        </w:tc>
        <w:tc>
          <w:tcPr>
            <w:tcW w:type="dxa" w:w="3118"/>
            <w:vAlign w:val="top"/>
            <w:shd w:fill="F8FAFC"/>
          </w:tcPr>
          <w:p>
            <w:pPr>
              <w:spacing w:after="20"/>
            </w:pPr>
            <w:r>
              <w:rPr>
                <w:rFonts w:ascii="Aptos" w:hAnsi="Aptos" w:eastAsia="Aptos"/>
                <w:sz w:val="15"/>
              </w:rPr>
              <w:t>CIMS dan Tim TI</w:t>
            </w:r>
          </w:p>
        </w:tc>
        <w:tc>
          <w:tcPr>
            <w:tcW w:type="dxa" w:w="5953"/>
            <w:vAlign w:val="top"/>
            <w:shd w:fill="F8FAFC"/>
          </w:tcPr>
          <w:p>
            <w:pPr>
              <w:spacing w:after="20"/>
            </w:pPr>
            <w:r>
              <w:rPr>
                <w:rFonts w:ascii="Aptos" w:hAnsi="Aptos" w:eastAsia="Aptos"/>
                <w:sz w:val="15"/>
              </w:rPr>
              <w:t>Membuat ruang virtual setelah penetapan dan jadwal sah.</w:t>
            </w:r>
          </w:p>
        </w:tc>
        <w:tc>
          <w:tcPr>
            <w:tcW w:type="dxa" w:w="3969"/>
            <w:vAlign w:val="top"/>
            <w:shd w:fill="F8FAFC"/>
          </w:tcPr>
          <w:p>
            <w:pPr>
              <w:spacing w:after="20"/>
            </w:pPr>
            <w:r>
              <w:rPr>
                <w:rFonts w:ascii="Aptos" w:hAnsi="Aptos" w:eastAsia="Aptos"/>
                <w:sz w:val="15"/>
              </w:rPr>
              <w:t>Session, room, dan token terkontrol.</w:t>
            </w:r>
          </w:p>
        </w:tc>
      </w:tr>
      <w:tr>
        <w:trPr>
          <w:cantSplit/>
        </w:trPr>
        <w:tc>
          <w:tcPr>
            <w:tcW w:type="dxa" w:w="1417"/>
            <w:vAlign w:val="top"/>
          </w:tcPr>
          <w:p>
            <w:pPr>
              <w:spacing w:after="20"/>
            </w:pPr>
            <w:r>
              <w:rPr>
                <w:rFonts w:ascii="Aptos" w:hAnsi="Aptos" w:eastAsia="Aptos"/>
                <w:sz w:val="15"/>
              </w:rPr>
              <w:t>BPMN-07</w:t>
            </w:r>
          </w:p>
        </w:tc>
        <w:tc>
          <w:tcPr>
            <w:tcW w:type="dxa" w:w="3118"/>
            <w:vAlign w:val="top"/>
          </w:tcPr>
          <w:p>
            <w:pPr>
              <w:spacing w:after="20"/>
            </w:pPr>
            <w:r>
              <w:rPr>
                <w:rFonts w:ascii="Aptos" w:hAnsi="Aptos" w:eastAsia="Aptos"/>
                <w:sz w:val="15"/>
              </w:rPr>
              <w:t>Pengadilan dan Kejaksaan</w:t>
            </w:r>
          </w:p>
        </w:tc>
        <w:tc>
          <w:tcPr>
            <w:tcW w:type="dxa" w:w="5953"/>
            <w:vAlign w:val="top"/>
          </w:tcPr>
          <w:p>
            <w:pPr>
              <w:spacing w:after="20"/>
            </w:pPr>
            <w:r>
              <w:rPr>
                <w:rFonts w:ascii="Aptos" w:hAnsi="Aptos" w:eastAsia="Aptos"/>
                <w:sz w:val="15"/>
              </w:rPr>
              <w:t>Melaksanakan rantai pemberitahuan resmi.</w:t>
            </w:r>
          </w:p>
        </w:tc>
        <w:tc>
          <w:tcPr>
            <w:tcW w:type="dxa" w:w="3969"/>
            <w:vAlign w:val="top"/>
          </w:tcPr>
          <w:p>
            <w:pPr>
              <w:spacing w:after="20"/>
            </w:pPr>
            <w:r>
              <w:rPr>
                <w:rFonts w:ascii="Aptos" w:hAnsi="Aptos" w:eastAsia="Aptos"/>
                <w:sz w:val="15"/>
              </w:rPr>
              <w:t>Bukti kirim, bukti terima, dan acknowledgment.</w:t>
            </w:r>
          </w:p>
        </w:tc>
      </w:tr>
      <w:tr>
        <w:trPr>
          <w:cantSplit/>
        </w:trPr>
        <w:tc>
          <w:tcPr>
            <w:tcW w:type="dxa" w:w="1417"/>
            <w:vAlign w:val="top"/>
            <w:shd w:fill="F8FAFC"/>
          </w:tcPr>
          <w:p>
            <w:pPr>
              <w:spacing w:after="20"/>
            </w:pPr>
            <w:r>
              <w:rPr>
                <w:rFonts w:ascii="Aptos" w:hAnsi="Aptos" w:eastAsia="Aptos"/>
                <w:sz w:val="15"/>
              </w:rPr>
              <w:t>BPMN-08</w:t>
            </w:r>
          </w:p>
        </w:tc>
        <w:tc>
          <w:tcPr>
            <w:tcW w:type="dxa" w:w="3118"/>
            <w:vAlign w:val="top"/>
            <w:shd w:fill="F8FAFC"/>
          </w:tcPr>
          <w:p>
            <w:pPr>
              <w:spacing w:after="20"/>
            </w:pPr>
            <w:r>
              <w:rPr>
                <w:rFonts w:ascii="Aptos" w:hAnsi="Aptos" w:eastAsia="Aptos"/>
                <w:sz w:val="15"/>
              </w:rPr>
              <w:t>Pemasyarakatan dan Pihak Lain</w:t>
            </w:r>
          </w:p>
        </w:tc>
        <w:tc>
          <w:tcPr>
            <w:tcW w:type="dxa" w:w="5953"/>
            <w:vAlign w:val="top"/>
            <w:shd w:fill="F8FAFC"/>
          </w:tcPr>
          <w:p>
            <w:pPr>
              <w:spacing w:after="20"/>
            </w:pPr>
            <w:r>
              <w:rPr>
                <w:rFonts w:ascii="Aptos" w:hAnsi="Aptos" w:eastAsia="Aptos"/>
                <w:sz w:val="15"/>
              </w:rPr>
              <w:t>Menyelesaikan checklist, uji teknis, verifikasi identitas, dan inspeksi ruangan.</w:t>
            </w:r>
          </w:p>
        </w:tc>
        <w:tc>
          <w:tcPr>
            <w:tcW w:type="dxa" w:w="3969"/>
            <w:vAlign w:val="top"/>
            <w:shd w:fill="F8FAFC"/>
          </w:tcPr>
          <w:p>
            <w:pPr>
              <w:spacing w:after="20"/>
            </w:pPr>
            <w:r>
              <w:rPr>
                <w:rFonts w:ascii="Aptos" w:hAnsi="Aptos" w:eastAsia="Aptos"/>
                <w:sz w:val="15"/>
              </w:rPr>
              <w:t>Status READY atau perbaikan.</w:t>
            </w:r>
          </w:p>
        </w:tc>
      </w:tr>
      <w:tr>
        <w:trPr>
          <w:cantSplit/>
        </w:trPr>
        <w:tc>
          <w:tcPr>
            <w:tcW w:type="dxa" w:w="1417"/>
            <w:vAlign w:val="top"/>
          </w:tcPr>
          <w:p>
            <w:pPr>
              <w:spacing w:after="20"/>
            </w:pPr>
            <w:r>
              <w:rPr>
                <w:rFonts w:ascii="Aptos" w:hAnsi="Aptos" w:eastAsia="Aptos"/>
                <w:sz w:val="15"/>
              </w:rPr>
              <w:t>BPMN-09</w:t>
            </w:r>
          </w:p>
        </w:tc>
        <w:tc>
          <w:tcPr>
            <w:tcW w:type="dxa" w:w="3118"/>
            <w:vAlign w:val="top"/>
          </w:tcPr>
          <w:p>
            <w:pPr>
              <w:spacing w:after="20"/>
            </w:pPr>
            <w:r>
              <w:rPr>
                <w:rFonts w:ascii="Aptos" w:hAnsi="Aptos" w:eastAsia="Aptos"/>
                <w:sz w:val="15"/>
              </w:rPr>
              <w:t>Hakim dan Panitera</w:t>
            </w:r>
          </w:p>
        </w:tc>
        <w:tc>
          <w:tcPr>
            <w:tcW w:type="dxa" w:w="5953"/>
            <w:vAlign w:val="top"/>
          </w:tcPr>
          <w:p>
            <w:pPr>
              <w:spacing w:after="20"/>
            </w:pPr>
            <w:r>
              <w:rPr>
                <w:rFonts w:ascii="Aptos" w:hAnsi="Aptos" w:eastAsia="Aptos"/>
                <w:sz w:val="15"/>
              </w:rPr>
              <w:t>Membuka, mengendalikan, menskors, menunda, atau menutup persidangan.</w:t>
            </w:r>
          </w:p>
        </w:tc>
        <w:tc>
          <w:tcPr>
            <w:tcW w:type="dxa" w:w="3969"/>
            <w:vAlign w:val="top"/>
          </w:tcPr>
          <w:p>
            <w:pPr>
              <w:spacing w:after="20"/>
            </w:pPr>
            <w:r>
              <w:rPr>
                <w:rFonts w:ascii="Aptos" w:hAnsi="Aptos" w:eastAsia="Aptos"/>
                <w:sz w:val="15"/>
              </w:rPr>
              <w:t>Kehadiran, event log, hasil sidang, dan tindak lanjut.</w:t>
            </w:r>
          </w:p>
        </w:tc>
      </w:tr>
      <w:tr>
        <w:trPr>
          <w:cantSplit/>
        </w:trPr>
        <w:tc>
          <w:tcPr>
            <w:tcW w:type="dxa" w:w="1417"/>
            <w:vAlign w:val="top"/>
            <w:shd w:fill="F8FAFC"/>
          </w:tcPr>
          <w:p>
            <w:pPr>
              <w:spacing w:after="20"/>
            </w:pPr>
            <w:r>
              <w:rPr>
                <w:rFonts w:ascii="Aptos" w:hAnsi="Aptos" w:eastAsia="Aptos"/>
                <w:sz w:val="15"/>
              </w:rPr>
              <w:t>BPMN-10</w:t>
            </w:r>
          </w:p>
        </w:tc>
        <w:tc>
          <w:tcPr>
            <w:tcW w:type="dxa" w:w="3118"/>
            <w:vAlign w:val="top"/>
            <w:shd w:fill="F8FAFC"/>
          </w:tcPr>
          <w:p>
            <w:pPr>
              <w:spacing w:after="20"/>
            </w:pPr>
            <w:r>
              <w:rPr>
                <w:rFonts w:ascii="Aptos" w:hAnsi="Aptos" w:eastAsia="Aptos"/>
                <w:sz w:val="15"/>
              </w:rPr>
              <w:t>CIMS dan Sistem Resmi</w:t>
            </w:r>
          </w:p>
        </w:tc>
        <w:tc>
          <w:tcPr>
            <w:tcW w:type="dxa" w:w="5953"/>
            <w:vAlign w:val="top"/>
            <w:shd w:fill="F8FAFC"/>
          </w:tcPr>
          <w:p>
            <w:pPr>
              <w:spacing w:after="20"/>
            </w:pPr>
            <w:r>
              <w:rPr>
                <w:rFonts w:ascii="Aptos" w:hAnsi="Aptos" w:eastAsia="Aptos"/>
                <w:sz w:val="15"/>
              </w:rPr>
              <w:t>Menyelesaikan sinkronisasi, dokumentasi, audit, dan penutupan.</w:t>
            </w:r>
          </w:p>
        </w:tc>
        <w:tc>
          <w:tcPr>
            <w:tcW w:type="dxa" w:w="3969"/>
            <w:vAlign w:val="top"/>
            <w:shd w:fill="F8FAFC"/>
          </w:tcPr>
          <w:p>
            <w:pPr>
              <w:spacing w:after="20"/>
            </w:pPr>
            <w:r>
              <w:rPr>
                <w:rFonts w:ascii="Aptos" w:hAnsi="Aptos" w:eastAsia="Aptos"/>
                <w:sz w:val="15"/>
              </w:rPr>
              <w:t>Status CLOSED dan bukti lengkap.</w:t>
            </w:r>
          </w:p>
        </w:tc>
      </w:tr>
    </w:tbl>
    <w:p>
      <w:pPr>
        <w:spacing w:after="0"/>
      </w:pPr>
    </w:p>
    <w:p>
      <w:pPr>
        <w:pStyle w:val="Heading1"/>
      </w:pPr>
      <w:r>
        <w:t>4. Aturan Gateway Kritis</w:t>
      </w:r>
    </w:p>
    <w:tbl>
      <w:tblPr>
        <w:tblStyle w:val="TableGrid"/>
        <w:tblW w:type="auto" w:w="0"/>
        <w:jc w:val="center"/>
        <w:tblLayout w:type="fixed"/>
        <w:tblLook w:firstColumn="1" w:firstRow="1" w:lastColumn="0" w:lastRow="0" w:noHBand="0" w:noVBand="1" w:val="04A0"/>
      </w:tblPr>
      <w:tblGrid>
        <w:gridCol w:w="3699"/>
        <w:gridCol w:w="3699"/>
        <w:gridCol w:w="3699"/>
        <w:gridCol w:w="3699"/>
      </w:tblGrid>
      <w:tr>
        <w:trPr>
          <w:tblHeader w:val="true"/>
          <w:cantSplit/>
        </w:trPr>
        <w:tc>
          <w:tcPr>
            <w:tcW w:type="dxa" w:w="2268"/>
            <w:shd w:fill="17365D"/>
            <w:vAlign w:val="center"/>
          </w:tcPr>
          <w:p>
            <w:pPr>
              <w:jc w:val="center"/>
            </w:pPr>
            <w:r>
              <w:rPr>
                <w:rFonts w:ascii="Aptos" w:hAnsi="Aptos" w:eastAsia="Aptos"/>
                <w:b/>
                <w:color w:val="FFFFFF"/>
                <w:sz w:val="15"/>
              </w:rPr>
              <w:t>Gateway</w:t>
            </w:r>
          </w:p>
        </w:tc>
        <w:tc>
          <w:tcPr>
            <w:tcW w:type="dxa" w:w="4535"/>
            <w:shd w:fill="17365D"/>
            <w:vAlign w:val="center"/>
          </w:tcPr>
          <w:p>
            <w:pPr>
              <w:jc w:val="center"/>
            </w:pPr>
            <w:r>
              <w:rPr>
                <w:rFonts w:ascii="Aptos" w:hAnsi="Aptos" w:eastAsia="Aptos"/>
                <w:b/>
                <w:color w:val="FFFFFF"/>
                <w:sz w:val="15"/>
              </w:rPr>
              <w:t>Kondisi Lulus</w:t>
            </w:r>
          </w:p>
        </w:tc>
        <w:tc>
          <w:tcPr>
            <w:tcW w:type="dxa" w:w="3969"/>
            <w:shd w:fill="17365D"/>
            <w:vAlign w:val="center"/>
          </w:tcPr>
          <w:p>
            <w:pPr>
              <w:jc w:val="center"/>
            </w:pPr>
            <w:r>
              <w:rPr>
                <w:rFonts w:ascii="Aptos" w:hAnsi="Aptos" w:eastAsia="Aptos"/>
                <w:b/>
                <w:color w:val="FFFFFF"/>
                <w:sz w:val="15"/>
              </w:rPr>
              <w:t>Kondisi Gagal</w:t>
            </w:r>
          </w:p>
        </w:tc>
        <w:tc>
          <w:tcPr>
            <w:tcW w:type="dxa" w:w="3969"/>
            <w:shd w:fill="17365D"/>
            <w:vAlign w:val="center"/>
          </w:tcPr>
          <w:p>
            <w:pPr>
              <w:jc w:val="center"/>
            </w:pPr>
            <w:r>
              <w:rPr>
                <w:rFonts w:ascii="Aptos" w:hAnsi="Aptos" w:eastAsia="Aptos"/>
                <w:b/>
                <w:color w:val="FFFFFF"/>
                <w:sz w:val="15"/>
              </w:rPr>
              <w:t>Tindakan Sistem</w:t>
            </w:r>
          </w:p>
        </w:tc>
      </w:tr>
      <w:tr>
        <w:trPr>
          <w:cantSplit/>
        </w:trPr>
        <w:tc>
          <w:tcPr>
            <w:tcW w:type="dxa" w:w="2268"/>
            <w:vAlign w:val="top"/>
          </w:tcPr>
          <w:p>
            <w:pPr>
              <w:spacing w:after="20"/>
            </w:pPr>
            <w:r>
              <w:rPr>
                <w:rFonts w:ascii="Aptos" w:hAnsi="Aptos" w:eastAsia="Aptos"/>
                <w:sz w:val="15"/>
              </w:rPr>
              <w:t>G-01 Penetapan</w:t>
            </w:r>
          </w:p>
        </w:tc>
        <w:tc>
          <w:tcPr>
            <w:tcW w:type="dxa" w:w="4535"/>
            <w:vAlign w:val="top"/>
          </w:tcPr>
          <w:p>
            <w:pPr>
              <w:spacing w:after="20"/>
            </w:pPr>
            <w:r>
              <w:rPr>
                <w:rFonts w:ascii="Aptos" w:hAnsi="Aptos" w:eastAsia="Aptos"/>
                <w:sz w:val="15"/>
              </w:rPr>
              <w:t>Penetapan sah, mode elektronik, tanggal efektif, dan referensi dokumen tersedia.</w:t>
            </w:r>
          </w:p>
        </w:tc>
        <w:tc>
          <w:tcPr>
            <w:tcW w:type="dxa" w:w="3969"/>
            <w:vAlign w:val="top"/>
          </w:tcPr>
          <w:p>
            <w:pPr>
              <w:spacing w:after="20"/>
            </w:pPr>
            <w:r>
              <w:rPr>
                <w:rFonts w:ascii="Aptos" w:hAnsi="Aptos" w:eastAsia="Aptos"/>
                <w:sz w:val="15"/>
              </w:rPr>
              <w:t>Belum ada penetapan atau keputusan non-elektronik.</w:t>
            </w:r>
          </w:p>
        </w:tc>
        <w:tc>
          <w:tcPr>
            <w:tcW w:type="dxa" w:w="3969"/>
            <w:vAlign w:val="top"/>
          </w:tcPr>
          <w:p>
            <w:pPr>
              <w:spacing w:after="20"/>
            </w:pPr>
            <w:r>
              <w:rPr>
                <w:rFonts w:ascii="Aptos" w:hAnsi="Aptos" w:eastAsia="Aptos"/>
                <w:sz w:val="15"/>
              </w:rPr>
              <w:t>Blokir pembuatan ruang virtual.</w:t>
            </w:r>
          </w:p>
        </w:tc>
      </w:tr>
      <w:tr>
        <w:trPr>
          <w:cantSplit/>
        </w:trPr>
        <w:tc>
          <w:tcPr>
            <w:tcW w:type="dxa" w:w="2268"/>
            <w:vAlign w:val="top"/>
            <w:shd w:fill="F8FAFC"/>
          </w:tcPr>
          <w:p>
            <w:pPr>
              <w:spacing w:after="20"/>
            </w:pPr>
            <w:r>
              <w:rPr>
                <w:rFonts w:ascii="Aptos" w:hAnsi="Aptos" w:eastAsia="Aptos"/>
                <w:sz w:val="15"/>
              </w:rPr>
              <w:t>G-02 Acknowledgment</w:t>
            </w:r>
          </w:p>
        </w:tc>
        <w:tc>
          <w:tcPr>
            <w:tcW w:type="dxa" w:w="4535"/>
            <w:vAlign w:val="top"/>
            <w:shd w:fill="F8FAFC"/>
          </w:tcPr>
          <w:p>
            <w:pPr>
              <w:spacing w:after="20"/>
            </w:pPr>
            <w:r>
              <w:rPr>
                <w:rFonts w:ascii="Aptos" w:hAnsi="Aptos" w:eastAsia="Aptos"/>
                <w:sz w:val="15"/>
              </w:rPr>
              <w:t>Penerima wajib telah menerima dan melakukan acknowledgment sesuai SLA.</w:t>
            </w:r>
          </w:p>
        </w:tc>
        <w:tc>
          <w:tcPr>
            <w:tcW w:type="dxa" w:w="3969"/>
            <w:vAlign w:val="top"/>
            <w:shd w:fill="F8FAFC"/>
          </w:tcPr>
          <w:p>
            <w:pPr>
              <w:spacing w:after="20"/>
            </w:pPr>
            <w:r>
              <w:rPr>
                <w:rFonts w:ascii="Aptos" w:hAnsi="Aptos" w:eastAsia="Aptos"/>
                <w:sz w:val="15"/>
              </w:rPr>
              <w:t>Status failed, pending, atau penerima tidak sah.</w:t>
            </w:r>
          </w:p>
        </w:tc>
        <w:tc>
          <w:tcPr>
            <w:tcW w:type="dxa" w:w="3969"/>
            <w:vAlign w:val="top"/>
            <w:shd w:fill="F8FAFC"/>
          </w:tcPr>
          <w:p>
            <w:pPr>
              <w:spacing w:after="20"/>
            </w:pPr>
            <w:r>
              <w:rPr>
                <w:rFonts w:ascii="Aptos" w:hAnsi="Aptos" w:eastAsia="Aptos"/>
                <w:sz w:val="15"/>
              </w:rPr>
              <w:t>Retry, fallback, dan eskalasi pejabat penghubung.</w:t>
            </w:r>
          </w:p>
        </w:tc>
      </w:tr>
      <w:tr>
        <w:trPr>
          <w:cantSplit/>
        </w:trPr>
        <w:tc>
          <w:tcPr>
            <w:tcW w:type="dxa" w:w="2268"/>
            <w:vAlign w:val="top"/>
          </w:tcPr>
          <w:p>
            <w:pPr>
              <w:spacing w:after="20"/>
            </w:pPr>
            <w:r>
              <w:rPr>
                <w:rFonts w:ascii="Aptos" w:hAnsi="Aptos" w:eastAsia="Aptos"/>
                <w:sz w:val="15"/>
              </w:rPr>
              <w:t>G-03 Kesiapan</w:t>
            </w:r>
          </w:p>
        </w:tc>
        <w:tc>
          <w:tcPr>
            <w:tcW w:type="dxa" w:w="4535"/>
            <w:vAlign w:val="top"/>
          </w:tcPr>
          <w:p>
            <w:pPr>
              <w:spacing w:after="20"/>
            </w:pPr>
            <w:r>
              <w:rPr>
                <w:rFonts w:ascii="Aptos" w:hAnsi="Aptos" w:eastAsia="Aptos"/>
                <w:sz w:val="15"/>
              </w:rPr>
              <w:t>Semua item wajib, uji teknis, identitas, lokasi, dan inspeksi ruangan lulus.</w:t>
            </w:r>
          </w:p>
        </w:tc>
        <w:tc>
          <w:tcPr>
            <w:tcW w:type="dxa" w:w="3969"/>
            <w:vAlign w:val="top"/>
          </w:tcPr>
          <w:p>
            <w:pPr>
              <w:spacing w:after="20"/>
            </w:pPr>
            <w:r>
              <w:rPr>
                <w:rFonts w:ascii="Aptos" w:hAnsi="Aptos" w:eastAsia="Aptos"/>
                <w:sz w:val="15"/>
              </w:rPr>
              <w:t>Salah satu item wajib belum lulus.</w:t>
            </w:r>
          </w:p>
        </w:tc>
        <w:tc>
          <w:tcPr>
            <w:tcW w:type="dxa" w:w="3969"/>
            <w:vAlign w:val="top"/>
          </w:tcPr>
          <w:p>
            <w:pPr>
              <w:spacing w:after="20"/>
            </w:pPr>
            <w:r>
              <w:rPr>
                <w:rFonts w:ascii="Aptos" w:hAnsi="Aptos" w:eastAsia="Aptos"/>
                <w:sz w:val="15"/>
              </w:rPr>
              <w:t>Tidak dapat berpindah ke READY.</w:t>
            </w:r>
          </w:p>
        </w:tc>
      </w:tr>
      <w:tr>
        <w:trPr>
          <w:cantSplit/>
        </w:trPr>
        <w:tc>
          <w:tcPr>
            <w:tcW w:type="dxa" w:w="2268"/>
            <w:vAlign w:val="top"/>
            <w:shd w:fill="F8FAFC"/>
          </w:tcPr>
          <w:p>
            <w:pPr>
              <w:spacing w:after="20"/>
            </w:pPr>
            <w:r>
              <w:rPr>
                <w:rFonts w:ascii="Aptos" w:hAnsi="Aptos" w:eastAsia="Aptos"/>
                <w:sz w:val="15"/>
              </w:rPr>
              <w:t>G-04 Sidang</w:t>
            </w:r>
          </w:p>
        </w:tc>
        <w:tc>
          <w:tcPr>
            <w:tcW w:type="dxa" w:w="4535"/>
            <w:vAlign w:val="top"/>
            <w:shd w:fill="F8FAFC"/>
          </w:tcPr>
          <w:p>
            <w:pPr>
              <w:spacing w:after="20"/>
            </w:pPr>
            <w:r>
              <w:rPr>
                <w:rFonts w:ascii="Aptos" w:hAnsi="Aptos" w:eastAsia="Aptos"/>
                <w:sz w:val="15"/>
              </w:rPr>
              <w:t>Hakim membuka persidangan.</w:t>
            </w:r>
          </w:p>
        </w:tc>
        <w:tc>
          <w:tcPr>
            <w:tcW w:type="dxa" w:w="3969"/>
            <w:vAlign w:val="top"/>
            <w:shd w:fill="F8FAFC"/>
          </w:tcPr>
          <w:p>
            <w:pPr>
              <w:spacing w:after="20"/>
            </w:pPr>
            <w:r>
              <w:rPr>
                <w:rFonts w:ascii="Aptos" w:hAnsi="Aptos" w:eastAsia="Aptos"/>
                <w:sz w:val="15"/>
              </w:rPr>
              <w:t>Host teknis membuka ruang tanpa hakim.</w:t>
            </w:r>
          </w:p>
        </w:tc>
        <w:tc>
          <w:tcPr>
            <w:tcW w:type="dxa" w:w="3969"/>
            <w:vAlign w:val="top"/>
            <w:shd w:fill="F8FAFC"/>
          </w:tcPr>
          <w:p>
            <w:pPr>
              <w:spacing w:after="20"/>
            </w:pPr>
            <w:r>
              <w:rPr>
                <w:rFonts w:ascii="Aptos" w:hAnsi="Aptos" w:eastAsia="Aptos"/>
                <w:sz w:val="15"/>
              </w:rPr>
              <w:t>Status tetap READY dan tidak menjadi IN_PROGRESS.</w:t>
            </w:r>
          </w:p>
        </w:tc>
      </w:tr>
    </w:tbl>
    <w:p>
      <w:pPr>
        <w:spacing w:after="0"/>
      </w:pPr>
    </w:p>
    <w:p>
      <w:pPr>
        <w:pStyle w:val="Heading1"/>
      </w:pPr>
      <w:r>
        <w:t>5. BPMN Penanganan Kejadian Khusus</w:t>
      </w:r>
    </w:p>
    <w:p>
      <w:pPr>
        <w:jc w:val="center"/>
      </w:pPr>
      <w:r>
        <w:drawing>
          <wp:inline xmlns:a="http://schemas.openxmlformats.org/drawingml/2006/main" xmlns:pic="http://schemas.openxmlformats.org/drawingml/2006/picture">
            <wp:extent cx="9180000" cy="2733430"/>
            <wp:docPr id="2" name="Picture 2"/>
            <wp:cNvGraphicFramePr>
              <a:graphicFrameLocks noChangeAspect="1"/>
            </wp:cNvGraphicFramePr>
            <a:graphic>
              <a:graphicData uri="http://schemas.openxmlformats.org/drawingml/2006/picture">
                <pic:pic>
                  <pic:nvPicPr>
                    <pic:cNvPr id="0" name="bpmn_incident.png"/>
                    <pic:cNvPicPr/>
                  </pic:nvPicPr>
                  <pic:blipFill>
                    <a:blip r:embed="rId12"/>
                    <a:stretch>
                      <a:fillRect/>
                    </a:stretch>
                  </pic:blipFill>
                  <pic:spPr>
                    <a:xfrm>
                      <a:off x="0" y="0"/>
                      <a:ext cx="9180000" cy="2733430"/>
                    </a:xfrm>
                    <a:prstGeom prst="rect"/>
                  </pic:spPr>
                </pic:pic>
              </a:graphicData>
            </a:graphic>
          </wp:inline>
        </w:drawing>
      </w:r>
    </w:p>
    <w:p>
      <w:pPr>
        <w:jc w:val="center"/>
      </w:pPr>
      <w:r>
        <w:rPr>
          <w:rFonts w:ascii="Aptos" w:hAnsi="Aptos" w:eastAsia="Aptos"/>
          <w:i/>
          <w:color w:val="595959"/>
          <w:sz w:val="17"/>
        </w:rPr>
        <w:t>Gambar 2. Pemisahan gangguan teknis, insiden siber, dan keadaan kahar.</w:t>
      </w:r>
    </w:p>
    <w:tbl>
      <w:tblPr>
        <w:tblStyle w:val="TableGrid"/>
        <w:tblW w:type="auto" w:w="0"/>
        <w:jc w:val="center"/>
        <w:tblLayout w:type="fixed"/>
        <w:tblLook w:firstColumn="1" w:firstRow="1" w:lastColumn="0" w:lastRow="0" w:noHBand="0" w:noVBand="1" w:val="04A0"/>
      </w:tblPr>
      <w:tblGrid>
        <w:gridCol w:w="3699"/>
        <w:gridCol w:w="3699"/>
        <w:gridCol w:w="3699"/>
        <w:gridCol w:w="3699"/>
      </w:tblGrid>
      <w:tr>
        <w:trPr>
          <w:tblHeader w:val="true"/>
          <w:cantSplit/>
        </w:trPr>
        <w:tc>
          <w:tcPr>
            <w:tcW w:type="dxa" w:w="2835"/>
            <w:shd w:fill="17365D"/>
            <w:vAlign w:val="center"/>
          </w:tcPr>
          <w:p>
            <w:pPr>
              <w:jc w:val="center"/>
            </w:pPr>
            <w:r>
              <w:rPr>
                <w:rFonts w:ascii="Aptos" w:hAnsi="Aptos" w:eastAsia="Aptos"/>
                <w:b/>
                <w:color w:val="FFFFFF"/>
                <w:sz w:val="16"/>
              </w:rPr>
              <w:t>Kategori</w:t>
            </w:r>
          </w:p>
        </w:tc>
        <w:tc>
          <w:tcPr>
            <w:tcW w:type="dxa" w:w="6236"/>
            <w:shd w:fill="17365D"/>
            <w:vAlign w:val="center"/>
          </w:tcPr>
          <w:p>
            <w:pPr>
              <w:jc w:val="center"/>
            </w:pPr>
            <w:r>
              <w:rPr>
                <w:rFonts w:ascii="Aptos" w:hAnsi="Aptos" w:eastAsia="Aptos"/>
                <w:b/>
                <w:color w:val="FFFFFF"/>
                <w:sz w:val="16"/>
              </w:rPr>
              <w:t>Keputusan Utama</w:t>
            </w:r>
          </w:p>
        </w:tc>
        <w:tc>
          <w:tcPr>
            <w:tcW w:type="dxa" w:w="3402"/>
            <w:shd w:fill="17365D"/>
            <w:vAlign w:val="center"/>
          </w:tcPr>
          <w:p>
            <w:pPr>
              <w:jc w:val="center"/>
            </w:pPr>
            <w:r>
              <w:rPr>
                <w:rFonts w:ascii="Aptos" w:hAnsi="Aptos" w:eastAsia="Aptos"/>
                <w:b/>
                <w:color w:val="FFFFFF"/>
                <w:sz w:val="16"/>
              </w:rPr>
              <w:t>Batas Waktu</w:t>
            </w:r>
          </w:p>
        </w:tc>
        <w:tc>
          <w:tcPr>
            <w:tcW w:type="dxa" w:w="3969"/>
            <w:shd w:fill="17365D"/>
            <w:vAlign w:val="center"/>
          </w:tcPr>
          <w:p>
            <w:pPr>
              <w:jc w:val="center"/>
            </w:pPr>
            <w:r>
              <w:rPr>
                <w:rFonts w:ascii="Aptos" w:hAnsi="Aptos" w:eastAsia="Aptos"/>
                <w:b/>
                <w:color w:val="FFFFFF"/>
                <w:sz w:val="16"/>
              </w:rPr>
              <w:t>Bukti</w:t>
            </w:r>
          </w:p>
        </w:tc>
      </w:tr>
      <w:tr>
        <w:trPr>
          <w:cantSplit/>
        </w:trPr>
        <w:tc>
          <w:tcPr>
            <w:tcW w:type="dxa" w:w="2835"/>
            <w:vAlign w:val="top"/>
          </w:tcPr>
          <w:p>
            <w:pPr>
              <w:spacing w:after="20"/>
            </w:pPr>
            <w:r>
              <w:rPr>
                <w:rFonts w:ascii="Aptos" w:hAnsi="Aptos" w:eastAsia="Aptos"/>
                <w:sz w:val="16"/>
              </w:rPr>
              <w:t>Gangguan teknis</w:t>
            </w:r>
          </w:p>
        </w:tc>
        <w:tc>
          <w:tcPr>
            <w:tcW w:type="dxa" w:w="6236"/>
            <w:vAlign w:val="top"/>
          </w:tcPr>
          <w:p>
            <w:pPr>
              <w:spacing w:after="20"/>
            </w:pPr>
            <w:r>
              <w:rPr>
                <w:rFonts w:ascii="Aptos" w:hAnsi="Aptos" w:eastAsia="Aptos"/>
                <w:sz w:val="16"/>
              </w:rPr>
              <w:t>Hakim menentukan skors, lanjut, atau tunda setelah informasi teknis tersedia.</w:t>
            </w:r>
          </w:p>
        </w:tc>
        <w:tc>
          <w:tcPr>
            <w:tcW w:type="dxa" w:w="3402"/>
            <w:vAlign w:val="top"/>
          </w:tcPr>
          <w:p>
            <w:pPr>
              <w:spacing w:after="20"/>
            </w:pPr>
            <w:r>
              <w:rPr>
                <w:rFonts w:ascii="Aptos" w:hAnsi="Aptos" w:eastAsia="Aptos"/>
                <w:sz w:val="16"/>
              </w:rPr>
              <w:t>Sesuai keputusan operasional dan SLA pemulihan.</w:t>
            </w:r>
          </w:p>
        </w:tc>
        <w:tc>
          <w:tcPr>
            <w:tcW w:type="dxa" w:w="3969"/>
            <w:vAlign w:val="top"/>
          </w:tcPr>
          <w:p>
            <w:pPr>
              <w:spacing w:after="20"/>
            </w:pPr>
            <w:r>
              <w:rPr>
                <w:rFonts w:ascii="Aptos" w:hAnsi="Aptos" w:eastAsia="Aptos"/>
                <w:sz w:val="16"/>
              </w:rPr>
              <w:t>Log gangguan, tindakan, dan waktu pemulihan.</w:t>
            </w:r>
          </w:p>
        </w:tc>
      </w:tr>
      <w:tr>
        <w:trPr>
          <w:cantSplit/>
        </w:trPr>
        <w:tc>
          <w:tcPr>
            <w:tcW w:type="dxa" w:w="2835"/>
            <w:vAlign w:val="top"/>
            <w:shd w:fill="F8FAFC"/>
          </w:tcPr>
          <w:p>
            <w:pPr>
              <w:spacing w:after="20"/>
            </w:pPr>
            <w:r>
              <w:rPr>
                <w:rFonts w:ascii="Aptos" w:hAnsi="Aptos" w:eastAsia="Aptos"/>
                <w:sz w:val="16"/>
              </w:rPr>
              <w:t>Insiden siber</w:t>
            </w:r>
          </w:p>
        </w:tc>
        <w:tc>
          <w:tcPr>
            <w:tcW w:type="dxa" w:w="6236"/>
            <w:vAlign w:val="top"/>
            <w:shd w:fill="F8FAFC"/>
          </w:tcPr>
          <w:p>
            <w:pPr>
              <w:spacing w:after="20"/>
            </w:pPr>
            <w:r>
              <w:rPr>
                <w:rFonts w:ascii="Aptos" w:hAnsi="Aptos" w:eastAsia="Aptos"/>
                <w:sz w:val="16"/>
              </w:rPr>
              <w:t>Isolasi, preservasi bukti, mitigasi, dan koordinasi keamanan.</w:t>
            </w:r>
          </w:p>
        </w:tc>
        <w:tc>
          <w:tcPr>
            <w:tcW w:type="dxa" w:w="3402"/>
            <w:vAlign w:val="top"/>
            <w:shd w:fill="F8FAFC"/>
          </w:tcPr>
          <w:p>
            <w:pPr>
              <w:spacing w:after="20"/>
            </w:pPr>
            <w:r>
              <w:rPr>
                <w:rFonts w:ascii="Aptos" w:hAnsi="Aptos" w:eastAsia="Aptos"/>
                <w:sz w:val="16"/>
              </w:rPr>
              <w:t>Pemberitahuan lintas pihak paling lambat 1 x 24 jam.</w:t>
            </w:r>
          </w:p>
        </w:tc>
        <w:tc>
          <w:tcPr>
            <w:tcW w:type="dxa" w:w="3969"/>
            <w:vAlign w:val="top"/>
            <w:shd w:fill="F8FAFC"/>
          </w:tcPr>
          <w:p>
            <w:pPr>
              <w:spacing w:after="20"/>
            </w:pPr>
            <w:r>
              <w:rPr>
                <w:rFonts w:ascii="Aptos" w:hAnsi="Aptos" w:eastAsia="Aptos"/>
                <w:sz w:val="16"/>
              </w:rPr>
              <w:t>Laporan insiden, data terdampak, dan bukti pemberitahuan.</w:t>
            </w:r>
          </w:p>
        </w:tc>
      </w:tr>
      <w:tr>
        <w:trPr>
          <w:cantSplit/>
        </w:trPr>
        <w:tc>
          <w:tcPr>
            <w:tcW w:type="dxa" w:w="2835"/>
            <w:vAlign w:val="top"/>
          </w:tcPr>
          <w:p>
            <w:pPr>
              <w:spacing w:after="20"/>
            </w:pPr>
            <w:r>
              <w:rPr>
                <w:rFonts w:ascii="Aptos" w:hAnsi="Aptos" w:eastAsia="Aptos"/>
                <w:sz w:val="16"/>
              </w:rPr>
              <w:t>Keadaan kahar</w:t>
            </w:r>
          </w:p>
        </w:tc>
        <w:tc>
          <w:tcPr>
            <w:tcW w:type="dxa" w:w="6236"/>
            <w:vAlign w:val="top"/>
          </w:tcPr>
          <w:p>
            <w:pPr>
              <w:spacing w:after="20"/>
            </w:pPr>
            <w:r>
              <w:rPr>
                <w:rFonts w:ascii="Aptos" w:hAnsi="Aptos" w:eastAsia="Aptos"/>
                <w:sz w:val="16"/>
              </w:rPr>
              <w:t>Pemberitahuan tertulis dan usulan waktu pengganti.</w:t>
            </w:r>
          </w:p>
        </w:tc>
        <w:tc>
          <w:tcPr>
            <w:tcW w:type="dxa" w:w="3402"/>
            <w:vAlign w:val="top"/>
          </w:tcPr>
          <w:p>
            <w:pPr>
              <w:spacing w:after="20"/>
            </w:pPr>
            <w:r>
              <w:rPr>
                <w:rFonts w:ascii="Aptos" w:hAnsi="Aptos" w:eastAsia="Aptos"/>
                <w:sz w:val="16"/>
              </w:rPr>
              <w:t>Paling lambat 3 x 24 jam sejak kejadian.</w:t>
            </w:r>
          </w:p>
        </w:tc>
        <w:tc>
          <w:tcPr>
            <w:tcW w:type="dxa" w:w="3969"/>
            <w:vAlign w:val="top"/>
          </w:tcPr>
          <w:p>
            <w:pPr>
              <w:spacing w:after="20"/>
            </w:pPr>
            <w:r>
              <w:rPr>
                <w:rFonts w:ascii="Aptos" w:hAnsi="Aptos" w:eastAsia="Aptos"/>
                <w:sz w:val="16"/>
              </w:rPr>
              <w:t>Bukti kejadian, dampak, dan usulan pemulihan.</w:t>
            </w:r>
          </w:p>
        </w:tc>
      </w:tr>
    </w:tbl>
    <w:p>
      <w:pPr>
        <w:spacing w:after="0"/>
      </w:pPr>
    </w:p>
    <w:p>
      <w:pPr>
        <w:pStyle w:val="Heading1"/>
      </w:pPr>
      <w:r>
        <w:t>6. BPMN Pembacaan Putusan Tingkat Banding</w:t>
      </w:r>
    </w:p>
    <w:p>
      <w:pPr>
        <w:jc w:val="center"/>
      </w:pPr>
      <w:r>
        <w:drawing>
          <wp:inline xmlns:a="http://schemas.openxmlformats.org/drawingml/2006/main" xmlns:pic="http://schemas.openxmlformats.org/drawingml/2006/picture">
            <wp:extent cx="9180000" cy="2593453"/>
            <wp:docPr id="3" name="Picture 3"/>
            <wp:cNvGraphicFramePr>
              <a:graphicFrameLocks noChangeAspect="1"/>
            </wp:cNvGraphicFramePr>
            <a:graphic>
              <a:graphicData uri="http://schemas.openxmlformats.org/drawingml/2006/picture">
                <pic:pic>
                  <pic:nvPicPr>
                    <pic:cNvPr id="0" name="bpmn_appeal.png"/>
                    <pic:cNvPicPr/>
                  </pic:nvPicPr>
                  <pic:blipFill>
                    <a:blip r:embed="rId13"/>
                    <a:stretch>
                      <a:fillRect/>
                    </a:stretch>
                  </pic:blipFill>
                  <pic:spPr>
                    <a:xfrm>
                      <a:off x="0" y="0"/>
                      <a:ext cx="9180000" cy="2593453"/>
                    </a:xfrm>
                    <a:prstGeom prst="rect"/>
                  </pic:spPr>
                </pic:pic>
              </a:graphicData>
            </a:graphic>
          </wp:inline>
        </w:drawing>
      </w:r>
    </w:p>
    <w:p>
      <w:pPr>
        <w:jc w:val="center"/>
      </w:pPr>
      <w:r>
        <w:rPr>
          <w:rFonts w:ascii="Aptos" w:hAnsi="Aptos" w:eastAsia="Aptos"/>
          <w:i/>
          <w:color w:val="595959"/>
          <w:sz w:val="17"/>
        </w:rPr>
        <w:t>Gambar 3. Rantai penetapan, pemberitahuan, pembacaan, publikasi petikan, dan tenggang kasasi.</w:t>
      </w:r>
    </w:p>
    <w:tbl>
      <w:tblPr>
        <w:tblStyle w:val="TableGrid"/>
        <w:tblW w:type="auto" w:w="0"/>
        <w:jc w:val="center"/>
        <w:tblLayout w:type="fixed"/>
        <w:tblLook w:firstColumn="1" w:firstRow="1" w:lastColumn="0" w:lastRow="0" w:noHBand="0" w:noVBand="1" w:val="04A0"/>
      </w:tblPr>
      <w:tblGrid>
        <w:gridCol w:w="7399"/>
        <w:gridCol w:w="7399"/>
      </w:tblGrid>
      <w:tr>
        <w:trPr>
          <w:tblHeader w:val="true"/>
          <w:cantSplit/>
        </w:trPr>
        <w:tc>
          <w:tcPr>
            <w:tcW w:type="dxa" w:w="3402"/>
            <w:shd w:fill="17365D"/>
            <w:vAlign w:val="center"/>
          </w:tcPr>
          <w:p>
            <w:pPr>
              <w:jc w:val="center"/>
            </w:pPr>
            <w:r>
              <w:rPr>
                <w:rFonts w:ascii="Aptos" w:hAnsi="Aptos" w:eastAsia="Aptos"/>
                <w:b/>
                <w:color w:val="FFFFFF"/>
                <w:sz w:val="17"/>
              </w:rPr>
              <w:t>Kontrol</w:t>
            </w:r>
          </w:p>
        </w:tc>
        <w:tc>
          <w:tcPr>
            <w:tcW w:type="dxa" w:w="12472"/>
            <w:shd w:fill="17365D"/>
            <w:vAlign w:val="center"/>
          </w:tcPr>
          <w:p>
            <w:pPr>
              <w:jc w:val="center"/>
            </w:pPr>
            <w:r>
              <w:rPr>
                <w:rFonts w:ascii="Aptos" w:hAnsi="Aptos" w:eastAsia="Aptos"/>
                <w:b/>
                <w:color w:val="FFFFFF"/>
                <w:sz w:val="17"/>
              </w:rPr>
              <w:t>Kebutuhan</w:t>
            </w:r>
          </w:p>
        </w:tc>
      </w:tr>
      <w:tr>
        <w:trPr>
          <w:cantSplit/>
        </w:trPr>
        <w:tc>
          <w:tcPr>
            <w:tcW w:type="dxa" w:w="3402"/>
            <w:vAlign w:val="top"/>
          </w:tcPr>
          <w:p>
            <w:pPr>
              <w:spacing w:after="20"/>
            </w:pPr>
            <w:r>
              <w:rPr>
                <w:rFonts w:ascii="Aptos" w:hAnsi="Aptos" w:eastAsia="Aptos"/>
                <w:sz w:val="17"/>
              </w:rPr>
              <w:t>Penetapan pembacaan</w:t>
            </w:r>
          </w:p>
        </w:tc>
        <w:tc>
          <w:tcPr>
            <w:tcW w:type="dxa" w:w="12472"/>
            <w:vAlign w:val="top"/>
          </w:tcPr>
          <w:p>
            <w:pPr>
              <w:spacing w:after="20"/>
            </w:pPr>
            <w:r>
              <w:rPr>
                <w:rFonts w:ascii="Aptos" w:hAnsi="Aptos" w:eastAsia="Aptos"/>
                <w:sz w:val="17"/>
              </w:rPr>
              <w:t>Tanggal, waktu, cara, alasan elektronik, dan tautan bila digunakan.</w:t>
            </w:r>
          </w:p>
        </w:tc>
      </w:tr>
      <w:tr>
        <w:trPr>
          <w:cantSplit/>
        </w:trPr>
        <w:tc>
          <w:tcPr>
            <w:tcW w:type="dxa" w:w="3402"/>
            <w:vAlign w:val="top"/>
            <w:shd w:fill="F8FAFC"/>
          </w:tcPr>
          <w:p>
            <w:pPr>
              <w:spacing w:after="20"/>
            </w:pPr>
            <w:r>
              <w:rPr>
                <w:rFonts w:ascii="Aptos" w:hAnsi="Aptos" w:eastAsia="Aptos"/>
                <w:sz w:val="17"/>
              </w:rPr>
              <w:t>Rantai pemberitahuan</w:t>
            </w:r>
          </w:p>
        </w:tc>
        <w:tc>
          <w:tcPr>
            <w:tcW w:type="dxa" w:w="12472"/>
            <w:vAlign w:val="top"/>
            <w:shd w:fill="F8FAFC"/>
          </w:tcPr>
          <w:p>
            <w:pPr>
              <w:spacing w:after="20"/>
            </w:pPr>
            <w:r>
              <w:rPr>
                <w:rFonts w:ascii="Aptos" w:hAnsi="Aptos" w:eastAsia="Aptos"/>
                <w:sz w:val="17"/>
              </w:rPr>
              <w:t>Pengadilan Tinggi ke Kejaksaan, Kejaksaan ke Pemasyarakatan dan advokat, Pemasyarakatan ke terdakwa.</w:t>
            </w:r>
          </w:p>
        </w:tc>
      </w:tr>
      <w:tr>
        <w:trPr>
          <w:cantSplit/>
        </w:trPr>
        <w:tc>
          <w:tcPr>
            <w:tcW w:type="dxa" w:w="3402"/>
            <w:vAlign w:val="top"/>
          </w:tcPr>
          <w:p>
            <w:pPr>
              <w:spacing w:after="20"/>
            </w:pPr>
            <w:r>
              <w:rPr>
                <w:rFonts w:ascii="Aptos" w:hAnsi="Aptos" w:eastAsia="Aptos"/>
                <w:sz w:val="17"/>
              </w:rPr>
              <w:t>Kehadiran</w:t>
            </w:r>
          </w:p>
        </w:tc>
        <w:tc>
          <w:tcPr>
            <w:tcW w:type="dxa" w:w="12472"/>
            <w:vAlign w:val="top"/>
          </w:tcPr>
          <w:p>
            <w:pPr>
              <w:spacing w:after="20"/>
            </w:pPr>
            <w:r>
              <w:rPr>
                <w:rFonts w:ascii="Aptos" w:hAnsi="Aptos" w:eastAsia="Aptos"/>
                <w:sz w:val="17"/>
              </w:rPr>
              <w:t>Catat hadir atau tidak hadir serta langsung atau elektronik.</w:t>
            </w:r>
          </w:p>
        </w:tc>
      </w:tr>
      <w:tr>
        <w:trPr>
          <w:cantSplit/>
        </w:trPr>
        <w:tc>
          <w:tcPr>
            <w:tcW w:type="dxa" w:w="3402"/>
            <w:vAlign w:val="top"/>
            <w:shd w:fill="F8FAFC"/>
          </w:tcPr>
          <w:p>
            <w:pPr>
              <w:spacing w:after="20"/>
            </w:pPr>
            <w:r>
              <w:rPr>
                <w:rFonts w:ascii="Aptos" w:hAnsi="Aptos" w:eastAsia="Aptos"/>
                <w:sz w:val="17"/>
              </w:rPr>
              <w:t>Petikan putusan</w:t>
            </w:r>
          </w:p>
        </w:tc>
        <w:tc>
          <w:tcPr>
            <w:tcW w:type="dxa" w:w="12472"/>
            <w:vAlign w:val="top"/>
            <w:shd w:fill="F8FAFC"/>
          </w:tcPr>
          <w:p>
            <w:pPr>
              <w:spacing w:after="20"/>
            </w:pPr>
            <w:r>
              <w:rPr>
                <w:rFonts w:ascii="Aptos" w:hAnsi="Aptos" w:eastAsia="Aptos"/>
                <w:sz w:val="17"/>
              </w:rPr>
              <w:t>Status unggah pada hari yang sama dengan pembacaan.</w:t>
            </w:r>
          </w:p>
        </w:tc>
      </w:tr>
      <w:tr>
        <w:trPr>
          <w:cantSplit/>
        </w:trPr>
        <w:tc>
          <w:tcPr>
            <w:tcW w:type="dxa" w:w="3402"/>
            <w:vAlign w:val="top"/>
          </w:tcPr>
          <w:p>
            <w:pPr>
              <w:spacing w:after="20"/>
            </w:pPr>
            <w:r>
              <w:rPr>
                <w:rFonts w:ascii="Aptos" w:hAnsi="Aptos" w:eastAsia="Aptos"/>
                <w:sz w:val="17"/>
              </w:rPr>
              <w:t>Salinan dan berkas</w:t>
            </w:r>
          </w:p>
        </w:tc>
        <w:tc>
          <w:tcPr>
            <w:tcW w:type="dxa" w:w="12472"/>
            <w:vAlign w:val="top"/>
          </w:tcPr>
          <w:p>
            <w:pPr>
              <w:spacing w:after="20"/>
            </w:pPr>
            <w:r>
              <w:rPr>
                <w:rFonts w:ascii="Aptos" w:hAnsi="Aptos" w:eastAsia="Aptos"/>
                <w:sz w:val="17"/>
              </w:rPr>
              <w:t>Status penyampaian kepada pengadilan tingkat pertama dalam tujuh hari.</w:t>
            </w:r>
          </w:p>
        </w:tc>
      </w:tr>
      <w:tr>
        <w:trPr>
          <w:cantSplit/>
        </w:trPr>
        <w:tc>
          <w:tcPr>
            <w:tcW w:type="dxa" w:w="3402"/>
            <w:vAlign w:val="top"/>
            <w:shd w:fill="F8FAFC"/>
          </w:tcPr>
          <w:p>
            <w:pPr>
              <w:spacing w:after="20"/>
            </w:pPr>
            <w:r>
              <w:rPr>
                <w:rFonts w:ascii="Aptos" w:hAnsi="Aptos" w:eastAsia="Aptos"/>
                <w:sz w:val="17"/>
              </w:rPr>
              <w:t>Kasasi</w:t>
            </w:r>
          </w:p>
        </w:tc>
        <w:tc>
          <w:tcPr>
            <w:tcW w:type="dxa" w:w="12472"/>
            <w:vAlign w:val="top"/>
            <w:shd w:fill="F8FAFC"/>
          </w:tcPr>
          <w:p>
            <w:pPr>
              <w:spacing w:after="20"/>
            </w:pPr>
            <w:r>
              <w:rPr>
                <w:rFonts w:ascii="Aptos" w:hAnsi="Aptos" w:eastAsia="Aptos"/>
                <w:sz w:val="17"/>
              </w:rPr>
              <w:t>Tampilan tenggang 14 hari dan dasar tanggal mulai yang telah diverifikasi.</w:t>
            </w:r>
          </w:p>
        </w:tc>
      </w:tr>
    </w:tbl>
    <w:p>
      <w:pPr>
        <w:spacing w:after="0"/>
      </w:pPr>
    </w:p>
    <w:p>
      <w:pPr>
        <w:pStyle w:val="Heading1"/>
      </w:pPr>
      <w:r>
        <w:t>7. Subproses Perubahan Jadwal dan Mutasi Tahanan</w:t>
      </w:r>
    </w:p>
    <w:tbl>
      <w:tblPr>
        <w:tblStyle w:val="TableGrid"/>
        <w:tblW w:type="auto" w:w="0"/>
        <w:jc w:val="center"/>
        <w:tblLayout w:type="fixed"/>
        <w:tblLook w:firstColumn="1" w:firstRow="1" w:lastColumn="0" w:lastRow="0" w:noHBand="0" w:noVBand="1" w:val="04A0"/>
      </w:tblPr>
      <w:tblGrid>
        <w:gridCol w:w="7399"/>
        <w:gridCol w:w="7399"/>
      </w:tblGrid>
      <w:tr>
        <w:trPr>
          <w:tblHeader w:val="true"/>
          <w:cantSplit/>
        </w:trPr>
        <w:tc>
          <w:tcPr>
            <w:tcW w:type="dxa" w:w="3402"/>
            <w:shd w:fill="17365D"/>
            <w:vAlign w:val="center"/>
          </w:tcPr>
          <w:p>
            <w:pPr>
              <w:jc w:val="center"/>
            </w:pPr>
            <w:r>
              <w:rPr>
                <w:rFonts w:ascii="Aptos" w:hAnsi="Aptos" w:eastAsia="Aptos"/>
                <w:b/>
                <w:color w:val="FFFFFF"/>
                <w:sz w:val="17"/>
              </w:rPr>
              <w:t>Subproses</w:t>
            </w:r>
          </w:p>
        </w:tc>
        <w:tc>
          <w:tcPr>
            <w:tcW w:type="dxa" w:w="12472"/>
            <w:shd w:fill="17365D"/>
            <w:vAlign w:val="center"/>
          </w:tcPr>
          <w:p>
            <w:pPr>
              <w:jc w:val="center"/>
            </w:pPr>
            <w:r>
              <w:rPr>
                <w:rFonts w:ascii="Aptos" w:hAnsi="Aptos" w:eastAsia="Aptos"/>
                <w:b/>
                <w:color w:val="FFFFFF"/>
                <w:sz w:val="17"/>
              </w:rPr>
              <w:t>Urutan</w:t>
            </w:r>
          </w:p>
        </w:tc>
      </w:tr>
      <w:tr>
        <w:trPr>
          <w:cantSplit/>
        </w:trPr>
        <w:tc>
          <w:tcPr>
            <w:tcW w:type="dxa" w:w="3402"/>
            <w:vAlign w:val="top"/>
          </w:tcPr>
          <w:p>
            <w:pPr>
              <w:spacing w:after="20"/>
            </w:pPr>
            <w:r>
              <w:rPr>
                <w:rFonts w:ascii="Aptos" w:hAnsi="Aptos" w:eastAsia="Aptos"/>
                <w:sz w:val="17"/>
              </w:rPr>
              <w:t>Perubahan jadwal</w:t>
            </w:r>
          </w:p>
        </w:tc>
        <w:tc>
          <w:tcPr>
            <w:tcW w:type="dxa" w:w="12472"/>
            <w:vAlign w:val="top"/>
          </w:tcPr>
          <w:p>
            <w:pPr>
              <w:spacing w:after="20"/>
            </w:pPr>
            <w:r>
              <w:rPr>
                <w:rFonts w:ascii="Aptos" w:hAnsi="Aptos" w:eastAsia="Aptos"/>
                <w:sz w:val="17"/>
              </w:rPr>
              <w:t>Catat alasan dan dasar, terbitkan atau referensikan keputusan, buat versi jadwal baru, batalkan token lama, buat ruang atau token baru bila perlu, kirim pemberitahuan ulang, kumpulkan acknowledgment ulang.</w:t>
            </w:r>
          </w:p>
        </w:tc>
      </w:tr>
      <w:tr>
        <w:trPr>
          <w:cantSplit/>
        </w:trPr>
        <w:tc>
          <w:tcPr>
            <w:tcW w:type="dxa" w:w="3402"/>
            <w:vAlign w:val="top"/>
            <w:shd w:fill="F8FAFC"/>
          </w:tcPr>
          <w:p>
            <w:pPr>
              <w:spacing w:after="20"/>
            </w:pPr>
            <w:r>
              <w:rPr>
                <w:rFonts w:ascii="Aptos" w:hAnsi="Aptos" w:eastAsia="Aptos"/>
                <w:sz w:val="17"/>
              </w:rPr>
              <w:t>Mutasi tahanan</w:t>
            </w:r>
          </w:p>
        </w:tc>
        <w:tc>
          <w:tcPr>
            <w:tcW w:type="dxa" w:w="12472"/>
            <w:vAlign w:val="top"/>
            <w:shd w:fill="F8FAFC"/>
          </w:tcPr>
          <w:p>
            <w:pPr>
              <w:spacing w:after="20"/>
            </w:pPr>
            <w:r>
              <w:rPr>
                <w:rFonts w:ascii="Aptos" w:hAnsi="Aptos" w:eastAsia="Aptos"/>
                <w:sz w:val="17"/>
              </w:rPr>
              <w:t>Catat lokasi baru, ubah satuan kerja penanggung jawab, alihkan akses least privilege, kirim koordinasi lintas instansi, lakukan checklist dan uji teknis ulang, simpan riwayat pengalihan.</w:t>
            </w:r>
          </w:p>
        </w:tc>
      </w:tr>
    </w:tbl>
    <w:p>
      <w:pPr>
        <w:spacing w:after="0"/>
      </w:pPr>
    </w:p>
    <w:p>
      <w:pPr>
        <w:pStyle w:val="Heading1"/>
      </w:pPr>
      <w:r>
        <w:t>8. Definition of Done Validasi BPMN</w:t>
      </w:r>
    </w:p>
    <w:p>
      <w:pPr>
        <w:pStyle w:val="ListBullet"/>
      </w:pPr>
      <w:r>
        <w:rPr>
          <w:rFonts w:ascii="Aptos" w:hAnsi="Aptos" w:eastAsia="Aptos"/>
          <w:sz w:val="20"/>
        </w:rPr>
        <w:t>Setiap aktivitas memiliki pelaksana, input, output, bukti, dan kondisi eskalasi.</w:t>
      </w:r>
    </w:p>
    <w:p>
      <w:pPr>
        <w:pStyle w:val="ListBullet"/>
      </w:pPr>
      <w:r>
        <w:rPr>
          <w:rFonts w:ascii="Aptos" w:hAnsi="Aptos" w:eastAsia="Aptos"/>
          <w:sz w:val="20"/>
        </w:rPr>
        <w:t>Tidak ada aktivitas sistem yang menggantikan keputusan hakim atau kewenangan pejabat.</w:t>
      </w:r>
    </w:p>
    <w:p>
      <w:pPr>
        <w:pStyle w:val="ListBullet"/>
      </w:pPr>
      <w:r>
        <w:rPr>
          <w:rFonts w:ascii="Aptos" w:hAnsi="Aptos" w:eastAsia="Aptos"/>
          <w:sz w:val="20"/>
        </w:rPr>
        <w:t>Rantai pemberitahuan dan acknowledgment disetujui oleh tiga instansi.</w:t>
      </w:r>
    </w:p>
    <w:p>
      <w:pPr>
        <w:pStyle w:val="ListBullet"/>
      </w:pPr>
      <w:r>
        <w:rPr>
          <w:rFonts w:ascii="Aptos" w:hAnsi="Aptos" w:eastAsia="Aptos"/>
          <w:sz w:val="20"/>
        </w:rPr>
        <w:t>Alur normal, perubahan jadwal, mutasi tahanan, gangguan, siber, kahar, dan putusan banding telah diuji melalui walkthrough.</w:t>
      </w:r>
    </w:p>
    <w:p>
      <w:pPr>
        <w:pStyle w:val="ListBullet"/>
      </w:pPr>
      <w:r>
        <w:rPr>
          <w:rFonts w:ascii="Aptos" w:hAnsi="Aptos" w:eastAsia="Aptos"/>
          <w:sz w:val="20"/>
        </w:rPr>
        <w:t>BPMN disetujui sebelum backlog modul jadwal dan ruang sidang virtual dibekukan.</w:t>
      </w:r>
    </w:p>
    <w:sectPr w:rsidR="00FC693F" w:rsidRPr="0006063C" w:rsidSect="00034616">
      <w:headerReference w:type="default" r:id="rId9"/>
      <w:footerReference w:type="default" r:id="rId10"/>
      <w:pgSz w:w="16838" w:h="11906" w:orient="landscape"/>
      <w:pgMar w:top="1020"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595959"/>
        <w:sz w:val="16"/>
      </w:rPr>
      <w:t xml:space="preserve">Draft untuk validasi lintas instansi | Halaman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color w:val="595959"/>
        <w:sz w:val="16"/>
      </w:rPr>
      <w:t>CIMS Development Baseline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9595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ind w:left="227" w:right="227"/>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