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" w:hAnsi="Aptos" w:eastAsia="Aptos"/>
          <w:b/>
          <w:color w:val="C9A227"/>
          <w:sz w:val="26"/>
        </w:rPr>
        <w:t>COURT INTELLIGENCE MANAGEMENT SYSTEM</w:t>
      </w:r>
    </w:p>
    <w:p>
      <w:pPr>
        <w:spacing w:before="240"/>
        <w:jc w:val="center"/>
      </w:pPr>
      <w:r>
        <w:rPr>
          <w:rFonts w:ascii="Aptos" w:hAnsi="Aptos" w:eastAsia="Aptos"/>
          <w:b/>
          <w:color w:val="17365D"/>
          <w:sz w:val="50"/>
        </w:rPr>
        <w:t>ENTITY RELATIONSHIP DIAGRAM REVISI</w:t>
      </w:r>
    </w:p>
    <w:p>
      <w:pPr>
        <w:jc w:val="center"/>
      </w:pPr>
      <w:r>
        <w:rPr>
          <w:rFonts w:ascii="Aptos" w:hAnsi="Aptos" w:eastAsia="Aptos"/>
          <w:color w:val="595959"/>
          <w:sz w:val="24"/>
        </w:rPr>
        <w:t>Logical Data Model untuk Compliance MVP, Scheduling, dan Virtual Hearing</w:t>
      </w:r>
    </w:p>
    <w:p>
      <w:pPr>
        <w:spacing w:before="560"/>
        <w:jc w:val="center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2835"/>
            <w:shd w:fill="D9EAF7"/>
            <w:vAlign w:val="center"/>
            <w:tcBorders>
              <w:top w:val="single" w:sz="4" w:color="B7C9DA"/>
              <w:left w:val="single" w:sz="4" w:color="B7C9DA"/>
              <w:bottom w:val="single" w:sz="4" w:color="B7C9DA"/>
              <w:right w:val="single" w:sz="4" w:color="B7C9DA"/>
            </w:tcBorders>
          </w:tcPr>
          <w:p>
            <w:r>
              <w:rPr>
                <w:rFonts w:ascii="Aptos" w:hAnsi="Aptos" w:eastAsia="Aptos"/>
                <w:b w:val="0"/>
                <w:sz w:val="18"/>
              </w:rPr>
              <w:t>Kode Dokumen</w:t>
            </w:r>
          </w:p>
        </w:tc>
        <w:tc>
          <w:tcPr>
            <w:tcW w:type="dxa" w:w="4535"/>
            <w:vAlign w:val="center"/>
            <w:tcBorders>
              <w:top w:val="single" w:sz="4" w:color="B7C9DA"/>
              <w:left w:val="single" w:sz="4" w:color="B7C9DA"/>
              <w:bottom w:val="single" w:sz="4" w:color="B7C9DA"/>
              <w:right w:val="single" w:sz="4" w:color="B7C9DA"/>
            </w:tcBorders>
          </w:tcPr>
          <w:p>
            <w:r>
              <w:rPr>
                <w:rFonts w:ascii="Aptos" w:hAnsi="Aptos" w:eastAsia="Aptos"/>
                <w:b w:val="0"/>
                <w:sz w:val="18"/>
              </w:rPr>
              <w:t>CIMS-ERD-003/2026</w:t>
            </w:r>
          </w:p>
        </w:tc>
      </w:tr>
      <w:tr>
        <w:tc>
          <w:tcPr>
            <w:tcW w:type="dxa" w:w="2835"/>
            <w:shd w:fill="D9EAF7"/>
            <w:vAlign w:val="center"/>
            <w:tcBorders>
              <w:top w:val="single" w:sz="4" w:color="B7C9DA"/>
              <w:left w:val="single" w:sz="4" w:color="B7C9DA"/>
              <w:bottom w:val="single" w:sz="4" w:color="B7C9DA"/>
              <w:right w:val="single" w:sz="4" w:color="B7C9DA"/>
            </w:tcBorders>
          </w:tcPr>
          <w:p>
            <w:r>
              <w:rPr>
                <w:rFonts w:ascii="Aptos" w:hAnsi="Aptos" w:eastAsia="Aptos"/>
                <w:b w:val="0"/>
                <w:sz w:val="18"/>
              </w:rPr>
              <w:t>Versi</w:t>
            </w:r>
          </w:p>
        </w:tc>
        <w:tc>
          <w:tcPr>
            <w:tcW w:type="dxa" w:w="4535"/>
            <w:vAlign w:val="center"/>
            <w:tcBorders>
              <w:top w:val="single" w:sz="4" w:color="B7C9DA"/>
              <w:left w:val="single" w:sz="4" w:color="B7C9DA"/>
              <w:bottom w:val="single" w:sz="4" w:color="B7C9DA"/>
              <w:right w:val="single" w:sz="4" w:color="B7C9DA"/>
            </w:tcBorders>
          </w:tcPr>
          <w:p>
            <w:r>
              <w:rPr>
                <w:rFonts w:ascii="Aptos" w:hAnsi="Aptos" w:eastAsia="Aptos"/>
                <w:b w:val="0"/>
                <w:sz w:val="18"/>
              </w:rPr>
              <w:t>2.1</w:t>
            </w:r>
          </w:p>
        </w:tc>
      </w:tr>
      <w:tr>
        <w:tc>
          <w:tcPr>
            <w:tcW w:type="dxa" w:w="2835"/>
            <w:shd w:fill="D9EAF7"/>
            <w:vAlign w:val="center"/>
            <w:tcBorders>
              <w:top w:val="single" w:sz="4" w:color="B7C9DA"/>
              <w:left w:val="single" w:sz="4" w:color="B7C9DA"/>
              <w:bottom w:val="single" w:sz="4" w:color="B7C9DA"/>
              <w:right w:val="single" w:sz="4" w:color="B7C9DA"/>
            </w:tcBorders>
          </w:tcPr>
          <w:p>
            <w:r>
              <w:rPr>
                <w:rFonts w:ascii="Aptos" w:hAnsi="Aptos" w:eastAsia="Aptos"/>
                <w:b w:val="0"/>
                <w:sz w:val="18"/>
              </w:rPr>
              <w:t>Status</w:t>
            </w:r>
          </w:p>
        </w:tc>
        <w:tc>
          <w:tcPr>
            <w:tcW w:type="dxa" w:w="4535"/>
            <w:vAlign w:val="center"/>
            <w:tcBorders>
              <w:top w:val="single" w:sz="4" w:color="B7C9DA"/>
              <w:left w:val="single" w:sz="4" w:color="B7C9DA"/>
              <w:bottom w:val="single" w:sz="4" w:color="B7C9DA"/>
              <w:right w:val="single" w:sz="4" w:color="B7C9DA"/>
            </w:tcBorders>
          </w:tcPr>
          <w:p>
            <w:r>
              <w:rPr>
                <w:rFonts w:ascii="Aptos" w:hAnsi="Aptos" w:eastAsia="Aptos"/>
                <w:b w:val="0"/>
                <w:sz w:val="18"/>
              </w:rPr>
              <w:t>Development Baseline</w:t>
            </w:r>
          </w:p>
        </w:tc>
      </w:tr>
      <w:tr>
        <w:tc>
          <w:tcPr>
            <w:tcW w:type="dxa" w:w="2835"/>
            <w:shd w:fill="D9EAF7"/>
            <w:vAlign w:val="center"/>
            <w:tcBorders>
              <w:top w:val="single" w:sz="4" w:color="B7C9DA"/>
              <w:left w:val="single" w:sz="4" w:color="B7C9DA"/>
              <w:bottom w:val="single" w:sz="4" w:color="B7C9DA"/>
              <w:right w:val="single" w:sz="4" w:color="B7C9DA"/>
            </w:tcBorders>
          </w:tcPr>
          <w:p>
            <w:r>
              <w:rPr>
                <w:rFonts w:ascii="Aptos" w:hAnsi="Aptos" w:eastAsia="Aptos"/>
                <w:b w:val="0"/>
                <w:sz w:val="18"/>
              </w:rPr>
              <w:t>Tanggal</w:t>
            </w:r>
          </w:p>
        </w:tc>
        <w:tc>
          <w:tcPr>
            <w:tcW w:type="dxa" w:w="4535"/>
            <w:vAlign w:val="center"/>
            <w:tcBorders>
              <w:top w:val="single" w:sz="4" w:color="B7C9DA"/>
              <w:left w:val="single" w:sz="4" w:color="B7C9DA"/>
              <w:bottom w:val="single" w:sz="4" w:color="B7C9DA"/>
              <w:right w:val="single" w:sz="4" w:color="B7C9DA"/>
            </w:tcBorders>
          </w:tcPr>
          <w:p>
            <w:r>
              <w:rPr>
                <w:rFonts w:ascii="Aptos" w:hAnsi="Aptos" w:eastAsia="Aptos"/>
                <w:b w:val="0"/>
                <w:sz w:val="18"/>
              </w:rPr>
              <w:t>Juli 2026</w:t>
            </w:r>
          </w:p>
        </w:tc>
      </w:tr>
    </w:tbl>
    <w:p>
      <w:pPr>
        <w:spacing w:before="640"/>
        <w:jc w:val="center"/>
      </w:pPr>
      <w:r>
        <w:rPr>
          <w:rFonts w:ascii="Aptos" w:hAnsi="Aptos" w:eastAsia="Aptos"/>
          <w:i/>
          <w:color w:val="595959"/>
          <w:sz w:val="18"/>
        </w:rPr>
        <w:t>Dokumen ini diturunkan dari SOP Persidangan Pidana Elektronik CIMS Revisi 2026, PKS lintas instansi, SEMA Nomor 2 Tahun 2026, dan Matriks Penyesuaian MVP CIMS.</w:t>
      </w:r>
    </w:p>
    <w:p>
      <w:r>
        <w:br w:type="page"/>
      </w:r>
    </w:p>
    <w:p>
      <w:pPr>
        <w:pStyle w:val="Heading1"/>
      </w:pPr>
      <w:r>
        <w:t>Pengendalian Dokumen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rPr>
          <w:tblHeader w:val="true"/>
        </w:trPr>
        <w:tc>
          <w:tcPr>
            <w:tcW w:type="dxa" w:w="2154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Tahap</w:t>
            </w:r>
          </w:p>
        </w:tc>
        <w:tc>
          <w:tcPr>
            <w:tcW w:type="dxa" w:w="4819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Penanggung Jawab</w:t>
            </w:r>
          </w:p>
        </w:tc>
        <w:tc>
          <w:tcPr>
            <w:tcW w:type="dxa" w:w="2381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Paraf atau Tanggal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7"/>
              </w:rPr>
              <w:t>Disusun oleh</w:t>
            </w:r>
          </w:p>
        </w:tc>
        <w:tc>
          <w:tcPr>
            <w:tcW w:type="dxa" w:w="4819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7"/>
              </w:rPr>
              <w:t>System Analyst dan Data Architect CIMS</w:t>
            </w:r>
          </w:p>
        </w:tc>
        <w:tc>
          <w:tcPr>
            <w:tcW w:type="dxa" w:w="2381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7"/>
              </w:rPr>
              <w:t>Tanggal: __________</w:t>
            </w:r>
          </w:p>
        </w:tc>
      </w:tr>
      <w:tr>
        <w:tc>
          <w:tcPr>
            <w:tcW w:type="dxa" w:w="2154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7"/>
              </w:rPr>
              <w:t>Diverifikasi proses bisnis</w:t>
            </w:r>
          </w:p>
        </w:tc>
        <w:tc>
          <w:tcPr>
            <w:tcW w:type="dxa" w:w="4819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7"/>
              </w:rPr>
              <w:t>Perwakilan Pengadilan, Kejaksaan, dan Pemasyarakatan</w:t>
            </w:r>
          </w:p>
        </w:tc>
        <w:tc>
          <w:tcPr>
            <w:tcW w:type="dxa" w:w="2381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7"/>
              </w:rPr>
              <w:t>Tanggal: __________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7"/>
              </w:rPr>
              <w:t>Diverifikasi hukum</w:t>
            </w:r>
          </w:p>
        </w:tc>
        <w:tc>
          <w:tcPr>
            <w:tcW w:type="dxa" w:w="4819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7"/>
              </w:rPr>
              <w:t>Unit hukum masing-masing instansi</w:t>
            </w:r>
          </w:p>
        </w:tc>
        <w:tc>
          <w:tcPr>
            <w:tcW w:type="dxa" w:w="2381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7"/>
              </w:rPr>
              <w:t>Tanggal: __________</w:t>
            </w:r>
          </w:p>
        </w:tc>
      </w:tr>
      <w:tr>
        <w:tc>
          <w:tcPr>
            <w:tcW w:type="dxa" w:w="2154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7"/>
              </w:rPr>
              <w:t>Diverifikasi keamanan</w:t>
            </w:r>
          </w:p>
        </w:tc>
        <w:tc>
          <w:tcPr>
            <w:tcW w:type="dxa" w:w="4819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7"/>
              </w:rPr>
              <w:t>Pejabat atau Tim Keamanan Informasi</w:t>
            </w:r>
          </w:p>
        </w:tc>
        <w:tc>
          <w:tcPr>
            <w:tcW w:type="dxa" w:w="2381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7"/>
              </w:rPr>
              <w:t>Tanggal: __________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7"/>
              </w:rPr>
              <w:t>Disetujui</w:t>
            </w:r>
          </w:p>
        </w:tc>
        <w:tc>
          <w:tcPr>
            <w:tcW w:type="dxa" w:w="4819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7"/>
              </w:rPr>
              <w:t>Product Owner dan pejabat berwenang lintas instansi</w:t>
            </w:r>
          </w:p>
        </w:tc>
        <w:tc>
          <w:tcPr>
            <w:tcW w:type="dxa" w:w="2381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7"/>
              </w:rPr>
              <w:t>Tanggal: 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798"/>
      </w:tblGrid>
      <w:tr>
        <w:tc>
          <w:tcPr>
            <w:tcW w:type="dxa" w:w="14798"/>
            <w:shd w:fill="D9EAF7"/>
            <w:tcBorders>
              <w:top w:val="single" w:sz="8" w:color="2F75B5"/>
              <w:left w:val="single" w:sz="12" w:color="2F75B5"/>
              <w:bottom w:val="single" w:sz="4" w:color="B7C9DA"/>
              <w:right w:val="single" w:sz="4" w:color="B7C9DA"/>
            </w:tcBorders>
          </w:tcPr>
          <w:p>
            <w:r>
              <w:rPr>
                <w:rFonts w:ascii="Aptos" w:hAnsi="Aptos" w:eastAsia="Aptos"/>
                <w:b/>
                <w:color w:val="17365D"/>
                <w:sz w:val="19"/>
              </w:rPr>
              <w:t>Status baseline</w:t>
              <w:br/>
            </w:r>
            <w:r>
              <w:rPr>
                <w:rFonts w:ascii="Aptos" w:hAnsi="Aptos" w:eastAsia="Aptos"/>
                <w:sz w:val="18"/>
              </w:rPr>
              <w:t>Dokumen menjadi acuan desain dan pengembangan setelah memperoleh persetujuan lintas instansi. Perubahan terhadap alur kewenangan, data sensitif, rekaman, atau AI wajib melalui change control.</w:t>
            </w:r>
          </w:p>
        </w:tc>
      </w:tr>
    </w:tbl>
    <w:p>
      <w:pPr>
        <w:spacing w:after="0"/>
      </w:pPr>
    </w:p>
    <w:p>
      <w:pPr>
        <w:pStyle w:val="Heading1"/>
      </w:pPr>
      <w:r>
        <w:t>1. Prinsip Data Model</w:t>
      </w:r>
    </w:p>
    <w:p>
      <w:pPr>
        <w:pStyle w:val="ListBullet"/>
      </w:pPr>
      <w:r>
        <w:rPr>
          <w:rFonts w:ascii="Aptos" w:hAnsi="Aptos" w:eastAsia="Aptos"/>
          <w:sz w:val="20"/>
        </w:rPr>
        <w:t>Reference-first. CIMS menyimpan official system reference dan tidak menjadi register hukum tandingan.</w:t>
      </w:r>
    </w:p>
    <w:p>
      <w:pPr>
        <w:pStyle w:val="ListBullet"/>
      </w:pPr>
      <w:r>
        <w:rPr>
          <w:rFonts w:ascii="Aptos" w:hAnsi="Aptos" w:eastAsia="Aptos"/>
          <w:sz w:val="20"/>
        </w:rPr>
        <w:t>Authority-aware. Data akses mempertimbangkan role, organisasi, unit, perkara, dan delegasi.</w:t>
      </w:r>
    </w:p>
    <w:p>
      <w:pPr>
        <w:pStyle w:val="ListBullet"/>
      </w:pPr>
      <w:r>
        <w:rPr>
          <w:rFonts w:ascii="Aptos" w:hAnsi="Aptos" w:eastAsia="Aptos"/>
          <w:sz w:val="20"/>
        </w:rPr>
        <w:t>Evidence-oriented. Notice, acknowledgment, readiness, incident, dan privileged action mempunyai bukti.</w:t>
      </w:r>
    </w:p>
    <w:p>
      <w:pPr>
        <w:pStyle w:val="ListBullet"/>
      </w:pPr>
      <w:r>
        <w:rPr>
          <w:rFonts w:ascii="Aptos" w:hAnsi="Aptos" w:eastAsia="Aptos"/>
          <w:sz w:val="20"/>
        </w:rPr>
        <w:t>Versioned. Schedule, determination reference, notice, dan configuration mempertahankan riwayat.</w:t>
      </w:r>
    </w:p>
    <w:p>
      <w:pPr>
        <w:pStyle w:val="ListBullet"/>
      </w:pPr>
      <w:r>
        <w:rPr>
          <w:rFonts w:ascii="Aptos" w:hAnsi="Aptos" w:eastAsia="Aptos"/>
          <w:sz w:val="20"/>
        </w:rPr>
        <w:t>Append-only audit. Audit log tidak dapat diubah pengguna biasa.</w:t>
      </w:r>
    </w:p>
    <w:p>
      <w:pPr>
        <w:pStyle w:val="ListBullet"/>
      </w:pPr>
      <w:r>
        <w:rPr>
          <w:rFonts w:ascii="Aptos" w:hAnsi="Aptos" w:eastAsia="Aptos"/>
          <w:sz w:val="20"/>
        </w:rPr>
        <w:t>Privacy by design. Data identitas diminimalkan dan biometrik dinonaktifkan secara default.</w:t>
      </w:r>
    </w:p>
    <w:p>
      <w:pPr>
        <w:pStyle w:val="ListBullet"/>
      </w:pPr>
      <w:r>
        <w:rPr>
          <w:rFonts w:ascii="Aptos" w:hAnsi="Aptos" w:eastAsia="Aptos"/>
          <w:sz w:val="20"/>
        </w:rPr>
        <w:t>Provider-agnostic. Virtual session tidak bergantung pada tabel khusus Zoom.</w:t>
      </w:r>
    </w:p>
    <w:p>
      <w:pPr>
        <w:pStyle w:val="Heading1"/>
      </w:pPr>
      <w:r>
        <w:t>2. ERD Konseptual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4785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4785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Aptos"/>
          <w:i/>
          <w:color w:val="595959"/>
          <w:sz w:val="17"/>
        </w:rPr>
        <w:t>Gambar 1. Hubungan tujuh domain utama CIMS.</w:t>
      </w:r>
    </w:p>
    <w:p>
      <w:pPr>
        <w:pStyle w:val="Heading1"/>
      </w:pPr>
      <w:r>
        <w:t>3. Bounded Context dan Entitas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99"/>
        <w:gridCol w:w="7399"/>
      </w:tblGrid>
      <w:tr>
        <w:trPr>
          <w:tblHeader w:val="true"/>
        </w:trPr>
        <w:tc>
          <w:tcPr>
            <w:tcW w:type="dxa" w:w="3402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11906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Entitas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Identity &amp; Organization</w:t>
            </w:r>
          </w:p>
        </w:tc>
        <w:tc>
          <w:tcPr>
            <w:tcW w:type="dxa" w:w="11906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organizations, organization_units, users, roles, permissions, user_roles, delegations, liaison_officers</w:t>
            </w:r>
          </w:p>
        </w:tc>
      </w:tr>
      <w:tr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Case &amp; Determination</w:t>
            </w:r>
          </w:p>
        </w:tc>
        <w:tc>
          <w:tcPr>
            <w:tcW w:type="dxa" w:w="11906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cases, official_system_refs, case_parties, electronic_hearing_requests, judicial_determinations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Scheduling</w:t>
            </w:r>
          </w:p>
        </w:tc>
        <w:tc>
          <w:tcPr>
            <w:tcW w:type="dxa" w:w="11906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hearings, hearing_schedules, schedule_constraints, schedule_conflicts, schedule_approvals, reschedules</w:t>
            </w:r>
          </w:p>
        </w:tc>
      </w:tr>
      <w:tr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Notice &amp; Readiness</w:t>
            </w:r>
          </w:p>
        </w:tc>
        <w:tc>
          <w:tcPr>
            <w:tcW w:type="dxa" w:w="11906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official_notices, notice_recipients, delivery_attempts, acknowledgments, readiness_checklists, readiness_items, technical_tests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Virtual Hearing</w:t>
            </w:r>
          </w:p>
        </w:tc>
        <w:tc>
          <w:tcPr>
            <w:tcW w:type="dxa" w:w="11906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virtual_room_providers, virtual_sessions, virtual_rooms, join_tokens, room_assignments, provider_events, attendance, hearing_events</w:t>
            </w:r>
          </w:p>
        </w:tc>
      </w:tr>
      <w:tr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Verification &amp; Incidents</w:t>
            </w:r>
          </w:p>
        </w:tc>
        <w:tc>
          <w:tcPr>
            <w:tcW w:type="dxa" w:w="11906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identity_verifications, participant_locations, room_inspections, incidents, technical_incidents, cyber_incidents, force_majeure_events, incident_notifications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Appeal, Records &amp; Audit</w:t>
            </w:r>
          </w:p>
        </w:tc>
        <w:tc>
          <w:tcPr>
            <w:tcW w:type="dxa" w:w="11906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appeal_decision_readings, decision_notifications, excerpt_publications, case_file_transmissions, cassation_deadlines, documents, document_hashes, recordings, retention_policies, audit_logs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ERD Detail Scheduling dan Virtual Hearing</w:t>
      </w:r>
    </w:p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40000" cy="50449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40000" cy="5044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Aptos"/>
          <w:i/>
          <w:color w:val="595959"/>
          <w:sz w:val="17"/>
        </w:rPr>
        <w:t>Gambar 2. Entitas determination, scheduling, dan virtual hearing.</w:t>
      </w:r>
    </w:p>
    <w:p>
      <w:r>
        <w:br w:type="page"/>
      </w:r>
    </w:p>
    <w:p>
      <w:pPr>
        <w:pStyle w:val="Heading1"/>
      </w:pPr>
      <w:r>
        <w:t>5. ERD Detail Notice dan Readiness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00000" cy="53330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5333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Aptos"/>
          <w:i/>
          <w:color w:val="595959"/>
          <w:sz w:val="17"/>
        </w:rPr>
        <w:t>Gambar 3. Entitas pemberitahuan resmi, delivery, acknowledgment, checklist, dan uji teknis.</w:t>
      </w:r>
    </w:p>
    <w:p>
      <w:r>
        <w:br w:type="page"/>
      </w:r>
    </w:p>
    <w:p>
      <w:pPr>
        <w:pStyle w:val="Heading1"/>
      </w:pPr>
      <w:r>
        <w:t>6. ERD Detail Verification dan Incident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60000" cy="53285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verification_incident_t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5328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Aptos"/>
          <w:i/>
          <w:color w:val="595959"/>
          <w:sz w:val="17"/>
        </w:rPr>
        <w:t>Gambar 4. Entitas identitas, lokasi, inspeksi ruang, technical incident, cyber incident, dan force majeure.</w:t>
      </w:r>
    </w:p>
    <w:p>
      <w:r>
        <w:br w:type="page"/>
      </w:r>
    </w:p>
    <w:p>
      <w:pPr>
        <w:pStyle w:val="Heading1"/>
      </w:pPr>
      <w:r>
        <w:t>7. ERD Detail Appeal, Records, dan Audit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80000" cy="36747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appeal_records_t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3674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Aptos"/>
          <w:i/>
          <w:color w:val="595959"/>
          <w:sz w:val="17"/>
        </w:rPr>
        <w:t>Gambar 5. Entitas pembacaan putusan banding, pemberitahuan, petikan, transmisi, deadline, records, dan audit.</w:t>
      </w:r>
    </w:p>
    <w:p>
      <w:pPr>
        <w:pStyle w:val="Heading1"/>
      </w:pPr>
      <w:r>
        <w:t>8. Data Dictionary Ringkas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rPr>
          <w:tblHeader w:val="true"/>
        </w:trPr>
        <w:tc>
          <w:tcPr>
            <w:tcW w:type="dxa" w:w="3118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Domain</w:t>
            </w:r>
          </w:p>
        </w:tc>
        <w:tc>
          <w:tcPr>
            <w:tcW w:type="dxa" w:w="3402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Entitas</w:t>
            </w:r>
          </w:p>
        </w:tc>
        <w:tc>
          <w:tcPr>
            <w:tcW w:type="dxa" w:w="8787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Atribut Kunci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Identity &amp; Organization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organizations</w:t>
            </w:r>
          </w:p>
        </w:tc>
        <w:tc>
          <w:tcPr>
            <w:tcW w:type="dxa" w:w="8787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name, type, status</w:t>
            </w:r>
          </w:p>
        </w:tc>
      </w:tr>
      <w:tr>
        <w:tc>
          <w:tcPr>
            <w:tcW w:type="dxa" w:w="3118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Identity &amp; Organization</w:t>
            </w:r>
          </w:p>
        </w:tc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organization_units</w:t>
            </w:r>
          </w:p>
        </w:tc>
        <w:tc>
          <w:tcPr>
            <w:tcW w:type="dxa" w:w="8787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organization_id FK, name, jurisdiction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Identity &amp; Organization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users</w:t>
            </w:r>
          </w:p>
        </w:tc>
        <w:tc>
          <w:tcPr>
            <w:tcW w:type="dxa" w:w="8787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organization_unit_id FK, name, email, status</w:t>
            </w:r>
          </w:p>
        </w:tc>
      </w:tr>
      <w:tr>
        <w:tc>
          <w:tcPr>
            <w:tcW w:type="dxa" w:w="3118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Identity &amp; Organization</w:t>
            </w:r>
          </w:p>
        </w:tc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roles</w:t>
            </w:r>
          </w:p>
        </w:tc>
        <w:tc>
          <w:tcPr>
            <w:tcW w:type="dxa" w:w="8787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code, name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Identity &amp; Organization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permissions</w:t>
            </w:r>
          </w:p>
        </w:tc>
        <w:tc>
          <w:tcPr>
            <w:tcW w:type="dxa" w:w="8787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code, name</w:t>
            </w:r>
          </w:p>
        </w:tc>
      </w:tr>
      <w:tr>
        <w:tc>
          <w:tcPr>
            <w:tcW w:type="dxa" w:w="3118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Identity &amp; Organization</w:t>
            </w:r>
          </w:p>
        </w:tc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user_roles</w:t>
            </w:r>
          </w:p>
        </w:tc>
        <w:tc>
          <w:tcPr>
            <w:tcW w:type="dxa" w:w="8787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user_id FK, role_id FK, valid_from, valid_to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Identity &amp; Organization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delegations</w:t>
            </w:r>
          </w:p>
        </w:tc>
        <w:tc>
          <w:tcPr>
            <w:tcW w:type="dxa" w:w="8787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grantor_user_id FK, grantee_user_id FK, scope, valid_to</w:t>
            </w:r>
          </w:p>
        </w:tc>
      </w:tr>
      <w:tr>
        <w:tc>
          <w:tcPr>
            <w:tcW w:type="dxa" w:w="3118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Identity &amp; Organization</w:t>
            </w:r>
          </w:p>
        </w:tc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liaison_officers</w:t>
            </w:r>
          </w:p>
        </w:tc>
        <w:tc>
          <w:tcPr>
            <w:tcW w:type="dxa" w:w="8787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organization_unit_id FK, user_id FK, effective_dates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Case &amp; Determination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cases</w:t>
            </w:r>
          </w:p>
        </w:tc>
        <w:tc>
          <w:tcPr>
            <w:tcW w:type="dxa" w:w="8787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case_number, case_type, court_unit_id FK, status</w:t>
            </w:r>
          </w:p>
        </w:tc>
      </w:tr>
      <w:tr>
        <w:tc>
          <w:tcPr>
            <w:tcW w:type="dxa" w:w="3118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Case &amp; Determination</w:t>
            </w:r>
          </w:p>
        </w:tc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official_system_refs</w:t>
            </w:r>
          </w:p>
        </w:tc>
        <w:tc>
          <w:tcPr>
            <w:tcW w:type="dxa" w:w="8787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case_id FK, system_code, external_id, url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Case &amp; Determination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case_parties</w:t>
            </w:r>
          </w:p>
        </w:tc>
        <w:tc>
          <w:tcPr>
            <w:tcW w:type="dxa" w:w="8787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case_id FK, party_type, name, contact_ref</w:t>
            </w:r>
          </w:p>
        </w:tc>
      </w:tr>
      <w:tr>
        <w:tc>
          <w:tcPr>
            <w:tcW w:type="dxa" w:w="3118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Case &amp; Determination</w:t>
            </w:r>
          </w:p>
        </w:tc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electronic_hearing_requests</w:t>
            </w:r>
          </w:p>
        </w:tc>
        <w:tc>
          <w:tcPr>
            <w:tcW w:type="dxa" w:w="8787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case_id FK, request_type, reasons, requested_by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Case &amp; Determination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judicial_determinations</w:t>
            </w:r>
          </w:p>
        </w:tc>
        <w:tc>
          <w:tcPr>
            <w:tcW w:type="dxa" w:w="8787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request_id FK, decision, mode, reasons, document_ref, hash, effective_at</w:t>
            </w:r>
          </w:p>
        </w:tc>
      </w:tr>
      <w:tr>
        <w:tc>
          <w:tcPr>
            <w:tcW w:type="dxa" w:w="3118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Scheduling</w:t>
            </w:r>
          </w:p>
        </w:tc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hearings</w:t>
            </w:r>
          </w:p>
        </w:tc>
        <w:tc>
          <w:tcPr>
            <w:tcW w:type="dxa" w:w="8787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case_id FK, determination_id FK, hearing_type, state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Scheduling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hearing_schedules</w:t>
            </w:r>
          </w:p>
        </w:tc>
        <w:tc>
          <w:tcPr>
            <w:tcW w:type="dxa" w:w="8787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hearing_id FK, version_no, start_at, end_at, timezone, status</w:t>
            </w:r>
          </w:p>
        </w:tc>
      </w:tr>
      <w:tr>
        <w:tc>
          <w:tcPr>
            <w:tcW w:type="dxa" w:w="3118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Scheduling</w:t>
            </w:r>
          </w:p>
        </w:tc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schedule_constraints</w:t>
            </w:r>
          </w:p>
        </w:tc>
        <w:tc>
          <w:tcPr>
            <w:tcW w:type="dxa" w:w="8787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hearing_id FK, resource_type, resource_id, constraint_type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Scheduling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schedule_conflicts</w:t>
            </w:r>
          </w:p>
        </w:tc>
        <w:tc>
          <w:tcPr>
            <w:tcW w:type="dxa" w:w="8787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schedule_id FK, conflict_type, resource_ref, resolution</w:t>
            </w:r>
          </w:p>
        </w:tc>
      </w:tr>
      <w:tr>
        <w:tc>
          <w:tcPr>
            <w:tcW w:type="dxa" w:w="3118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Scheduling</w:t>
            </w:r>
          </w:p>
        </w:tc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schedule_approvals</w:t>
            </w:r>
          </w:p>
        </w:tc>
        <w:tc>
          <w:tcPr>
            <w:tcW w:type="dxa" w:w="8787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schedule_id FK, approver_id FK, decision, reason, decided_at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Scheduling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reschedules</w:t>
            </w:r>
          </w:p>
        </w:tc>
        <w:tc>
          <w:tcPr>
            <w:tcW w:type="dxa" w:w="8787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hearing_id FK, old_schedule_id FK, new_schedule_id FK, reason, basis_ref</w:t>
            </w:r>
          </w:p>
        </w:tc>
      </w:tr>
      <w:tr>
        <w:tc>
          <w:tcPr>
            <w:tcW w:type="dxa" w:w="3118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Notice &amp; Readiness</w:t>
            </w:r>
          </w:p>
        </w:tc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official_notices</w:t>
            </w:r>
          </w:p>
        </w:tc>
        <w:tc>
          <w:tcPr>
            <w:tcW w:type="dxa" w:w="8787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hearing_id FK, notice_type, document_ref, sender_unit_id FK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Notice &amp; Readiness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notice_recipients</w:t>
            </w:r>
          </w:p>
        </w:tc>
        <w:tc>
          <w:tcPr>
            <w:tcW w:type="dxa" w:w="8787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notice_id FK, party_id or user_id, channel, due_at</w:t>
            </w:r>
          </w:p>
        </w:tc>
      </w:tr>
      <w:tr>
        <w:tc>
          <w:tcPr>
            <w:tcW w:type="dxa" w:w="3118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Notice &amp; Readiness</w:t>
            </w:r>
          </w:p>
        </w:tc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delivery_attempts</w:t>
            </w:r>
          </w:p>
        </w:tc>
        <w:tc>
          <w:tcPr>
            <w:tcW w:type="dxa" w:w="8787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recipient_id FK, provider, sent_at, status, proof_ref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Notice &amp; Readiness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acknowledgments</w:t>
            </w:r>
          </w:p>
        </w:tc>
        <w:tc>
          <w:tcPr>
            <w:tcW w:type="dxa" w:w="8787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recipient_id FK, acknowledged_by, acknowledged_at, method</w:t>
            </w:r>
          </w:p>
        </w:tc>
      </w:tr>
      <w:tr>
        <w:tc>
          <w:tcPr>
            <w:tcW w:type="dxa" w:w="3118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Notice &amp; Readiness</w:t>
            </w:r>
          </w:p>
        </w:tc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readiness_checklists</w:t>
            </w:r>
          </w:p>
        </w:tc>
        <w:tc>
          <w:tcPr>
            <w:tcW w:type="dxa" w:w="8787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hearing_id FK, location_id, checklist_type, status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Notice &amp; Readiness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readiness_items</w:t>
            </w:r>
          </w:p>
        </w:tc>
        <w:tc>
          <w:tcPr>
            <w:tcW w:type="dxa" w:w="8787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checklist_id FK, item_code, required, status, evidence_ref</w:t>
            </w:r>
          </w:p>
        </w:tc>
      </w:tr>
      <w:tr>
        <w:tc>
          <w:tcPr>
            <w:tcW w:type="dxa" w:w="3118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Notice &amp; Readiness</w:t>
            </w:r>
          </w:p>
        </w:tc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technical_tests</w:t>
            </w:r>
          </w:p>
        </w:tc>
        <w:tc>
          <w:tcPr>
            <w:tcW w:type="dxa" w:w="8787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checklist_id FK, test_type, result, metrics, tested_by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Virtual Hearing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virtual_room_providers</w:t>
            </w:r>
          </w:p>
        </w:tc>
        <w:tc>
          <w:tcPr>
            <w:tcW w:type="dxa" w:w="8787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code, name, config_ref, status</w:t>
            </w:r>
          </w:p>
        </w:tc>
      </w:tr>
      <w:tr>
        <w:tc>
          <w:tcPr>
            <w:tcW w:type="dxa" w:w="3118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Virtual Hearing</w:t>
            </w:r>
          </w:p>
        </w:tc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virtual_sessions</w:t>
            </w:r>
          </w:p>
        </w:tc>
        <w:tc>
          <w:tcPr>
            <w:tcW w:type="dxa" w:w="8787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hearing_id FK, provider_id FK, external_meeting_id, state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Virtual Hearing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virtual_rooms</w:t>
            </w:r>
          </w:p>
        </w:tc>
        <w:tc>
          <w:tcPr>
            <w:tcW w:type="dxa" w:w="8787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session_id FK, room_type, external_room_id, recording_policy</w:t>
            </w:r>
          </w:p>
        </w:tc>
      </w:tr>
      <w:tr>
        <w:tc>
          <w:tcPr>
            <w:tcW w:type="dxa" w:w="3118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Virtual Hearing</w:t>
            </w:r>
          </w:p>
        </w:tc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join_tokens</w:t>
            </w:r>
          </w:p>
        </w:tc>
        <w:tc>
          <w:tcPr>
            <w:tcW w:type="dxa" w:w="8787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session_id FK, participant_id, role, token_hash, expires_at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Virtual Hearing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room_assignments</w:t>
            </w:r>
          </w:p>
        </w:tc>
        <w:tc>
          <w:tcPr>
            <w:tcW w:type="dxa" w:w="8787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room_id FK, participant_id, valid_from, valid_to</w:t>
            </w:r>
          </w:p>
        </w:tc>
      </w:tr>
      <w:tr>
        <w:tc>
          <w:tcPr>
            <w:tcW w:type="dxa" w:w="3118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Virtual Hearing</w:t>
            </w:r>
          </w:p>
        </w:tc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provider_events</w:t>
            </w:r>
          </w:p>
        </w:tc>
        <w:tc>
          <w:tcPr>
            <w:tcW w:type="dxa" w:w="8787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session_id FK, event_type, payload_hash, occurred_at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Virtual Hearing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attendance</w:t>
            </w:r>
          </w:p>
        </w:tc>
        <w:tc>
          <w:tcPr>
            <w:tcW w:type="dxa" w:w="8787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hearing_id FK, participant_id, join_at, leave_at, verification_status</w:t>
            </w:r>
          </w:p>
        </w:tc>
      </w:tr>
      <w:tr>
        <w:tc>
          <w:tcPr>
            <w:tcW w:type="dxa" w:w="3118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Virtual Hearing</w:t>
            </w:r>
          </w:p>
        </w:tc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hearing_events</w:t>
            </w:r>
          </w:p>
        </w:tc>
        <w:tc>
          <w:tcPr>
            <w:tcW w:type="dxa" w:w="8787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hearing_id FK, event_type, actor_id, occurred_at, reason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Verification &amp; Incidents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identity_verifications</w:t>
            </w:r>
          </w:p>
        </w:tc>
        <w:tc>
          <w:tcPr>
            <w:tcW w:type="dxa" w:w="8787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hearing_id FK, participant_id, method, result, verified_by</w:t>
            </w:r>
          </w:p>
        </w:tc>
      </w:tr>
      <w:tr>
        <w:tc>
          <w:tcPr>
            <w:tcW w:type="dxa" w:w="3118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Verification &amp; Incidents</w:t>
            </w:r>
          </w:p>
        </w:tc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participant_locations</w:t>
            </w:r>
          </w:p>
        </w:tc>
        <w:tc>
          <w:tcPr>
            <w:tcW w:type="dxa" w:w="8787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hearing_id FK, participant_id, location_type, determination_ref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Verification &amp; Incidents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room_inspections</w:t>
            </w:r>
          </w:p>
        </w:tc>
        <w:tc>
          <w:tcPr>
            <w:tcW w:type="dxa" w:w="8787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hearing_id FK, location_id, sterile, camera_view, inspector_id</w:t>
            </w:r>
          </w:p>
        </w:tc>
      </w:tr>
      <w:tr>
        <w:tc>
          <w:tcPr>
            <w:tcW w:type="dxa" w:w="3118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Verification &amp; Incidents</w:t>
            </w:r>
          </w:p>
        </w:tc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incidents</w:t>
            </w:r>
          </w:p>
        </w:tc>
        <w:tc>
          <w:tcPr>
            <w:tcW w:type="dxa" w:w="8787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hearing_id FK, category, severity, detected_at, state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Verification &amp; Incidents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technical_incidents</w:t>
            </w:r>
          </w:p>
        </w:tc>
        <w:tc>
          <w:tcPr>
            <w:tcW w:type="dxa" w:w="8787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incident_id PK/FK, component, recovery_action</w:t>
            </w:r>
          </w:p>
        </w:tc>
      </w:tr>
      <w:tr>
        <w:tc>
          <w:tcPr>
            <w:tcW w:type="dxa" w:w="3118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Verification &amp; Incidents</w:t>
            </w:r>
          </w:p>
        </w:tc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cyber_incidents</w:t>
            </w:r>
          </w:p>
        </w:tc>
        <w:tc>
          <w:tcPr>
            <w:tcW w:type="dxa" w:w="8787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incident_id PK/FK, data_impact, notification_deadline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Verification &amp; Incidents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force_majeure_events</w:t>
            </w:r>
          </w:p>
        </w:tc>
        <w:tc>
          <w:tcPr>
            <w:tcW w:type="dxa" w:w="8787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incident_id PK/FK, evidence_ref, notice_deadline</w:t>
            </w:r>
          </w:p>
        </w:tc>
      </w:tr>
      <w:tr>
        <w:tc>
          <w:tcPr>
            <w:tcW w:type="dxa" w:w="3118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Verification &amp; Incidents</w:t>
            </w:r>
          </w:p>
        </w:tc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incident_notifications</w:t>
            </w:r>
          </w:p>
        </w:tc>
        <w:tc>
          <w:tcPr>
            <w:tcW w:type="dxa" w:w="8787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incident_id FK, recipient_unit_id FK, sent_at, ack_at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Appeal, Records &amp; Audit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appeal_decision_readings</w:t>
            </w:r>
          </w:p>
        </w:tc>
        <w:tc>
          <w:tcPr>
            <w:tcW w:type="dxa" w:w="8787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case_id FK, determination_ref, reading_at, mode, status</w:t>
            </w:r>
          </w:p>
        </w:tc>
      </w:tr>
      <w:tr>
        <w:tc>
          <w:tcPr>
            <w:tcW w:type="dxa" w:w="3118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Appeal, Records &amp; Audit</w:t>
            </w:r>
          </w:p>
        </w:tc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decision_notifications</w:t>
            </w:r>
          </w:p>
        </w:tc>
        <w:tc>
          <w:tcPr>
            <w:tcW w:type="dxa" w:w="8787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reading_id FK, recipient_type, delivery_status, ack_at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Appeal, Records &amp; Audit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excerpt_publications</w:t>
            </w:r>
          </w:p>
        </w:tc>
        <w:tc>
          <w:tcPr>
            <w:tcW w:type="dxa" w:w="8787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reading_id FK, published_at, official_ref</w:t>
            </w:r>
          </w:p>
        </w:tc>
      </w:tr>
      <w:tr>
        <w:tc>
          <w:tcPr>
            <w:tcW w:type="dxa" w:w="3118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Appeal, Records &amp; Audit</w:t>
            </w:r>
          </w:p>
        </w:tc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case_file_transmissions</w:t>
            </w:r>
          </w:p>
        </w:tc>
        <w:tc>
          <w:tcPr>
            <w:tcW w:type="dxa" w:w="8787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reading_id FK, sent_at, received_at, official_ref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Appeal, Records &amp; Audit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cassation_deadlines</w:t>
            </w:r>
          </w:p>
        </w:tc>
        <w:tc>
          <w:tcPr>
            <w:tcW w:type="dxa" w:w="8787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reading_id FK, starts_at, deadline_at, basis</w:t>
            </w:r>
          </w:p>
        </w:tc>
      </w:tr>
      <w:tr>
        <w:tc>
          <w:tcPr>
            <w:tcW w:type="dxa" w:w="3118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Appeal, Records &amp; Audit</w:t>
            </w:r>
          </w:p>
        </w:tc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documents</w:t>
            </w:r>
          </w:p>
        </w:tc>
        <w:tc>
          <w:tcPr>
            <w:tcW w:type="dxa" w:w="8787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case_id FK, document_type, official_ref, classification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Appeal, Records &amp; Audit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document_hashes</w:t>
            </w:r>
          </w:p>
        </w:tc>
        <w:tc>
          <w:tcPr>
            <w:tcW w:type="dxa" w:w="8787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document_id FK, algorithm, hash_value, timestamp_ref</w:t>
            </w:r>
          </w:p>
        </w:tc>
      </w:tr>
      <w:tr>
        <w:tc>
          <w:tcPr>
            <w:tcW w:type="dxa" w:w="3118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Appeal, Records &amp; Audit</w:t>
            </w:r>
          </w:p>
        </w:tc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recordings</w:t>
            </w:r>
          </w:p>
        </w:tc>
        <w:tc>
          <w:tcPr>
            <w:tcW w:type="dxa" w:w="8787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hearing_id FK, official_ref, hash, retention_policy_id FK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Appeal, Records &amp; Audit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retention_policies</w:t>
            </w:r>
          </w:p>
        </w:tc>
        <w:tc>
          <w:tcPr>
            <w:tcW w:type="dxa" w:w="8787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data_class, retention_period, disposal_rule</w:t>
            </w:r>
          </w:p>
        </w:tc>
      </w:tr>
      <w:tr>
        <w:tc>
          <w:tcPr>
            <w:tcW w:type="dxa" w:w="3118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Appeal, Records &amp; Audit</w:t>
            </w:r>
          </w:p>
        </w:tc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audit_logs</w:t>
            </w:r>
          </w:p>
        </w:tc>
        <w:tc>
          <w:tcPr>
            <w:tcW w:type="dxa" w:w="8787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3"/>
              </w:rPr>
              <w:t>id PK, actor_id, action, object_type, object_id, reason, correlation_id, created_at</w:t>
            </w:r>
          </w:p>
        </w:tc>
      </w:tr>
    </w:tbl>
    <w:p>
      <w:pPr>
        <w:spacing w:after="0"/>
      </w:pPr>
    </w:p>
    <w:p>
      <w:pPr>
        <w:pStyle w:val="Heading1"/>
      </w:pPr>
      <w:r>
        <w:t>9. Detail Entitas Kritis Modul Jadwal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rPr>
          <w:tblHeader w:val="true"/>
        </w:trPr>
        <w:tc>
          <w:tcPr>
            <w:tcW w:type="dxa" w:w="2835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Entitas</w:t>
            </w:r>
          </w:p>
        </w:tc>
        <w:tc>
          <w:tcPr>
            <w:tcW w:type="dxa" w:w="7370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Atribut Minimum</w:t>
            </w:r>
          </w:p>
        </w:tc>
        <w:tc>
          <w:tcPr>
            <w:tcW w:type="dxa" w:w="5102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Fungsi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hearings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id, case_id, determination_id, hearing_type, state, current_schedule_id, created_at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Satu agenda persidangan dan state machine utama.</w:t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hearing_schedules</w:t>
            </w:r>
          </w:p>
        </w:tc>
        <w:tc>
          <w:tcPr>
            <w:tcW w:type="dxa" w:w="7370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id, hearing_id, version_no, start_at, end_at, timezone, status, created_by</w:t>
            </w:r>
          </w:p>
        </w:tc>
        <w:tc>
          <w:tcPr>
            <w:tcW w:type="dxa" w:w="51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Versi jadwal. Status DRAFT, PROPOSED, ACTIVE, SUPERSEDED, CANCELLED.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schedule_constraints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id, hearing_id, resource_type, resource_id, constraint_type, required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Constraint hakim, jaksa, ruang, lokasi terdakwa, saksi, ahli, petugas, dan provider.</w:t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schedule_conflicts</w:t>
            </w:r>
          </w:p>
        </w:tc>
        <w:tc>
          <w:tcPr>
            <w:tcW w:type="dxa" w:w="7370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id, schedule_id, conflict_type, resource_ref, details, resolution</w:t>
            </w:r>
          </w:p>
        </w:tc>
        <w:tc>
          <w:tcPr>
            <w:tcW w:type="dxa" w:w="51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Hasil conflict engine yang dapat dijelaskan dan ditelusuri.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schedule_approvals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id, schedule_id, approver_id, decision, reason, decided_at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Pengesahan oleh pengguna berwenang.</w:t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reschedules</w:t>
            </w:r>
          </w:p>
        </w:tc>
        <w:tc>
          <w:tcPr>
            <w:tcW w:type="dxa" w:w="7370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id, hearing_id, old_schedule_id, new_schedule_id, reason, basis_ref, approved_by</w:t>
            </w:r>
          </w:p>
        </w:tc>
        <w:tc>
          <w:tcPr>
            <w:tcW w:type="dxa" w:w="51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Riwayat perubahan dengan dasar dan notice ulang.</w:t>
            </w:r>
          </w:p>
        </w:tc>
      </w:tr>
    </w:tbl>
    <w:p>
      <w:pPr>
        <w:spacing w:after="0"/>
      </w:pPr>
    </w:p>
    <w:p>
      <w:pPr>
        <w:pStyle w:val="Heading1"/>
      </w:pPr>
      <w:r>
        <w:t>10. Detail Entitas Kritis Ruang Sidang Virtual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rPr>
          <w:tblHeader w:val="true"/>
        </w:trPr>
        <w:tc>
          <w:tcPr>
            <w:tcW w:type="dxa" w:w="2835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Entitas</w:t>
            </w:r>
          </w:p>
        </w:tc>
        <w:tc>
          <w:tcPr>
            <w:tcW w:type="dxa" w:w="7370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Atribut Minimum</w:t>
            </w:r>
          </w:p>
        </w:tc>
        <w:tc>
          <w:tcPr>
            <w:tcW w:type="dxa" w:w="5102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Fungsi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virtual_room_providers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id, code, name, config_ref, status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Konfigurasi provider yang disetujui.</w:t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virtual_sessions</w:t>
            </w:r>
          </w:p>
        </w:tc>
        <w:tc>
          <w:tcPr>
            <w:tcW w:type="dxa" w:w="7370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id, hearing_id, provider_id, external_meeting_id, state, host_secret_ref</w:t>
            </w:r>
          </w:p>
        </w:tc>
        <w:tc>
          <w:tcPr>
            <w:tcW w:type="dxa" w:w="51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Satu sesi virtual per hearing aktif.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virtual_rooms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id, session_id, room_type, external_room_id, recording_policy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Main, waiting, witness, defendant, dan consultation room.</w:t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join_tokens</w:t>
            </w:r>
          </w:p>
        </w:tc>
        <w:tc>
          <w:tcPr>
            <w:tcW w:type="dxa" w:w="7370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id, session_id, participant_id, role, token_hash, expires_at, used_at</w:t>
            </w:r>
          </w:p>
        </w:tc>
        <w:tc>
          <w:tcPr>
            <w:tcW w:type="dxa" w:w="51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Token individual, terbatas waktu, dan dapat dicabut.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room_assignments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id, room_id, participant_id, valid_from, valid_to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Penempatan peserta ke ruang sesuai peran.</w:t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provider_events</w:t>
            </w:r>
          </w:p>
        </w:tc>
        <w:tc>
          <w:tcPr>
            <w:tcW w:type="dxa" w:w="7370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id, session_id, event_type, payload_hash, occurred_at</w:t>
            </w:r>
          </w:p>
        </w:tc>
        <w:tc>
          <w:tcPr>
            <w:tcW w:type="dxa" w:w="51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Webhook dan event provider.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attendance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id, hearing_id, participant_id, join_at, leave_at, verification_status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Kehadiran operasional.</w:t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hearing_events</w:t>
            </w:r>
          </w:p>
        </w:tc>
        <w:tc>
          <w:tcPr>
            <w:tcW w:type="dxa" w:w="7370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id, hearing_id, event_type, actor_id, occurred_at, reason, correlation_id</w:t>
            </w:r>
          </w:p>
        </w:tc>
        <w:tc>
          <w:tcPr>
            <w:tcW w:type="dxa" w:w="51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4"/>
              </w:rPr>
              <w:t>Start, suspend, resume, postpone, complete, dan kejadian penting.</w:t>
            </w:r>
          </w:p>
        </w:tc>
      </w:tr>
    </w:tbl>
    <w:p>
      <w:pPr>
        <w:spacing w:after="0"/>
      </w:pPr>
    </w:p>
    <w:p>
      <w:pPr>
        <w:pStyle w:val="Heading1"/>
      </w:pPr>
      <w:r>
        <w:t>11. Cardinality dan Constraint Kritis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99"/>
        <w:gridCol w:w="7399"/>
      </w:tblGrid>
      <w:tr>
        <w:trPr>
          <w:tblHeader w:val="true"/>
        </w:trPr>
        <w:tc>
          <w:tcPr>
            <w:tcW w:type="dxa" w:w="4535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Relasi atau Constraint</w:t>
            </w:r>
          </w:p>
        </w:tc>
        <w:tc>
          <w:tcPr>
            <w:tcW w:type="dxa" w:w="10772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Aturan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cases 1:N hearings</w:t>
            </w:r>
          </w:p>
        </w:tc>
        <w:tc>
          <w:tcPr>
            <w:tcW w:type="dxa" w:w="1077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Satu perkara dapat memiliki banyak agenda.</w:t>
            </w:r>
          </w:p>
        </w:tc>
      </w:tr>
      <w:tr>
        <w:tc>
          <w:tcPr>
            <w:tcW w:type="dxa" w:w="4535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electronic_hearing_requests 1:N judicial_determinations</w:t>
            </w:r>
          </w:p>
        </w:tc>
        <w:tc>
          <w:tcPr>
            <w:tcW w:type="dxa" w:w="1077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Riwayat keputusan disimpan dan hanya satu efektif pada konteks agenda.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hearings 1:N hearing_schedules</w:t>
            </w:r>
          </w:p>
        </w:tc>
        <w:tc>
          <w:tcPr>
            <w:tcW w:type="dxa" w:w="1077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Semua perubahan menjadi versi baru.</w:t>
            </w:r>
          </w:p>
        </w:tc>
      </w:tr>
      <w:tr>
        <w:tc>
          <w:tcPr>
            <w:tcW w:type="dxa" w:w="4535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hearing_schedules 1:N schedule_conflicts</w:t>
            </w:r>
          </w:p>
        </w:tc>
        <w:tc>
          <w:tcPr>
            <w:tcW w:type="dxa" w:w="1077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Conflict engine dapat menghasilkan banyak konflik.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hearings 1:0..1 virtual_sessions aktif</w:t>
            </w:r>
          </w:p>
        </w:tc>
        <w:tc>
          <w:tcPr>
            <w:tcW w:type="dxa" w:w="1077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Satu sesi aktif per agenda, sesi lama tetap untuk audit.</w:t>
            </w:r>
          </w:p>
        </w:tc>
      </w:tr>
      <w:tr>
        <w:tc>
          <w:tcPr>
            <w:tcW w:type="dxa" w:w="4535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virtual_sessions 1:N virtual_rooms</w:t>
            </w:r>
          </w:p>
        </w:tc>
        <w:tc>
          <w:tcPr>
            <w:tcW w:type="dxa" w:w="1077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Sesi dapat mempunyai beberapa jenis ruang.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official_notices 1:N notice_recipients</w:t>
            </w:r>
          </w:p>
        </w:tc>
        <w:tc>
          <w:tcPr>
            <w:tcW w:type="dxa" w:w="1077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Satu notice mempunyai beberapa penerima.</w:t>
            </w:r>
          </w:p>
        </w:tc>
      </w:tr>
      <w:tr>
        <w:tc>
          <w:tcPr>
            <w:tcW w:type="dxa" w:w="4535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notice_recipients 1:N delivery_attempts dan 0..N acknowledgments</w:t>
            </w:r>
          </w:p>
        </w:tc>
        <w:tc>
          <w:tcPr>
            <w:tcW w:type="dxa" w:w="1077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Retry dan bukti acknowledgment dipertahankan.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hearings 1:N readiness_checklists</w:t>
            </w:r>
          </w:p>
        </w:tc>
        <w:tc>
          <w:tcPr>
            <w:tcW w:type="dxa" w:w="1077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Checklist dipisahkan per lokasi atau jenis.</w:t>
            </w:r>
          </w:p>
        </w:tc>
      </w:tr>
      <w:tr>
        <w:tc>
          <w:tcPr>
            <w:tcW w:type="dxa" w:w="4535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incidents 1:0..1 subtype</w:t>
            </w:r>
          </w:p>
        </w:tc>
        <w:tc>
          <w:tcPr>
            <w:tcW w:type="dxa" w:w="1077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Setiap incident mempunyai satu kategori teknis, siber, atau kahar.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appeal_decision_readings 1:N decision_notifications</w:t>
            </w:r>
          </w:p>
        </w:tc>
        <w:tc>
          <w:tcPr>
            <w:tcW w:type="dxa" w:w="1077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Rantai pemberitahuan dilacak per penerima.</w:t>
            </w:r>
          </w:p>
        </w:tc>
      </w:tr>
      <w:tr>
        <w:tc>
          <w:tcPr>
            <w:tcW w:type="dxa" w:w="4535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audit_logs append-only</w:t>
            </w:r>
          </w:p>
        </w:tc>
        <w:tc>
          <w:tcPr>
            <w:tcW w:type="dxa" w:w="1077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Tidak ada update atau delete oleh aplikasi biasa.</w:t>
            </w:r>
          </w:p>
        </w:tc>
      </w:tr>
    </w:tbl>
    <w:p>
      <w:pPr>
        <w:spacing w:after="0"/>
      </w:pPr>
    </w:p>
    <w:p>
      <w:pPr>
        <w:pStyle w:val="Heading1"/>
      </w:pPr>
      <w:r>
        <w:t>12. Index, Partition, dan Retensi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99"/>
        <w:gridCol w:w="7399"/>
      </w:tblGrid>
      <w:tr>
        <w:trPr>
          <w:tblHeader w:val="true"/>
        </w:trPr>
        <w:tc>
          <w:tcPr>
            <w:tcW w:type="dxa" w:w="2835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12472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Rekomendasi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Unique index</w:t>
            </w:r>
          </w:p>
        </w:tc>
        <w:tc>
          <w:tcPr>
            <w:tcW w:type="dxa" w:w="1247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cases(case_number, court_unit_id), hearing_schedules(hearing_id, version_no), roles(code), virtual_room_providers(code).</w:t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Operational index</w:t>
            </w:r>
          </w:p>
        </w:tc>
        <w:tc>
          <w:tcPr>
            <w:tcW w:type="dxa" w:w="1247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hearings(state, current_schedule_id), hearing_schedules(start_at, status), notice_recipients(due_at), delivery_attempts(status, sent_at), readiness_checklists(status), incidents(state, severity).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Audit partition</w:t>
            </w:r>
          </w:p>
        </w:tc>
        <w:tc>
          <w:tcPr>
            <w:tcW w:type="dxa" w:w="1247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audit_logs dan provider_events dipartisi berdasarkan bulan atau kebijakan volume.</w:t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Sensitive field</w:t>
            </w:r>
          </w:p>
        </w:tc>
        <w:tc>
          <w:tcPr>
            <w:tcW w:type="dxa" w:w="1247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Email, nomor identitas, contact_ref, host_secret_ref, dan proof_ref dienkripsi atau disimpan sebagai secret reference.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Retention</w:t>
            </w:r>
          </w:p>
        </w:tc>
        <w:tc>
          <w:tcPr>
            <w:tcW w:type="dxa" w:w="1247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Dikendalikan retention_policies berdasarkan kelas data dan status legal record.</w:t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Deletion</w:t>
            </w:r>
          </w:p>
        </w:tc>
        <w:tc>
          <w:tcPr>
            <w:tcW w:type="dxa" w:w="1247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Soft delete hanya untuk data operasional yang diizinkan. Audit dan bukti mengikuti arsip dan legal hold.</w:t>
            </w:r>
          </w:p>
        </w:tc>
      </w:tr>
    </w:tbl>
    <w:p>
      <w:pPr>
        <w:spacing w:after="0"/>
      </w:pPr>
    </w:p>
    <w:p>
      <w:pPr>
        <w:pStyle w:val="Heading1"/>
      </w:pPr>
      <w:r>
        <w:t>13. Migration dari MVP Lama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rPr>
          <w:tblHeader w:val="true"/>
        </w:trPr>
        <w:tc>
          <w:tcPr>
            <w:tcW w:type="dxa" w:w="2835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Tabel Lama</w:t>
            </w:r>
          </w:p>
        </w:tc>
        <w:tc>
          <w:tcPr>
            <w:tcW w:type="dxa" w:w="5102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Keputusan</w:t>
            </w:r>
          </w:p>
        </w:tc>
        <w:tc>
          <w:tcPr>
            <w:tcW w:type="dxa" w:w="7370"/>
            <w:shd w:fill="17365D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Target Baru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cases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Pertahankan sebagai referensi dan tambah official system reference.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cases, official_system_refs</w:t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hearings</w:t>
            </w:r>
          </w:p>
        </w:tc>
        <w:tc>
          <w:tcPr>
            <w:tcW w:type="dxa" w:w="51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Pisahkan agenda dengan versi jadwal.</w:t>
            </w:r>
          </w:p>
        </w:tc>
        <w:tc>
          <w:tcPr>
            <w:tcW w:type="dxa" w:w="7370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hearings, hearing_schedules, schedule_approvals, schedule_conflicts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zoom_sessions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Ganti nama dan abstraksi provider.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virtual_room_providers, virtual_sessions, virtual_rooms</w:t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participants</w:t>
            </w:r>
          </w:p>
        </w:tc>
        <w:tc>
          <w:tcPr>
            <w:tcW w:type="dxa" w:w="51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Pisahkan pihak, peserta, lokasi, verifikasi, dan attendance.</w:t>
            </w:r>
          </w:p>
        </w:tc>
        <w:tc>
          <w:tcPr>
            <w:tcW w:type="dxa" w:w="7370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case_parties, participant_locations, identity_verifications, attendance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notifications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Pisahkan notice, recipient, delivery attempt, acknowledgment, dan reminder.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official_notices, notice_recipients, delivery_attempts, acknowledgments</w:t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documents</w:t>
            </w:r>
          </w:p>
        </w:tc>
        <w:tc>
          <w:tcPr>
            <w:tcW w:type="dxa" w:w="5102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Ubah menjadi metadata dan official reference.</w:t>
            </w:r>
          </w:p>
        </w:tc>
        <w:tc>
          <w:tcPr>
            <w:tcW w:type="dxa" w:w="7370"/>
            <w:vAlign w:val="top"/>
            <w:shd w:fill="F8FAFC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documents, document_hashes, official_system_refs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audit_logs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Tambah append-only, reason, before-after, dan correlation ID.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sz w:val="15"/>
              </w:rPr>
              <w:t>audit_logs</w:t>
            </w:r>
          </w:p>
        </w:tc>
      </w:tr>
    </w:tbl>
    <w:p>
      <w:pPr>
        <w:spacing w:after="0"/>
      </w:pPr>
    </w:p>
    <w:p>
      <w:pPr>
        <w:pStyle w:val="Heading1"/>
      </w:pPr>
      <w:r>
        <w:t>14. Definition of Done ERD</w:t>
      </w:r>
    </w:p>
    <w:p>
      <w:pPr>
        <w:pStyle w:val="ListBullet"/>
      </w:pPr>
      <w:r>
        <w:rPr>
          <w:rFonts w:ascii="Aptos" w:hAnsi="Aptos" w:eastAsia="Aptos"/>
          <w:sz w:val="20"/>
        </w:rPr>
        <w:t>Semua FR pada SRS mempunyai tabel atau sumber data yang jelas.</w:t>
      </w:r>
    </w:p>
    <w:p>
      <w:pPr>
        <w:pStyle w:val="ListBullet"/>
      </w:pPr>
      <w:r>
        <w:rPr>
          <w:rFonts w:ascii="Aptos" w:hAnsi="Aptos" w:eastAsia="Aptos"/>
          <w:sz w:val="20"/>
        </w:rPr>
        <w:t>Constraint judicial determination dan active schedule dapat ditegakkan pada service dan database.</w:t>
      </w:r>
    </w:p>
    <w:p>
      <w:pPr>
        <w:pStyle w:val="ListBullet"/>
      </w:pPr>
      <w:r>
        <w:rPr>
          <w:rFonts w:ascii="Aptos" w:hAnsi="Aptos" w:eastAsia="Aptos"/>
          <w:sz w:val="20"/>
        </w:rPr>
        <w:t>Tidak terdapat host secret atau token dalam log atau response publik.</w:t>
      </w:r>
    </w:p>
    <w:p>
      <w:pPr>
        <w:pStyle w:val="ListBullet"/>
      </w:pPr>
      <w:r>
        <w:rPr>
          <w:rFonts w:ascii="Aptos" w:hAnsi="Aptos" w:eastAsia="Aptos"/>
          <w:sz w:val="20"/>
        </w:rPr>
        <w:t>Data notice, readiness, incident, dan audit cukup untuk menghasilkan bukti.</w:t>
      </w:r>
    </w:p>
    <w:p>
      <w:pPr>
        <w:pStyle w:val="ListBullet"/>
      </w:pPr>
      <w:r>
        <w:rPr>
          <w:rFonts w:ascii="Aptos" w:hAnsi="Aptos" w:eastAsia="Aptos"/>
          <w:sz w:val="20"/>
        </w:rPr>
        <w:t>Data owner, classification, retention, encryption, dan access policy ditetapkan sebelum produksi.</w:t>
      </w:r>
    </w:p>
    <w:p>
      <w:pPr>
        <w:pStyle w:val="ListBullet"/>
      </w:pPr>
      <w:r>
        <w:rPr>
          <w:rFonts w:ascii="Aptos" w:hAnsi="Aptos" w:eastAsia="Aptos"/>
          <w:sz w:val="20"/>
        </w:rPr>
        <w:t>DBML direview oleh backend engineer, DBA, security engineer, dan process owner.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595959"/>
        <w:sz w:val="16"/>
      </w:rPr>
      <w:t xml:space="preserve">Draft untuk validasi lintas instansi | Halaman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color w:val="595959"/>
        <w:sz w:val="16"/>
      </w:rPr>
      <w:t>CIMS Development Baseline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27" w:right="227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