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eastAsia="Aptos"/>
          <w:b/>
          <w:color w:val="C9A227"/>
          <w:sz w:val="26"/>
        </w:rPr>
        <w:t>COURT INTELLIGENCE MANAGEMENT SYSTEM</w:t>
      </w:r>
    </w:p>
    <w:p>
      <w:pPr>
        <w:spacing w:before="240"/>
        <w:jc w:val="center"/>
      </w:pPr>
      <w:r>
        <w:rPr>
          <w:rFonts w:ascii="Aptos" w:hAnsi="Aptos" w:eastAsia="Aptos"/>
          <w:b/>
          <w:color w:val="17365D"/>
          <w:sz w:val="50"/>
        </w:rPr>
        <w:t>BUSINESS REQUIREMENT DOCUMENT REVISI</w:t>
      </w:r>
    </w:p>
    <w:p>
      <w:pPr>
        <w:jc w:val="center"/>
      </w:pPr>
      <w:r>
        <w:rPr>
          <w:rFonts w:ascii="Aptos" w:hAnsi="Aptos" w:eastAsia="Aptos"/>
          <w:color w:val="595959"/>
          <w:sz w:val="24"/>
        </w:rPr>
        <w:t>Compliance-First Court Coordination and Electronic Hearing Orchestration</w:t>
      </w:r>
    </w:p>
    <w:p>
      <w:pPr>
        <w:spacing w:before="560"/>
        <w:jc w:val="center"/>
      </w:pPr>
    </w:p>
    <w:tbl>
      <w:tblPr>
        <w:tblW w:type="auto" w:w="0"/>
        <w:jc w:val="center"/>
        <w:tblLayout w:type="fixed"/>
        <w:tblLook w:firstColumn="1" w:firstRow="1" w:lastColumn="0" w:lastRow="0" w:noHBand="0" w:noVBand="1" w:val="04A0"/>
      </w:tblPr>
      <w:tblGrid>
        <w:gridCol w:w="4933"/>
        <w:gridCol w:w="4933"/>
      </w:tblGrid>
      <w:tr>
        <w:tc>
          <w:tcPr>
            <w:tcW w:type="dxa" w:w="2835"/>
            <w:shd w:fill="D9EAF7"/>
            <w:vAlign w:val="center"/>
            <w:tcBorders>
              <w:top w:val="single" w:sz="4" w:color="B7C9DA"/>
              <w:left w:val="single" w:sz="4" w:color="B7C9DA"/>
              <w:bottom w:val="single" w:sz="4" w:color="B7C9DA"/>
              <w:right w:val="single" w:sz="4" w:color="B7C9DA"/>
            </w:tcBorders>
          </w:tcPr>
          <w:p>
            <w:r>
              <w:rPr>
                <w:rFonts w:ascii="Aptos" w:hAnsi="Aptos" w:eastAsia="Aptos"/>
                <w:b w:val="0"/>
                <w:sz w:val="18"/>
              </w:rPr>
              <w:t>Kode Dokumen</w:t>
            </w:r>
          </w:p>
        </w:tc>
        <w:tc>
          <w:tcPr>
            <w:tcW w:type="dxa" w:w="4535"/>
            <w:vAlign w:val="center"/>
            <w:tcBorders>
              <w:top w:val="single" w:sz="4" w:color="B7C9DA"/>
              <w:left w:val="single" w:sz="4" w:color="B7C9DA"/>
              <w:bottom w:val="single" w:sz="4" w:color="B7C9DA"/>
              <w:right w:val="single" w:sz="4" w:color="B7C9DA"/>
            </w:tcBorders>
          </w:tcPr>
          <w:p>
            <w:r>
              <w:rPr>
                <w:rFonts w:ascii="Aptos" w:hAnsi="Aptos" w:eastAsia="Aptos"/>
                <w:b w:val="0"/>
                <w:sz w:val="18"/>
              </w:rPr>
              <w:t>CIMS-BRD-002/2026</w:t>
            </w:r>
          </w:p>
        </w:tc>
      </w:tr>
      <w:tr>
        <w:tc>
          <w:tcPr>
            <w:tcW w:type="dxa" w:w="2835"/>
            <w:shd w:fill="D9EAF7"/>
            <w:vAlign w:val="center"/>
            <w:tcBorders>
              <w:top w:val="single" w:sz="4" w:color="B7C9DA"/>
              <w:left w:val="single" w:sz="4" w:color="B7C9DA"/>
              <w:bottom w:val="single" w:sz="4" w:color="B7C9DA"/>
              <w:right w:val="single" w:sz="4" w:color="B7C9DA"/>
            </w:tcBorders>
          </w:tcPr>
          <w:p>
            <w:r>
              <w:rPr>
                <w:rFonts w:ascii="Aptos" w:hAnsi="Aptos" w:eastAsia="Aptos"/>
                <w:b w:val="0"/>
                <w:sz w:val="18"/>
              </w:rPr>
              <w:t>Versi</w:t>
            </w:r>
          </w:p>
        </w:tc>
        <w:tc>
          <w:tcPr>
            <w:tcW w:type="dxa" w:w="4535"/>
            <w:vAlign w:val="center"/>
            <w:tcBorders>
              <w:top w:val="single" w:sz="4" w:color="B7C9DA"/>
              <w:left w:val="single" w:sz="4" w:color="B7C9DA"/>
              <w:bottom w:val="single" w:sz="4" w:color="B7C9DA"/>
              <w:right w:val="single" w:sz="4" w:color="B7C9DA"/>
            </w:tcBorders>
          </w:tcPr>
          <w:p>
            <w:r>
              <w:rPr>
                <w:rFonts w:ascii="Aptos" w:hAnsi="Aptos" w:eastAsia="Aptos"/>
                <w:b w:val="0"/>
                <w:sz w:val="18"/>
              </w:rPr>
              <w:t>2.1</w:t>
            </w:r>
          </w:p>
        </w:tc>
      </w:tr>
      <w:tr>
        <w:tc>
          <w:tcPr>
            <w:tcW w:type="dxa" w:w="2835"/>
            <w:shd w:fill="D9EAF7"/>
            <w:vAlign w:val="center"/>
            <w:tcBorders>
              <w:top w:val="single" w:sz="4" w:color="B7C9DA"/>
              <w:left w:val="single" w:sz="4" w:color="B7C9DA"/>
              <w:bottom w:val="single" w:sz="4" w:color="B7C9DA"/>
              <w:right w:val="single" w:sz="4" w:color="B7C9DA"/>
            </w:tcBorders>
          </w:tcPr>
          <w:p>
            <w:r>
              <w:rPr>
                <w:rFonts w:ascii="Aptos" w:hAnsi="Aptos" w:eastAsia="Aptos"/>
                <w:b w:val="0"/>
                <w:sz w:val="18"/>
              </w:rPr>
              <w:t>Status</w:t>
            </w:r>
          </w:p>
        </w:tc>
        <w:tc>
          <w:tcPr>
            <w:tcW w:type="dxa" w:w="4535"/>
            <w:vAlign w:val="center"/>
            <w:tcBorders>
              <w:top w:val="single" w:sz="4" w:color="B7C9DA"/>
              <w:left w:val="single" w:sz="4" w:color="B7C9DA"/>
              <w:bottom w:val="single" w:sz="4" w:color="B7C9DA"/>
              <w:right w:val="single" w:sz="4" w:color="B7C9DA"/>
            </w:tcBorders>
          </w:tcPr>
          <w:p>
            <w:r>
              <w:rPr>
                <w:rFonts w:ascii="Aptos" w:hAnsi="Aptos" w:eastAsia="Aptos"/>
                <w:b w:val="0"/>
                <w:sz w:val="18"/>
              </w:rPr>
              <w:t>Development Baseline</w:t>
            </w:r>
          </w:p>
        </w:tc>
      </w:tr>
      <w:tr>
        <w:tc>
          <w:tcPr>
            <w:tcW w:type="dxa" w:w="2835"/>
            <w:shd w:fill="D9EAF7"/>
            <w:vAlign w:val="center"/>
            <w:tcBorders>
              <w:top w:val="single" w:sz="4" w:color="B7C9DA"/>
              <w:left w:val="single" w:sz="4" w:color="B7C9DA"/>
              <w:bottom w:val="single" w:sz="4" w:color="B7C9DA"/>
              <w:right w:val="single" w:sz="4" w:color="B7C9DA"/>
            </w:tcBorders>
          </w:tcPr>
          <w:p>
            <w:r>
              <w:rPr>
                <w:rFonts w:ascii="Aptos" w:hAnsi="Aptos" w:eastAsia="Aptos"/>
                <w:b w:val="0"/>
                <w:sz w:val="18"/>
              </w:rPr>
              <w:t>Tanggal</w:t>
            </w:r>
          </w:p>
        </w:tc>
        <w:tc>
          <w:tcPr>
            <w:tcW w:type="dxa" w:w="4535"/>
            <w:vAlign w:val="center"/>
            <w:tcBorders>
              <w:top w:val="single" w:sz="4" w:color="B7C9DA"/>
              <w:left w:val="single" w:sz="4" w:color="B7C9DA"/>
              <w:bottom w:val="single" w:sz="4" w:color="B7C9DA"/>
              <w:right w:val="single" w:sz="4" w:color="B7C9DA"/>
            </w:tcBorders>
          </w:tcPr>
          <w:p>
            <w:r>
              <w:rPr>
                <w:rFonts w:ascii="Aptos" w:hAnsi="Aptos" w:eastAsia="Aptos"/>
                <w:b w:val="0"/>
                <w:sz w:val="18"/>
              </w:rPr>
              <w:t>Juli 2026</w:t>
            </w:r>
          </w:p>
        </w:tc>
      </w:tr>
    </w:tbl>
    <w:p>
      <w:pPr>
        <w:spacing w:before="640"/>
        <w:jc w:val="center"/>
      </w:pPr>
      <w:r>
        <w:rPr>
          <w:rFonts w:ascii="Aptos" w:hAnsi="Aptos" w:eastAsia="Aptos"/>
          <w:i/>
          <w:color w:val="595959"/>
          <w:sz w:val="18"/>
        </w:rPr>
        <w:t>Dokumen ini diturunkan dari SOP Persidangan Pidana Elektronik CIMS Revisi 2026, PKS lintas instansi, SEMA Nomor 2 Tahun 2026, dan Matriks Penyesuaian MVP CIMS.</w:t>
      </w:r>
    </w:p>
    <w:p>
      <w:r>
        <w:br w:type="page"/>
      </w:r>
    </w:p>
    <w:p>
      <w:pPr>
        <w:pStyle w:val="Heading1"/>
      </w:pPr>
      <w:r>
        <w:t>Pengendalian Dokumen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154"/>
            <w:shd w:fill="17365D"/>
            <w:vAlign w:val="center"/>
          </w:tcPr>
          <w:p>
            <w:pPr>
              <w:jc w:val="center"/>
            </w:pPr>
            <w:r>
              <w:rPr>
                <w:rFonts w:ascii="Aptos" w:hAnsi="Aptos" w:eastAsia="Aptos"/>
                <w:b/>
                <w:color w:val="FFFFFF"/>
                <w:sz w:val="17"/>
              </w:rPr>
              <w:t>Tahap</w:t>
            </w:r>
          </w:p>
        </w:tc>
        <w:tc>
          <w:tcPr>
            <w:tcW w:type="dxa" w:w="4819"/>
            <w:shd w:fill="17365D"/>
            <w:vAlign w:val="center"/>
          </w:tcPr>
          <w:p>
            <w:pPr>
              <w:jc w:val="center"/>
            </w:pPr>
            <w:r>
              <w:rPr>
                <w:rFonts w:ascii="Aptos" w:hAnsi="Aptos" w:eastAsia="Aptos"/>
                <w:b/>
                <w:color w:val="FFFFFF"/>
                <w:sz w:val="17"/>
              </w:rPr>
              <w:t>Penanggung Jawab</w:t>
            </w:r>
          </w:p>
        </w:tc>
        <w:tc>
          <w:tcPr>
            <w:tcW w:type="dxa" w:w="2381"/>
            <w:shd w:fill="17365D"/>
            <w:vAlign w:val="center"/>
          </w:tcPr>
          <w:p>
            <w:pPr>
              <w:jc w:val="center"/>
            </w:pPr>
            <w:r>
              <w:rPr>
                <w:rFonts w:ascii="Aptos" w:hAnsi="Aptos" w:eastAsia="Aptos"/>
                <w:b/>
                <w:color w:val="FFFFFF"/>
                <w:sz w:val="17"/>
              </w:rPr>
              <w:t>Paraf atau Tanggal</w:t>
            </w:r>
          </w:p>
        </w:tc>
      </w:tr>
      <w:tr>
        <w:tc>
          <w:tcPr>
            <w:tcW w:type="dxa" w:w="2154"/>
            <w:vAlign w:val="top"/>
          </w:tcPr>
          <w:p>
            <w:pPr>
              <w:spacing w:after="20"/>
            </w:pPr>
            <w:r>
              <w:rPr>
                <w:rFonts w:ascii="Aptos" w:hAnsi="Aptos" w:eastAsia="Aptos"/>
                <w:sz w:val="17"/>
              </w:rPr>
              <w:t>Disusun oleh</w:t>
            </w:r>
          </w:p>
        </w:tc>
        <w:tc>
          <w:tcPr>
            <w:tcW w:type="dxa" w:w="4819"/>
            <w:vAlign w:val="top"/>
          </w:tcPr>
          <w:p>
            <w:pPr>
              <w:spacing w:after="20"/>
            </w:pPr>
            <w:r>
              <w:rPr>
                <w:rFonts w:ascii="Aptos" w:hAnsi="Aptos" w:eastAsia="Aptos"/>
                <w:sz w:val="17"/>
              </w:rPr>
              <w:t>Business Analyst dan Product Owner CIMS</w:t>
            </w:r>
          </w:p>
        </w:tc>
        <w:tc>
          <w:tcPr>
            <w:tcW w:type="dxa" w:w="2381"/>
            <w:vAlign w:val="top"/>
          </w:tcPr>
          <w:p>
            <w:pPr>
              <w:spacing w:after="20"/>
            </w:pPr>
            <w:r>
              <w:rPr>
                <w:rFonts w:ascii="Aptos" w:hAnsi="Aptos" w:eastAsia="Aptos"/>
                <w:sz w:val="17"/>
              </w:rPr>
              <w:t>Tanggal: __________</w:t>
            </w:r>
          </w:p>
        </w:tc>
      </w:tr>
      <w:tr>
        <w:tc>
          <w:tcPr>
            <w:tcW w:type="dxa" w:w="2154"/>
            <w:vAlign w:val="top"/>
            <w:shd w:fill="F8FAFC"/>
          </w:tcPr>
          <w:p>
            <w:pPr>
              <w:spacing w:after="20"/>
            </w:pPr>
            <w:r>
              <w:rPr>
                <w:rFonts w:ascii="Aptos" w:hAnsi="Aptos" w:eastAsia="Aptos"/>
                <w:sz w:val="17"/>
              </w:rPr>
              <w:t>Diverifikasi proses bisnis</w:t>
            </w:r>
          </w:p>
        </w:tc>
        <w:tc>
          <w:tcPr>
            <w:tcW w:type="dxa" w:w="4819"/>
            <w:vAlign w:val="top"/>
            <w:shd w:fill="F8FAFC"/>
          </w:tcPr>
          <w:p>
            <w:pPr>
              <w:spacing w:after="20"/>
            </w:pPr>
            <w:r>
              <w:rPr>
                <w:rFonts w:ascii="Aptos" w:hAnsi="Aptos" w:eastAsia="Aptos"/>
                <w:sz w:val="17"/>
              </w:rPr>
              <w:t>Perwakilan Pengadilan, Kejaksaan, dan Pemasyarakatan</w:t>
            </w:r>
          </w:p>
        </w:tc>
        <w:tc>
          <w:tcPr>
            <w:tcW w:type="dxa" w:w="2381"/>
            <w:vAlign w:val="top"/>
            <w:shd w:fill="F8FAFC"/>
          </w:tcPr>
          <w:p>
            <w:pPr>
              <w:spacing w:after="20"/>
            </w:pPr>
            <w:r>
              <w:rPr>
                <w:rFonts w:ascii="Aptos" w:hAnsi="Aptos" w:eastAsia="Aptos"/>
                <w:sz w:val="17"/>
              </w:rPr>
              <w:t>Tanggal: __________</w:t>
            </w:r>
          </w:p>
        </w:tc>
      </w:tr>
      <w:tr>
        <w:tc>
          <w:tcPr>
            <w:tcW w:type="dxa" w:w="2154"/>
            <w:vAlign w:val="top"/>
          </w:tcPr>
          <w:p>
            <w:pPr>
              <w:spacing w:after="20"/>
            </w:pPr>
            <w:r>
              <w:rPr>
                <w:rFonts w:ascii="Aptos" w:hAnsi="Aptos" w:eastAsia="Aptos"/>
                <w:sz w:val="17"/>
              </w:rPr>
              <w:t>Diverifikasi hukum</w:t>
            </w:r>
          </w:p>
        </w:tc>
        <w:tc>
          <w:tcPr>
            <w:tcW w:type="dxa" w:w="4819"/>
            <w:vAlign w:val="top"/>
          </w:tcPr>
          <w:p>
            <w:pPr>
              <w:spacing w:after="20"/>
            </w:pPr>
            <w:r>
              <w:rPr>
                <w:rFonts w:ascii="Aptos" w:hAnsi="Aptos" w:eastAsia="Aptos"/>
                <w:sz w:val="17"/>
              </w:rPr>
              <w:t>Unit hukum masing-masing instansi</w:t>
            </w:r>
          </w:p>
        </w:tc>
        <w:tc>
          <w:tcPr>
            <w:tcW w:type="dxa" w:w="2381"/>
            <w:vAlign w:val="top"/>
          </w:tcPr>
          <w:p>
            <w:pPr>
              <w:spacing w:after="20"/>
            </w:pPr>
            <w:r>
              <w:rPr>
                <w:rFonts w:ascii="Aptos" w:hAnsi="Aptos" w:eastAsia="Aptos"/>
                <w:sz w:val="17"/>
              </w:rPr>
              <w:t>Tanggal: __________</w:t>
            </w:r>
          </w:p>
        </w:tc>
      </w:tr>
      <w:tr>
        <w:tc>
          <w:tcPr>
            <w:tcW w:type="dxa" w:w="2154"/>
            <w:vAlign w:val="top"/>
            <w:shd w:fill="F8FAFC"/>
          </w:tcPr>
          <w:p>
            <w:pPr>
              <w:spacing w:after="20"/>
            </w:pPr>
            <w:r>
              <w:rPr>
                <w:rFonts w:ascii="Aptos" w:hAnsi="Aptos" w:eastAsia="Aptos"/>
                <w:sz w:val="17"/>
              </w:rPr>
              <w:t>Diverifikasi keamanan</w:t>
            </w:r>
          </w:p>
        </w:tc>
        <w:tc>
          <w:tcPr>
            <w:tcW w:type="dxa" w:w="4819"/>
            <w:vAlign w:val="top"/>
            <w:shd w:fill="F8FAFC"/>
          </w:tcPr>
          <w:p>
            <w:pPr>
              <w:spacing w:after="20"/>
            </w:pPr>
            <w:r>
              <w:rPr>
                <w:rFonts w:ascii="Aptos" w:hAnsi="Aptos" w:eastAsia="Aptos"/>
                <w:sz w:val="17"/>
              </w:rPr>
              <w:t>Pejabat atau Tim Keamanan Informasi</w:t>
            </w:r>
          </w:p>
        </w:tc>
        <w:tc>
          <w:tcPr>
            <w:tcW w:type="dxa" w:w="2381"/>
            <w:vAlign w:val="top"/>
            <w:shd w:fill="F8FAFC"/>
          </w:tcPr>
          <w:p>
            <w:pPr>
              <w:spacing w:after="20"/>
            </w:pPr>
            <w:r>
              <w:rPr>
                <w:rFonts w:ascii="Aptos" w:hAnsi="Aptos" w:eastAsia="Aptos"/>
                <w:sz w:val="17"/>
              </w:rPr>
              <w:t>Tanggal: __________</w:t>
            </w:r>
          </w:p>
        </w:tc>
      </w:tr>
      <w:tr>
        <w:tc>
          <w:tcPr>
            <w:tcW w:type="dxa" w:w="2154"/>
            <w:vAlign w:val="top"/>
          </w:tcPr>
          <w:p>
            <w:pPr>
              <w:spacing w:after="20"/>
            </w:pPr>
            <w:r>
              <w:rPr>
                <w:rFonts w:ascii="Aptos" w:hAnsi="Aptos" w:eastAsia="Aptos"/>
                <w:sz w:val="17"/>
              </w:rPr>
              <w:t>Disetujui</w:t>
            </w:r>
          </w:p>
        </w:tc>
        <w:tc>
          <w:tcPr>
            <w:tcW w:type="dxa" w:w="4819"/>
            <w:vAlign w:val="top"/>
          </w:tcPr>
          <w:p>
            <w:pPr>
              <w:spacing w:after="20"/>
            </w:pPr>
            <w:r>
              <w:rPr>
                <w:rFonts w:ascii="Aptos" w:hAnsi="Aptos" w:eastAsia="Aptos"/>
                <w:sz w:val="17"/>
              </w:rPr>
              <w:t>Product Owner dan pejabat berwenang lintas instansi</w:t>
            </w:r>
          </w:p>
        </w:tc>
        <w:tc>
          <w:tcPr>
            <w:tcW w:type="dxa" w:w="2381"/>
            <w:vAlign w:val="top"/>
          </w:tcPr>
          <w:p>
            <w:pPr>
              <w:spacing w:after="20"/>
            </w:pPr>
            <w:r>
              <w:rPr>
                <w:rFonts w:ascii="Aptos" w:hAnsi="Aptos" w:eastAsia="Aptos"/>
                <w:sz w:val="17"/>
              </w:rPr>
              <w:t>Tanggal: __________</w:t>
            </w:r>
          </w:p>
        </w:tc>
      </w:tr>
    </w:tbl>
    <w:p>
      <w:pPr>
        <w:spacing w:after="0"/>
      </w:pPr>
    </w:p>
    <w:tbl>
      <w:tblPr>
        <w:tblW w:type="auto" w:w="0"/>
        <w:jc w:val="center"/>
        <w:tblLook w:firstColumn="1" w:firstRow="1" w:lastColumn="0" w:lastRow="0" w:noHBand="0" w:noVBand="1" w:val="04A0"/>
      </w:tblPr>
      <w:tblGrid>
        <w:gridCol w:w="9866"/>
      </w:tblGrid>
      <w:tr>
        <w:tc>
          <w:tcPr>
            <w:tcW w:type="dxa" w:w="9866"/>
            <w:shd w:fill="D9EAF7"/>
            <w:tcBorders>
              <w:top w:val="single" w:sz="8" w:color="2F75B5"/>
              <w:left w:val="single" w:sz="12" w:color="2F75B5"/>
              <w:bottom w:val="single" w:sz="4" w:color="B7C9DA"/>
              <w:right w:val="single" w:sz="4" w:color="B7C9DA"/>
            </w:tcBorders>
          </w:tcPr>
          <w:p>
            <w:r>
              <w:rPr>
                <w:rFonts w:ascii="Aptos" w:hAnsi="Aptos" w:eastAsia="Aptos"/>
                <w:b/>
                <w:color w:val="17365D"/>
                <w:sz w:val="19"/>
              </w:rPr>
              <w:t>Status baseline</w:t>
              <w:br/>
            </w:r>
            <w:r>
              <w:rPr>
                <w:rFonts w:ascii="Aptos" w:hAnsi="Aptos" w:eastAsia="Aptos"/>
                <w:sz w:val="18"/>
              </w:rPr>
              <w:t>Dokumen menjadi acuan desain dan pengembangan setelah memperoleh persetujuan lintas instansi. Perubahan terhadap alur kewenangan, data sensitif, rekaman, atau AI wajib melalui change control.</w:t>
            </w:r>
          </w:p>
        </w:tc>
      </w:tr>
    </w:tbl>
    <w:p>
      <w:pPr>
        <w:spacing w:after="0"/>
      </w:pPr>
    </w:p>
    <w:p>
      <w:pPr>
        <w:pStyle w:val="Heading1"/>
      </w:pPr>
      <w:r>
        <w:t>1. Ringkasan Eksekutif</w:t>
      </w:r>
    </w:p>
    <w:p>
      <w:pPr>
        <w:spacing w:after="80"/>
      </w:pPr>
      <w:r>
        <w:rPr>
          <w:rFonts w:ascii="Aptos" w:hAnsi="Aptos" w:eastAsia="Aptos"/>
          <w:i w:val="0"/>
          <w:sz w:val="20"/>
        </w:rPr>
        <w:t>CIMS dikembangkan sebagai lapisan koordinasi dan orkestrasi persidangan pidana elektronik lintas instansi. Produk tidak diposisikan sebagai register perkara, pengganti Sistem Informasi Pengadilan, e-Berpadu, penetapan hakim, berita acara, putusan, atau repositori resmi. Nilai utama produk adalah memastikan proses yang berbasis kewenangan, bukti, kesiapan, keamanan, dan audit dapat berjalan konsisten.</w:t>
      </w:r>
    </w:p>
    <w:tbl>
      <w:tblPr>
        <w:tblW w:type="auto" w:w="0"/>
        <w:jc w:val="center"/>
        <w:tblLook w:firstColumn="1" w:firstRow="1" w:lastColumn="0" w:lastRow="0" w:noHBand="0" w:noVBand="1" w:val="04A0"/>
      </w:tblPr>
      <w:tblGrid>
        <w:gridCol w:w="9866"/>
      </w:tblGrid>
      <w:tr>
        <w:tc>
          <w:tcPr>
            <w:tcW w:type="dxa" w:w="9866"/>
            <w:shd w:fill="D9EAF7"/>
            <w:tcBorders>
              <w:top w:val="single" w:sz="8" w:color="2F75B5"/>
              <w:left w:val="single" w:sz="12" w:color="2F75B5"/>
              <w:bottom w:val="single" w:sz="4" w:color="B7C9DA"/>
              <w:right w:val="single" w:sz="4" w:color="B7C9DA"/>
            </w:tcBorders>
          </w:tcPr>
          <w:p>
            <w:r>
              <w:rPr>
                <w:rFonts w:ascii="Aptos" w:hAnsi="Aptos" w:eastAsia="Aptos"/>
                <w:b/>
                <w:color w:val="17365D"/>
                <w:sz w:val="19"/>
              </w:rPr>
              <w:t>Perubahan arah produk</w:t>
              <w:br/>
            </w:r>
            <w:r>
              <w:rPr>
                <w:rFonts w:ascii="Aptos" w:hAnsi="Aptos" w:eastAsia="Aptos"/>
                <w:sz w:val="18"/>
              </w:rPr>
              <w:t>MVP awal yang berfokus pada registrasi, smart scheduling, Zoom, reminder, dan dashboard harus diubah menjadi Compliance MVP. Penetapan hakim, pemberitahuan resmi, acknowledgment, readiness, identitas, insiden, audit, dan putusan banding menjadi fondasi.</w:t>
            </w:r>
          </w:p>
        </w:tc>
      </w:tr>
    </w:tbl>
    <w:p>
      <w:pPr>
        <w:spacing w:after="0"/>
      </w:pPr>
    </w:p>
    <w:p>
      <w:pPr>
        <w:pStyle w:val="Heading1"/>
      </w:pPr>
      <w:r>
        <w:t>2. Latar Belakang dan Masalah Bisnis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3118"/>
            <w:shd w:fill="17365D"/>
            <w:vAlign w:val="center"/>
          </w:tcPr>
          <w:p>
            <w:pPr>
              <w:jc w:val="center"/>
            </w:pPr>
            <w:r>
              <w:rPr>
                <w:rFonts w:ascii="Aptos" w:hAnsi="Aptos" w:eastAsia="Aptos"/>
                <w:b/>
                <w:color w:val="FFFFFF"/>
                <w:sz w:val="16"/>
              </w:rPr>
              <w:t>Masalah</w:t>
            </w:r>
          </w:p>
        </w:tc>
        <w:tc>
          <w:tcPr>
            <w:tcW w:type="dxa" w:w="3118"/>
            <w:shd w:fill="17365D"/>
            <w:vAlign w:val="center"/>
          </w:tcPr>
          <w:p>
            <w:pPr>
              <w:jc w:val="center"/>
            </w:pPr>
            <w:r>
              <w:rPr>
                <w:rFonts w:ascii="Aptos" w:hAnsi="Aptos" w:eastAsia="Aptos"/>
                <w:b/>
                <w:color w:val="FFFFFF"/>
                <w:sz w:val="16"/>
              </w:rPr>
              <w:t>Dampak</w:t>
            </w:r>
          </w:p>
        </w:tc>
        <w:tc>
          <w:tcPr>
            <w:tcW w:type="dxa" w:w="3685"/>
            <w:shd w:fill="17365D"/>
            <w:vAlign w:val="center"/>
          </w:tcPr>
          <w:p>
            <w:pPr>
              <w:jc w:val="center"/>
            </w:pPr>
            <w:r>
              <w:rPr>
                <w:rFonts w:ascii="Aptos" w:hAnsi="Aptos" w:eastAsia="Aptos"/>
                <w:b/>
                <w:color w:val="FFFFFF"/>
                <w:sz w:val="16"/>
              </w:rPr>
              <w:t>Kebutuhan Bisnis</w:t>
            </w:r>
          </w:p>
        </w:tc>
      </w:tr>
      <w:tr>
        <w:tc>
          <w:tcPr>
            <w:tcW w:type="dxa" w:w="3118"/>
            <w:vAlign w:val="top"/>
          </w:tcPr>
          <w:p>
            <w:pPr>
              <w:spacing w:after="20"/>
            </w:pPr>
            <w:r>
              <w:rPr>
                <w:rFonts w:ascii="Aptos" w:hAnsi="Aptos" w:eastAsia="Aptos"/>
                <w:sz w:val="16"/>
              </w:rPr>
              <w:t>Koordinasi lintas instansi tersebar pada telepon, pesan, email, dan surat.</w:t>
            </w:r>
          </w:p>
        </w:tc>
        <w:tc>
          <w:tcPr>
            <w:tcW w:type="dxa" w:w="3118"/>
            <w:vAlign w:val="top"/>
          </w:tcPr>
          <w:p>
            <w:pPr>
              <w:spacing w:after="20"/>
            </w:pPr>
            <w:r>
              <w:rPr>
                <w:rFonts w:ascii="Aptos" w:hAnsi="Aptos" w:eastAsia="Aptos"/>
                <w:sz w:val="16"/>
              </w:rPr>
              <w:t>Jadwal terlambat, bukti penerimaan tidak konsisten, dan eskalasi sulit dilacak.</w:t>
            </w:r>
          </w:p>
        </w:tc>
        <w:tc>
          <w:tcPr>
            <w:tcW w:type="dxa" w:w="3685"/>
            <w:vAlign w:val="top"/>
          </w:tcPr>
          <w:p>
            <w:pPr>
              <w:spacing w:after="20"/>
            </w:pPr>
            <w:r>
              <w:rPr>
                <w:rFonts w:ascii="Aptos" w:hAnsi="Aptos" w:eastAsia="Aptos"/>
                <w:sz w:val="16"/>
              </w:rPr>
              <w:t>Satu workflow dengan rantai pemberitahuan, acknowledgment, SLA, dan audit.</w:t>
            </w:r>
          </w:p>
        </w:tc>
      </w:tr>
      <w:tr>
        <w:tc>
          <w:tcPr>
            <w:tcW w:type="dxa" w:w="3118"/>
            <w:vAlign w:val="top"/>
            <w:shd w:fill="F8FAFC"/>
          </w:tcPr>
          <w:p>
            <w:pPr>
              <w:spacing w:after="20"/>
            </w:pPr>
            <w:r>
              <w:rPr>
                <w:rFonts w:ascii="Aptos" w:hAnsi="Aptos" w:eastAsia="Aptos"/>
                <w:sz w:val="16"/>
              </w:rPr>
              <w:t>Ruang virtual dapat dibuat hanya berdasarkan jadwal.</w:t>
            </w:r>
          </w:p>
        </w:tc>
        <w:tc>
          <w:tcPr>
            <w:tcW w:type="dxa" w:w="3118"/>
            <w:vAlign w:val="top"/>
            <w:shd w:fill="F8FAFC"/>
          </w:tcPr>
          <w:p>
            <w:pPr>
              <w:spacing w:after="20"/>
            </w:pPr>
            <w:r>
              <w:rPr>
                <w:rFonts w:ascii="Aptos" w:hAnsi="Aptos" w:eastAsia="Aptos"/>
                <w:sz w:val="16"/>
              </w:rPr>
              <w:t>Berisiko mendahului penetapan hakim atau keadaan yang dibenarkan.</w:t>
            </w:r>
          </w:p>
        </w:tc>
        <w:tc>
          <w:tcPr>
            <w:tcW w:type="dxa" w:w="3685"/>
            <w:vAlign w:val="top"/>
            <w:shd w:fill="F8FAFC"/>
          </w:tcPr>
          <w:p>
            <w:pPr>
              <w:spacing w:after="20"/>
            </w:pPr>
            <w:r>
              <w:rPr>
                <w:rFonts w:ascii="Aptos" w:hAnsi="Aptos" w:eastAsia="Aptos"/>
                <w:sz w:val="16"/>
              </w:rPr>
              <w:t>Hard gate penetapan hakim sebelum provisioning ruang.</w:t>
            </w:r>
          </w:p>
        </w:tc>
      </w:tr>
      <w:tr>
        <w:tc>
          <w:tcPr>
            <w:tcW w:type="dxa" w:w="3118"/>
            <w:vAlign w:val="top"/>
          </w:tcPr>
          <w:p>
            <w:pPr>
              <w:spacing w:after="20"/>
            </w:pPr>
            <w:r>
              <w:rPr>
                <w:rFonts w:ascii="Aptos" w:hAnsi="Aptos" w:eastAsia="Aptos"/>
                <w:sz w:val="16"/>
              </w:rPr>
              <w:t>Kesiapan hanya dinyatakan secara umum.</w:t>
            </w:r>
          </w:p>
        </w:tc>
        <w:tc>
          <w:tcPr>
            <w:tcW w:type="dxa" w:w="3118"/>
            <w:vAlign w:val="top"/>
          </w:tcPr>
          <w:p>
            <w:pPr>
              <w:spacing w:after="20"/>
            </w:pPr>
            <w:r>
              <w:rPr>
                <w:rFonts w:ascii="Aptos" w:hAnsi="Aptos" w:eastAsia="Aptos"/>
                <w:sz w:val="16"/>
              </w:rPr>
              <w:t>Gangguan perangkat, jaringan, ruangan, identitas, atau petugas baru diketahui saat sidang.</w:t>
            </w:r>
          </w:p>
        </w:tc>
        <w:tc>
          <w:tcPr>
            <w:tcW w:type="dxa" w:w="3685"/>
            <w:vAlign w:val="top"/>
          </w:tcPr>
          <w:p>
            <w:pPr>
              <w:spacing w:after="20"/>
            </w:pPr>
            <w:r>
              <w:rPr>
                <w:rFonts w:ascii="Aptos" w:hAnsi="Aptos" w:eastAsia="Aptos"/>
                <w:sz w:val="16"/>
              </w:rPr>
              <w:t>Checklist wajib per lokasi, eviden, uji teknis, dan status READY.</w:t>
            </w:r>
          </w:p>
        </w:tc>
      </w:tr>
      <w:tr>
        <w:tc>
          <w:tcPr>
            <w:tcW w:type="dxa" w:w="3118"/>
            <w:vAlign w:val="top"/>
            <w:shd w:fill="F8FAFC"/>
          </w:tcPr>
          <w:p>
            <w:pPr>
              <w:spacing w:after="20"/>
            </w:pPr>
            <w:r>
              <w:rPr>
                <w:rFonts w:ascii="Aptos" w:hAnsi="Aptos" w:eastAsia="Aptos"/>
                <w:sz w:val="16"/>
              </w:rPr>
              <w:t>Pemberitahuan resmi tidak dibedakan dari reminder.</w:t>
            </w:r>
          </w:p>
        </w:tc>
        <w:tc>
          <w:tcPr>
            <w:tcW w:type="dxa" w:w="3118"/>
            <w:vAlign w:val="top"/>
            <w:shd w:fill="F8FAFC"/>
          </w:tcPr>
          <w:p>
            <w:pPr>
              <w:spacing w:after="20"/>
            </w:pPr>
            <w:r>
              <w:rPr>
                <w:rFonts w:ascii="Aptos" w:hAnsi="Aptos" w:eastAsia="Aptos"/>
                <w:sz w:val="16"/>
              </w:rPr>
              <w:t>Sengketa apakah pihak telah menerima informasi.</w:t>
            </w:r>
          </w:p>
        </w:tc>
        <w:tc>
          <w:tcPr>
            <w:tcW w:type="dxa" w:w="3685"/>
            <w:vAlign w:val="top"/>
            <w:shd w:fill="F8FAFC"/>
          </w:tcPr>
          <w:p>
            <w:pPr>
              <w:spacing w:after="20"/>
            </w:pPr>
            <w:r>
              <w:rPr>
                <w:rFonts w:ascii="Aptos" w:hAnsi="Aptos" w:eastAsia="Aptos"/>
                <w:sz w:val="16"/>
              </w:rPr>
              <w:t>Official notice, proof of delivery, acknowledgment, retry, dan fallback.</w:t>
            </w:r>
          </w:p>
        </w:tc>
      </w:tr>
      <w:tr>
        <w:tc>
          <w:tcPr>
            <w:tcW w:type="dxa" w:w="3118"/>
            <w:vAlign w:val="top"/>
          </w:tcPr>
          <w:p>
            <w:pPr>
              <w:spacing w:after="20"/>
            </w:pPr>
            <w:r>
              <w:rPr>
                <w:rFonts w:ascii="Aptos" w:hAnsi="Aptos" w:eastAsia="Aptos"/>
                <w:sz w:val="16"/>
              </w:rPr>
              <w:t>Data dan dokumen berpotensi tersalin menjadi register baru.</w:t>
            </w:r>
          </w:p>
        </w:tc>
        <w:tc>
          <w:tcPr>
            <w:tcW w:type="dxa" w:w="3118"/>
            <w:vAlign w:val="top"/>
          </w:tcPr>
          <w:p>
            <w:pPr>
              <w:spacing w:after="20"/>
            </w:pPr>
            <w:r>
              <w:rPr>
                <w:rFonts w:ascii="Aptos" w:hAnsi="Aptos" w:eastAsia="Aptos"/>
                <w:sz w:val="16"/>
              </w:rPr>
              <w:t>Dual record dan perbedaan antara CIMS dengan sistem resmi.</w:t>
            </w:r>
          </w:p>
        </w:tc>
        <w:tc>
          <w:tcPr>
            <w:tcW w:type="dxa" w:w="3685"/>
            <w:vAlign w:val="top"/>
          </w:tcPr>
          <w:p>
            <w:pPr>
              <w:spacing w:after="20"/>
            </w:pPr>
            <w:r>
              <w:rPr>
                <w:rFonts w:ascii="Aptos" w:hAnsi="Aptos" w:eastAsia="Aptos"/>
                <w:sz w:val="16"/>
              </w:rPr>
              <w:t>Reference-first, metadata, hash, dan sinkronisasi.</w:t>
            </w:r>
          </w:p>
        </w:tc>
      </w:tr>
      <w:tr>
        <w:tc>
          <w:tcPr>
            <w:tcW w:type="dxa" w:w="3118"/>
            <w:vAlign w:val="top"/>
            <w:shd w:fill="F8FAFC"/>
          </w:tcPr>
          <w:p>
            <w:pPr>
              <w:spacing w:after="20"/>
            </w:pPr>
            <w:r>
              <w:rPr>
                <w:rFonts w:ascii="Aptos" w:hAnsi="Aptos" w:eastAsia="Aptos"/>
                <w:sz w:val="16"/>
              </w:rPr>
              <w:t>Gangguan, siber, dan kahar dicampur.</w:t>
            </w:r>
          </w:p>
        </w:tc>
        <w:tc>
          <w:tcPr>
            <w:tcW w:type="dxa" w:w="3118"/>
            <w:vAlign w:val="top"/>
            <w:shd w:fill="F8FAFC"/>
          </w:tcPr>
          <w:p>
            <w:pPr>
              <w:spacing w:after="20"/>
            </w:pPr>
            <w:r>
              <w:rPr>
                <w:rFonts w:ascii="Aptos" w:hAnsi="Aptos" w:eastAsia="Aptos"/>
                <w:sz w:val="16"/>
              </w:rPr>
              <w:t>SLA, otoritas, dan bukti penanganan tidak tepat.</w:t>
            </w:r>
          </w:p>
        </w:tc>
        <w:tc>
          <w:tcPr>
            <w:tcW w:type="dxa" w:w="3685"/>
            <w:vAlign w:val="top"/>
            <w:shd w:fill="F8FAFC"/>
          </w:tcPr>
          <w:p>
            <w:pPr>
              <w:spacing w:after="20"/>
            </w:pPr>
            <w:r>
              <w:rPr>
                <w:rFonts w:ascii="Aptos" w:hAnsi="Aptos" w:eastAsia="Aptos"/>
                <w:sz w:val="16"/>
              </w:rPr>
              <w:t>Incident domains terpisah dan jalur eskalasi berbeda.</w:t>
            </w:r>
          </w:p>
        </w:tc>
      </w:tr>
    </w:tbl>
    <w:p>
      <w:pPr>
        <w:spacing w:after="0"/>
      </w:pPr>
    </w:p>
    <w:p>
      <w:pPr>
        <w:pStyle w:val="Heading1"/>
      </w:pPr>
      <w:r>
        <w:t>3. Visi, Misi, dan Posisi Produk</w:t>
      </w:r>
    </w:p>
    <w:p>
      <w:pPr>
        <w:spacing w:after="80"/>
      </w:pPr>
      <w:r>
        <w:rPr>
          <w:rFonts w:ascii="Aptos" w:hAnsi="Aptos" w:eastAsia="Aptos"/>
          <w:i w:val="0"/>
          <w:sz w:val="20"/>
        </w:rPr>
        <w:t>Visi: Membangun koordinasi persidangan pidana elektronik yang sah, siap, aman, dapat dibuktikan, dan dapat diaudit lintas instansi.</w:t>
      </w:r>
    </w:p>
    <w:p>
      <w:pPr>
        <w:pStyle w:val="ListBullet"/>
      </w:pPr>
      <w:r>
        <w:rPr>
          <w:rFonts w:ascii="Aptos" w:hAnsi="Aptos" w:eastAsia="Aptos"/>
          <w:sz w:val="20"/>
        </w:rPr>
        <w:t>Mengorkestrasi proses tanpa mengambil alih kewenangan substantif.</w:t>
      </w:r>
    </w:p>
    <w:p>
      <w:pPr>
        <w:pStyle w:val="ListBullet"/>
      </w:pPr>
      <w:r>
        <w:rPr>
          <w:rFonts w:ascii="Aptos" w:hAnsi="Aptos" w:eastAsia="Aptos"/>
          <w:sz w:val="20"/>
        </w:rPr>
        <w:t>Mengurangi kegagalan koordinasi dan penundaan akibat ketidaksiapan.</w:t>
      </w:r>
    </w:p>
    <w:p>
      <w:pPr>
        <w:pStyle w:val="ListBullet"/>
      </w:pPr>
      <w:r>
        <w:rPr>
          <w:rFonts w:ascii="Aptos" w:hAnsi="Aptos" w:eastAsia="Aptos"/>
          <w:sz w:val="20"/>
        </w:rPr>
        <w:t>Menyediakan bukti operasional yang konsisten untuk setiap keputusan dan tindakan.</w:t>
      </w:r>
    </w:p>
    <w:p>
      <w:pPr>
        <w:pStyle w:val="ListBullet"/>
      </w:pPr>
      <w:r>
        <w:rPr>
          <w:rFonts w:ascii="Aptos" w:hAnsi="Aptos" w:eastAsia="Aptos"/>
          <w:sz w:val="20"/>
        </w:rPr>
        <w:t>Melindungi hak terdakwa, advokat, saksi, ahli, korban, dan pihak lain.</w:t>
      </w:r>
    </w:p>
    <w:p>
      <w:pPr>
        <w:pStyle w:val="ListBullet"/>
      </w:pPr>
      <w:r>
        <w:rPr>
          <w:rFonts w:ascii="Aptos" w:hAnsi="Aptos" w:eastAsia="Aptos"/>
          <w:sz w:val="20"/>
        </w:rPr>
        <w:t>Membangun fondasi integrasi, keamanan, serta analitik yang dapat dikembangkan bertahap.</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835"/>
            <w:shd w:fill="17365D"/>
            <w:vAlign w:val="center"/>
          </w:tcPr>
          <w:p>
            <w:pPr>
              <w:jc w:val="center"/>
            </w:pPr>
            <w:r>
              <w:rPr>
                <w:rFonts w:ascii="Aptos" w:hAnsi="Aptos" w:eastAsia="Aptos"/>
                <w:b/>
                <w:color w:val="FFFFFF"/>
                <w:sz w:val="17"/>
              </w:rPr>
              <w:t>Aspek</w:t>
            </w:r>
          </w:p>
        </w:tc>
        <w:tc>
          <w:tcPr>
            <w:tcW w:type="dxa" w:w="6803"/>
            <w:shd w:fill="17365D"/>
            <w:vAlign w:val="center"/>
          </w:tcPr>
          <w:p>
            <w:pPr>
              <w:jc w:val="center"/>
            </w:pPr>
            <w:r>
              <w:rPr>
                <w:rFonts w:ascii="Aptos" w:hAnsi="Aptos" w:eastAsia="Aptos"/>
                <w:b/>
                <w:color w:val="FFFFFF"/>
                <w:sz w:val="17"/>
              </w:rPr>
              <w:t>Posisi Produk</w:t>
            </w:r>
          </w:p>
        </w:tc>
      </w:tr>
      <w:tr>
        <w:tc>
          <w:tcPr>
            <w:tcW w:type="dxa" w:w="2835"/>
            <w:vAlign w:val="top"/>
          </w:tcPr>
          <w:p>
            <w:pPr>
              <w:spacing w:after="20"/>
            </w:pPr>
            <w:r>
              <w:rPr>
                <w:rFonts w:ascii="Aptos" w:hAnsi="Aptos" w:eastAsia="Aptos"/>
                <w:sz w:val="17"/>
              </w:rPr>
              <w:t>Nama fungsi</w:t>
            </w:r>
          </w:p>
        </w:tc>
        <w:tc>
          <w:tcPr>
            <w:tcW w:type="dxa" w:w="6803"/>
            <w:vAlign w:val="top"/>
          </w:tcPr>
          <w:p>
            <w:pPr>
              <w:spacing w:after="20"/>
            </w:pPr>
            <w:r>
              <w:rPr>
                <w:rFonts w:ascii="Aptos" w:hAnsi="Aptos" w:eastAsia="Aptos"/>
                <w:sz w:val="17"/>
              </w:rPr>
              <w:t>Court Coordination and Electronic Hearing Orchestration</w:t>
            </w:r>
          </w:p>
        </w:tc>
      </w:tr>
      <w:tr>
        <w:tc>
          <w:tcPr>
            <w:tcW w:type="dxa" w:w="2835"/>
            <w:vAlign w:val="top"/>
            <w:shd w:fill="F8FAFC"/>
          </w:tcPr>
          <w:p>
            <w:pPr>
              <w:spacing w:after="20"/>
            </w:pPr>
            <w:r>
              <w:rPr>
                <w:rFonts w:ascii="Aptos" w:hAnsi="Aptos" w:eastAsia="Aptos"/>
                <w:sz w:val="17"/>
              </w:rPr>
              <w:t>Kedudukan</w:t>
            </w:r>
          </w:p>
        </w:tc>
        <w:tc>
          <w:tcPr>
            <w:tcW w:type="dxa" w:w="6803"/>
            <w:vAlign w:val="top"/>
            <w:shd w:fill="F8FAFC"/>
          </w:tcPr>
          <w:p>
            <w:pPr>
              <w:spacing w:after="20"/>
            </w:pPr>
            <w:r>
              <w:rPr>
                <w:rFonts w:ascii="Aptos" w:hAnsi="Aptos" w:eastAsia="Aptos"/>
                <w:sz w:val="17"/>
              </w:rPr>
              <w:t>Lapisan koordinasi, orkestrasi, monitoring, dan audit</w:t>
            </w:r>
          </w:p>
        </w:tc>
      </w:tr>
      <w:tr>
        <w:tc>
          <w:tcPr>
            <w:tcW w:type="dxa" w:w="2835"/>
            <w:vAlign w:val="top"/>
          </w:tcPr>
          <w:p>
            <w:pPr>
              <w:spacing w:after="20"/>
            </w:pPr>
            <w:r>
              <w:rPr>
                <w:rFonts w:ascii="Aptos" w:hAnsi="Aptos" w:eastAsia="Aptos"/>
                <w:sz w:val="17"/>
              </w:rPr>
              <w:t>Sumber data hukum</w:t>
            </w:r>
          </w:p>
        </w:tc>
        <w:tc>
          <w:tcPr>
            <w:tcW w:type="dxa" w:w="6803"/>
            <w:vAlign w:val="top"/>
          </w:tcPr>
          <w:p>
            <w:pPr>
              <w:spacing w:after="20"/>
            </w:pPr>
            <w:r>
              <w:rPr>
                <w:rFonts w:ascii="Aptos" w:hAnsi="Aptos" w:eastAsia="Aptos"/>
                <w:sz w:val="17"/>
              </w:rPr>
              <w:t>Sistem Informasi Pengadilan, e-Berpadu, register, dan repositori resmi</w:t>
            </w:r>
          </w:p>
        </w:tc>
      </w:tr>
      <w:tr>
        <w:tc>
          <w:tcPr>
            <w:tcW w:type="dxa" w:w="2835"/>
            <w:vAlign w:val="top"/>
            <w:shd w:fill="F8FAFC"/>
          </w:tcPr>
          <w:p>
            <w:pPr>
              <w:spacing w:after="20"/>
            </w:pPr>
            <w:r>
              <w:rPr>
                <w:rFonts w:ascii="Aptos" w:hAnsi="Aptos" w:eastAsia="Aptos"/>
                <w:sz w:val="17"/>
              </w:rPr>
              <w:t>Data utama CIMS</w:t>
            </w:r>
          </w:p>
        </w:tc>
        <w:tc>
          <w:tcPr>
            <w:tcW w:type="dxa" w:w="6803"/>
            <w:vAlign w:val="top"/>
            <w:shd w:fill="F8FAFC"/>
          </w:tcPr>
          <w:p>
            <w:pPr>
              <w:spacing w:after="20"/>
            </w:pPr>
            <w:r>
              <w:rPr>
                <w:rFonts w:ascii="Aptos" w:hAnsi="Aptos" w:eastAsia="Aptos"/>
                <w:sz w:val="17"/>
              </w:rPr>
              <w:t>Metadata, status, referensi, penetapan, acknowledgment, checklist, kehadiran, insiden, hash, dan audit</w:t>
            </w:r>
          </w:p>
        </w:tc>
      </w:tr>
      <w:tr>
        <w:tc>
          <w:tcPr>
            <w:tcW w:type="dxa" w:w="2835"/>
            <w:vAlign w:val="top"/>
          </w:tcPr>
          <w:p>
            <w:pPr>
              <w:spacing w:after="20"/>
            </w:pPr>
            <w:r>
              <w:rPr>
                <w:rFonts w:ascii="Aptos" w:hAnsi="Aptos" w:eastAsia="Aptos"/>
                <w:sz w:val="17"/>
              </w:rPr>
              <w:t>Platform video</w:t>
            </w:r>
          </w:p>
        </w:tc>
        <w:tc>
          <w:tcPr>
            <w:tcW w:type="dxa" w:w="6803"/>
            <w:vAlign w:val="top"/>
          </w:tcPr>
          <w:p>
            <w:pPr>
              <w:spacing w:after="20"/>
            </w:pPr>
            <w:r>
              <w:rPr>
                <w:rFonts w:ascii="Aptos" w:hAnsi="Aptos" w:eastAsia="Aptos"/>
                <w:sz w:val="17"/>
              </w:rPr>
              <w:t>Provider-agnostic adapter</w:t>
            </w:r>
          </w:p>
        </w:tc>
      </w:tr>
      <w:tr>
        <w:tc>
          <w:tcPr>
            <w:tcW w:type="dxa" w:w="2835"/>
            <w:vAlign w:val="top"/>
            <w:shd w:fill="F8FAFC"/>
          </w:tcPr>
          <w:p>
            <w:pPr>
              <w:spacing w:after="20"/>
            </w:pPr>
            <w:r>
              <w:rPr>
                <w:rFonts w:ascii="Aptos" w:hAnsi="Aptos" w:eastAsia="Aptos"/>
                <w:sz w:val="17"/>
              </w:rPr>
              <w:t>AI</w:t>
            </w:r>
          </w:p>
        </w:tc>
        <w:tc>
          <w:tcPr>
            <w:tcW w:type="dxa" w:w="6803"/>
            <w:vAlign w:val="top"/>
            <w:shd w:fill="F8FAFC"/>
          </w:tcPr>
          <w:p>
            <w:pPr>
              <w:spacing w:after="20"/>
            </w:pPr>
            <w:r>
              <w:rPr>
                <w:rFonts w:ascii="Aptos" w:hAnsi="Aptos" w:eastAsia="Aptos"/>
                <w:sz w:val="17"/>
              </w:rPr>
              <w:t>Bantuan administratif dengan human review, bukan sumber hukum atau pengambil keputusan</w:t>
            </w:r>
          </w:p>
        </w:tc>
      </w:tr>
    </w:tbl>
    <w:p>
      <w:pPr>
        <w:spacing w:after="0"/>
      </w:pPr>
    </w:p>
    <w:p>
      <w:pPr>
        <w:pStyle w:val="Heading1"/>
      </w:pPr>
      <w:r>
        <w:t>4. Tujuan Bisnis dan Indikator</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134"/>
            <w:shd w:fill="17365D"/>
            <w:vAlign w:val="center"/>
          </w:tcPr>
          <w:p>
            <w:pPr>
              <w:jc w:val="center"/>
            </w:pPr>
            <w:r>
              <w:rPr>
                <w:rFonts w:ascii="Aptos" w:hAnsi="Aptos" w:eastAsia="Aptos"/>
                <w:b/>
                <w:color w:val="FFFFFF"/>
                <w:sz w:val="15"/>
              </w:rPr>
              <w:t>ID</w:t>
            </w:r>
          </w:p>
        </w:tc>
        <w:tc>
          <w:tcPr>
            <w:tcW w:type="dxa" w:w="2835"/>
            <w:shd w:fill="17365D"/>
            <w:vAlign w:val="center"/>
          </w:tcPr>
          <w:p>
            <w:pPr>
              <w:jc w:val="center"/>
            </w:pPr>
            <w:r>
              <w:rPr>
                <w:rFonts w:ascii="Aptos" w:hAnsi="Aptos" w:eastAsia="Aptos"/>
                <w:b/>
                <w:color w:val="FFFFFF"/>
                <w:sz w:val="15"/>
              </w:rPr>
              <w:t>Tujuan</w:t>
            </w:r>
          </w:p>
        </w:tc>
        <w:tc>
          <w:tcPr>
            <w:tcW w:type="dxa" w:w="4535"/>
            <w:shd w:fill="17365D"/>
            <w:vAlign w:val="center"/>
          </w:tcPr>
          <w:p>
            <w:pPr>
              <w:jc w:val="center"/>
            </w:pPr>
            <w:r>
              <w:rPr>
                <w:rFonts w:ascii="Aptos" w:hAnsi="Aptos" w:eastAsia="Aptos"/>
                <w:b/>
                <w:color w:val="FFFFFF"/>
                <w:sz w:val="15"/>
              </w:rPr>
              <w:t>Indikator atau Target Usulan</w:t>
            </w:r>
          </w:p>
        </w:tc>
        <w:tc>
          <w:tcPr>
            <w:tcW w:type="dxa" w:w="1701"/>
            <w:shd w:fill="17365D"/>
            <w:vAlign w:val="center"/>
          </w:tcPr>
          <w:p>
            <w:pPr>
              <w:jc w:val="center"/>
            </w:pPr>
            <w:r>
              <w:rPr>
                <w:rFonts w:ascii="Aptos" w:hAnsi="Aptos" w:eastAsia="Aptos"/>
                <w:b/>
                <w:color w:val="FFFFFF"/>
                <w:sz w:val="15"/>
              </w:rPr>
              <w:t>Status</w:t>
            </w:r>
          </w:p>
        </w:tc>
      </w:tr>
      <w:tr>
        <w:tc>
          <w:tcPr>
            <w:tcW w:type="dxa" w:w="1134"/>
            <w:vAlign w:val="top"/>
          </w:tcPr>
          <w:p>
            <w:pPr>
              <w:spacing w:after="20"/>
            </w:pPr>
            <w:r>
              <w:rPr>
                <w:rFonts w:ascii="Aptos" w:hAnsi="Aptos" w:eastAsia="Aptos"/>
                <w:sz w:val="15"/>
              </w:rPr>
              <w:t>BO-01</w:t>
            </w:r>
          </w:p>
        </w:tc>
        <w:tc>
          <w:tcPr>
            <w:tcW w:type="dxa" w:w="2835"/>
            <w:vAlign w:val="top"/>
          </w:tcPr>
          <w:p>
            <w:pPr>
              <w:spacing w:after="20"/>
            </w:pPr>
            <w:r>
              <w:rPr>
                <w:rFonts w:ascii="Aptos" w:hAnsi="Aptos" w:eastAsia="Aptos"/>
                <w:sz w:val="15"/>
              </w:rPr>
              <w:t>Menjamin legal gate</w:t>
            </w:r>
          </w:p>
        </w:tc>
        <w:tc>
          <w:tcPr>
            <w:tcW w:type="dxa" w:w="4535"/>
            <w:vAlign w:val="top"/>
          </w:tcPr>
          <w:p>
            <w:pPr>
              <w:spacing w:after="20"/>
            </w:pPr>
            <w:r>
              <w:rPr>
                <w:rFonts w:ascii="Aptos" w:hAnsi="Aptos" w:eastAsia="Aptos"/>
                <w:sz w:val="15"/>
              </w:rPr>
              <w:t>100% provisioning ruang memiliki penetapan sah.</w:t>
            </w:r>
          </w:p>
        </w:tc>
        <w:tc>
          <w:tcPr>
            <w:tcW w:type="dxa" w:w="1701"/>
            <w:vAlign w:val="top"/>
          </w:tcPr>
          <w:p>
            <w:pPr>
              <w:spacing w:after="20"/>
            </w:pPr>
            <w:r>
              <w:rPr>
                <w:rFonts w:ascii="Aptos" w:hAnsi="Aptos" w:eastAsia="Aptos"/>
                <w:sz w:val="15"/>
              </w:rPr>
              <w:t>Wajib</w:t>
            </w:r>
          </w:p>
        </w:tc>
      </w:tr>
      <w:tr>
        <w:tc>
          <w:tcPr>
            <w:tcW w:type="dxa" w:w="1134"/>
            <w:vAlign w:val="top"/>
            <w:shd w:fill="F8FAFC"/>
          </w:tcPr>
          <w:p>
            <w:pPr>
              <w:spacing w:after="20"/>
            </w:pPr>
            <w:r>
              <w:rPr>
                <w:rFonts w:ascii="Aptos" w:hAnsi="Aptos" w:eastAsia="Aptos"/>
                <w:sz w:val="15"/>
              </w:rPr>
              <w:t>BO-02</w:t>
            </w:r>
          </w:p>
        </w:tc>
        <w:tc>
          <w:tcPr>
            <w:tcW w:type="dxa" w:w="2835"/>
            <w:vAlign w:val="top"/>
            <w:shd w:fill="F8FAFC"/>
          </w:tcPr>
          <w:p>
            <w:pPr>
              <w:spacing w:after="20"/>
            </w:pPr>
            <w:r>
              <w:rPr>
                <w:rFonts w:ascii="Aptos" w:hAnsi="Aptos" w:eastAsia="Aptos"/>
                <w:sz w:val="15"/>
              </w:rPr>
              <w:t>Meningkatkan keterlacakan pemberitahuan</w:t>
            </w:r>
          </w:p>
        </w:tc>
        <w:tc>
          <w:tcPr>
            <w:tcW w:type="dxa" w:w="4535"/>
            <w:vAlign w:val="top"/>
            <w:shd w:fill="F8FAFC"/>
          </w:tcPr>
          <w:p>
            <w:pPr>
              <w:spacing w:after="20"/>
            </w:pPr>
            <w:r>
              <w:rPr>
                <w:rFonts w:ascii="Aptos" w:hAnsi="Aptos" w:eastAsia="Aptos"/>
                <w:sz w:val="15"/>
              </w:rPr>
              <w:t>100% pemberitahuan resmi memiliki sender, recipient, reference, timestamp, delivery status, dan acknowledgment atau fallback.</w:t>
            </w:r>
          </w:p>
        </w:tc>
        <w:tc>
          <w:tcPr>
            <w:tcW w:type="dxa" w:w="1701"/>
            <w:vAlign w:val="top"/>
            <w:shd w:fill="F8FAFC"/>
          </w:tcPr>
          <w:p>
            <w:pPr>
              <w:spacing w:after="20"/>
            </w:pPr>
            <w:r>
              <w:rPr>
                <w:rFonts w:ascii="Aptos" w:hAnsi="Aptos" w:eastAsia="Aptos"/>
                <w:sz w:val="15"/>
              </w:rPr>
              <w:t>Wajib</w:t>
            </w:r>
          </w:p>
        </w:tc>
      </w:tr>
      <w:tr>
        <w:tc>
          <w:tcPr>
            <w:tcW w:type="dxa" w:w="1134"/>
            <w:vAlign w:val="top"/>
          </w:tcPr>
          <w:p>
            <w:pPr>
              <w:spacing w:after="20"/>
            </w:pPr>
            <w:r>
              <w:rPr>
                <w:rFonts w:ascii="Aptos" w:hAnsi="Aptos" w:eastAsia="Aptos"/>
                <w:sz w:val="15"/>
              </w:rPr>
              <w:t>BO-03</w:t>
            </w:r>
          </w:p>
        </w:tc>
        <w:tc>
          <w:tcPr>
            <w:tcW w:type="dxa" w:w="2835"/>
            <w:vAlign w:val="top"/>
          </w:tcPr>
          <w:p>
            <w:pPr>
              <w:spacing w:after="20"/>
            </w:pPr>
            <w:r>
              <w:rPr>
                <w:rFonts w:ascii="Aptos" w:hAnsi="Aptos" w:eastAsia="Aptos"/>
                <w:sz w:val="15"/>
              </w:rPr>
              <w:t>Meningkatkan kesiapan sebelum sidang</w:t>
            </w:r>
          </w:p>
        </w:tc>
        <w:tc>
          <w:tcPr>
            <w:tcW w:type="dxa" w:w="4535"/>
            <w:vAlign w:val="top"/>
          </w:tcPr>
          <w:p>
            <w:pPr>
              <w:spacing w:after="20"/>
            </w:pPr>
            <w:r>
              <w:rPr>
                <w:rFonts w:ascii="Aptos" w:hAnsi="Aptos" w:eastAsia="Aptos"/>
                <w:sz w:val="15"/>
              </w:rPr>
              <w:t>100% sidang berstatus READY setelah item wajib lulus.</w:t>
            </w:r>
          </w:p>
        </w:tc>
        <w:tc>
          <w:tcPr>
            <w:tcW w:type="dxa" w:w="1701"/>
            <w:vAlign w:val="top"/>
          </w:tcPr>
          <w:p>
            <w:pPr>
              <w:spacing w:after="20"/>
            </w:pPr>
            <w:r>
              <w:rPr>
                <w:rFonts w:ascii="Aptos" w:hAnsi="Aptos" w:eastAsia="Aptos"/>
                <w:sz w:val="15"/>
              </w:rPr>
              <w:t>Wajib</w:t>
            </w:r>
          </w:p>
        </w:tc>
      </w:tr>
      <w:tr>
        <w:tc>
          <w:tcPr>
            <w:tcW w:type="dxa" w:w="1134"/>
            <w:vAlign w:val="top"/>
            <w:shd w:fill="F8FAFC"/>
          </w:tcPr>
          <w:p>
            <w:pPr>
              <w:spacing w:after="20"/>
            </w:pPr>
            <w:r>
              <w:rPr>
                <w:rFonts w:ascii="Aptos" w:hAnsi="Aptos" w:eastAsia="Aptos"/>
                <w:sz w:val="15"/>
              </w:rPr>
              <w:t>BO-04</w:t>
            </w:r>
          </w:p>
        </w:tc>
        <w:tc>
          <w:tcPr>
            <w:tcW w:type="dxa" w:w="2835"/>
            <w:vAlign w:val="top"/>
            <w:shd w:fill="F8FAFC"/>
          </w:tcPr>
          <w:p>
            <w:pPr>
              <w:spacing w:after="20"/>
            </w:pPr>
            <w:r>
              <w:rPr>
                <w:rFonts w:ascii="Aptos" w:hAnsi="Aptos" w:eastAsia="Aptos"/>
                <w:sz w:val="15"/>
              </w:rPr>
              <w:t>Mengurangi kegagalan teknis yang terlambat diketahui</w:t>
            </w:r>
          </w:p>
        </w:tc>
        <w:tc>
          <w:tcPr>
            <w:tcW w:type="dxa" w:w="4535"/>
            <w:vAlign w:val="top"/>
            <w:shd w:fill="F8FAFC"/>
          </w:tcPr>
          <w:p>
            <w:pPr>
              <w:spacing w:after="20"/>
            </w:pPr>
            <w:r>
              <w:rPr>
                <w:rFonts w:ascii="Aptos" w:hAnsi="Aptos" w:eastAsia="Aptos"/>
                <w:sz w:val="15"/>
              </w:rPr>
              <w:t>Seluruh lokasi menyelesaikan uji teknis sebelum batas waktu yang dikonfigurasi.</w:t>
            </w:r>
          </w:p>
        </w:tc>
        <w:tc>
          <w:tcPr>
            <w:tcW w:type="dxa" w:w="1701"/>
            <w:vAlign w:val="top"/>
            <w:shd w:fill="F8FAFC"/>
          </w:tcPr>
          <w:p>
            <w:pPr>
              <w:spacing w:after="20"/>
            </w:pPr>
            <w:r>
              <w:rPr>
                <w:rFonts w:ascii="Aptos" w:hAnsi="Aptos" w:eastAsia="Aptos"/>
                <w:sz w:val="15"/>
              </w:rPr>
              <w:t>Target diatur SLA</w:t>
            </w:r>
          </w:p>
        </w:tc>
      </w:tr>
      <w:tr>
        <w:tc>
          <w:tcPr>
            <w:tcW w:type="dxa" w:w="1134"/>
            <w:vAlign w:val="top"/>
          </w:tcPr>
          <w:p>
            <w:pPr>
              <w:spacing w:after="20"/>
            </w:pPr>
            <w:r>
              <w:rPr>
                <w:rFonts w:ascii="Aptos" w:hAnsi="Aptos" w:eastAsia="Aptos"/>
                <w:sz w:val="15"/>
              </w:rPr>
              <w:t>BO-05</w:t>
            </w:r>
          </w:p>
        </w:tc>
        <w:tc>
          <w:tcPr>
            <w:tcW w:type="dxa" w:w="2835"/>
            <w:vAlign w:val="top"/>
          </w:tcPr>
          <w:p>
            <w:pPr>
              <w:spacing w:after="20"/>
            </w:pPr>
            <w:r>
              <w:rPr>
                <w:rFonts w:ascii="Aptos" w:hAnsi="Aptos" w:eastAsia="Aptos"/>
                <w:sz w:val="15"/>
              </w:rPr>
              <w:t>Menjamin akuntabilitas lintas instansi</w:t>
            </w:r>
          </w:p>
        </w:tc>
        <w:tc>
          <w:tcPr>
            <w:tcW w:type="dxa" w:w="4535"/>
            <w:vAlign w:val="top"/>
          </w:tcPr>
          <w:p>
            <w:pPr>
              <w:spacing w:after="20"/>
            </w:pPr>
            <w:r>
              <w:rPr>
                <w:rFonts w:ascii="Aptos" w:hAnsi="Aptos" w:eastAsia="Aptos"/>
                <w:sz w:val="15"/>
              </w:rPr>
              <w:t>100% tindakan istimewa memiliki actor, role, unit, reason, time, dan correlation ID.</w:t>
            </w:r>
          </w:p>
        </w:tc>
        <w:tc>
          <w:tcPr>
            <w:tcW w:type="dxa" w:w="1701"/>
            <w:vAlign w:val="top"/>
          </w:tcPr>
          <w:p>
            <w:pPr>
              <w:spacing w:after="20"/>
            </w:pPr>
            <w:r>
              <w:rPr>
                <w:rFonts w:ascii="Aptos" w:hAnsi="Aptos" w:eastAsia="Aptos"/>
                <w:sz w:val="15"/>
              </w:rPr>
              <w:t>Wajib</w:t>
            </w:r>
          </w:p>
        </w:tc>
      </w:tr>
      <w:tr>
        <w:tc>
          <w:tcPr>
            <w:tcW w:type="dxa" w:w="1134"/>
            <w:vAlign w:val="top"/>
            <w:shd w:fill="F8FAFC"/>
          </w:tcPr>
          <w:p>
            <w:pPr>
              <w:spacing w:after="20"/>
            </w:pPr>
            <w:r>
              <w:rPr>
                <w:rFonts w:ascii="Aptos" w:hAnsi="Aptos" w:eastAsia="Aptos"/>
                <w:sz w:val="15"/>
              </w:rPr>
              <w:t>BO-06</w:t>
            </w:r>
          </w:p>
        </w:tc>
        <w:tc>
          <w:tcPr>
            <w:tcW w:type="dxa" w:w="2835"/>
            <w:vAlign w:val="top"/>
            <w:shd w:fill="F8FAFC"/>
          </w:tcPr>
          <w:p>
            <w:pPr>
              <w:spacing w:after="20"/>
            </w:pPr>
            <w:r>
              <w:rPr>
                <w:rFonts w:ascii="Aptos" w:hAnsi="Aptos" w:eastAsia="Aptos"/>
                <w:sz w:val="15"/>
              </w:rPr>
              <w:t>Mendukung putusan banding</w:t>
            </w:r>
          </w:p>
        </w:tc>
        <w:tc>
          <w:tcPr>
            <w:tcW w:type="dxa" w:w="4535"/>
            <w:vAlign w:val="top"/>
            <w:shd w:fill="F8FAFC"/>
          </w:tcPr>
          <w:p>
            <w:pPr>
              <w:spacing w:after="20"/>
            </w:pPr>
            <w:r>
              <w:rPr>
                <w:rFonts w:ascii="Aptos" w:hAnsi="Aptos" w:eastAsia="Aptos"/>
                <w:sz w:val="15"/>
              </w:rPr>
              <w:t>Workflow mencatat notice chain, kehadiran, petikan hari yang sama, transmisi tujuh hari, dan tenggang kasasi.</w:t>
            </w:r>
          </w:p>
        </w:tc>
        <w:tc>
          <w:tcPr>
            <w:tcW w:type="dxa" w:w="1701"/>
            <w:vAlign w:val="top"/>
            <w:shd w:fill="F8FAFC"/>
          </w:tcPr>
          <w:p>
            <w:pPr>
              <w:spacing w:after="20"/>
            </w:pPr>
            <w:r>
              <w:rPr>
                <w:rFonts w:ascii="Aptos" w:hAnsi="Aptos" w:eastAsia="Aptos"/>
                <w:sz w:val="15"/>
              </w:rPr>
              <w:t>Wajib</w:t>
            </w:r>
          </w:p>
        </w:tc>
      </w:tr>
      <w:tr>
        <w:tc>
          <w:tcPr>
            <w:tcW w:type="dxa" w:w="1134"/>
            <w:vAlign w:val="top"/>
          </w:tcPr>
          <w:p>
            <w:pPr>
              <w:spacing w:after="20"/>
            </w:pPr>
            <w:r>
              <w:rPr>
                <w:rFonts w:ascii="Aptos" w:hAnsi="Aptos" w:eastAsia="Aptos"/>
                <w:sz w:val="15"/>
              </w:rPr>
              <w:t>BO-07</w:t>
            </w:r>
          </w:p>
        </w:tc>
        <w:tc>
          <w:tcPr>
            <w:tcW w:type="dxa" w:w="2835"/>
            <w:vAlign w:val="top"/>
          </w:tcPr>
          <w:p>
            <w:pPr>
              <w:spacing w:after="20"/>
            </w:pPr>
            <w:r>
              <w:rPr>
                <w:rFonts w:ascii="Aptos" w:hAnsi="Aptos" w:eastAsia="Aptos"/>
                <w:sz w:val="15"/>
              </w:rPr>
              <w:t>Menjaga keamanan dan kontinuitas</w:t>
            </w:r>
          </w:p>
        </w:tc>
        <w:tc>
          <w:tcPr>
            <w:tcW w:type="dxa" w:w="4535"/>
            <w:vAlign w:val="top"/>
          </w:tcPr>
          <w:p>
            <w:pPr>
              <w:spacing w:after="20"/>
            </w:pPr>
            <w:r>
              <w:rPr>
                <w:rFonts w:ascii="Aptos" w:hAnsi="Aptos" w:eastAsia="Aptos"/>
                <w:sz w:val="15"/>
              </w:rPr>
              <w:t>Insiden siber dan keadaan kahar mempunyai timer, bukti, dan eskalasi terpisah.</w:t>
            </w:r>
          </w:p>
        </w:tc>
        <w:tc>
          <w:tcPr>
            <w:tcW w:type="dxa" w:w="1701"/>
            <w:vAlign w:val="top"/>
          </w:tcPr>
          <w:p>
            <w:pPr>
              <w:spacing w:after="20"/>
            </w:pPr>
            <w:r>
              <w:rPr>
                <w:rFonts w:ascii="Aptos" w:hAnsi="Aptos" w:eastAsia="Aptos"/>
                <w:sz w:val="15"/>
              </w:rPr>
              <w:t>Wajib</w:t>
            </w:r>
          </w:p>
        </w:tc>
      </w:tr>
      <w:tr>
        <w:tc>
          <w:tcPr>
            <w:tcW w:type="dxa" w:w="1134"/>
            <w:vAlign w:val="top"/>
            <w:shd w:fill="F8FAFC"/>
          </w:tcPr>
          <w:p>
            <w:pPr>
              <w:spacing w:after="20"/>
            </w:pPr>
            <w:r>
              <w:rPr>
                <w:rFonts w:ascii="Aptos" w:hAnsi="Aptos" w:eastAsia="Aptos"/>
                <w:sz w:val="15"/>
              </w:rPr>
              <w:t>BO-08</w:t>
            </w:r>
          </w:p>
        </w:tc>
        <w:tc>
          <w:tcPr>
            <w:tcW w:type="dxa" w:w="2835"/>
            <w:vAlign w:val="top"/>
            <w:shd w:fill="F8FAFC"/>
          </w:tcPr>
          <w:p>
            <w:pPr>
              <w:spacing w:after="20"/>
            </w:pPr>
            <w:r>
              <w:rPr>
                <w:rFonts w:ascii="Aptos" w:hAnsi="Aptos" w:eastAsia="Aptos"/>
                <w:sz w:val="15"/>
              </w:rPr>
              <w:t>Membangun fondasi integrasi</w:t>
            </w:r>
          </w:p>
        </w:tc>
        <w:tc>
          <w:tcPr>
            <w:tcW w:type="dxa" w:w="4535"/>
            <w:vAlign w:val="top"/>
            <w:shd w:fill="F8FAFC"/>
          </w:tcPr>
          <w:p>
            <w:pPr>
              <w:spacing w:after="20"/>
            </w:pPr>
            <w:r>
              <w:rPr>
                <w:rFonts w:ascii="Aptos" w:hAnsi="Aptos" w:eastAsia="Aptos"/>
                <w:sz w:val="15"/>
              </w:rPr>
              <w:t>Setiap perkara dan dokumen memiliki official system reference.</w:t>
            </w:r>
          </w:p>
        </w:tc>
        <w:tc>
          <w:tcPr>
            <w:tcW w:type="dxa" w:w="1701"/>
            <w:vAlign w:val="top"/>
            <w:shd w:fill="F8FAFC"/>
          </w:tcPr>
          <w:p>
            <w:pPr>
              <w:spacing w:after="20"/>
            </w:pPr>
            <w:r>
              <w:rPr>
                <w:rFonts w:ascii="Aptos" w:hAnsi="Aptos" w:eastAsia="Aptos"/>
                <w:sz w:val="15"/>
              </w:rPr>
              <w:t>Wajib</w:t>
            </w:r>
          </w:p>
        </w:tc>
      </w:tr>
    </w:tbl>
    <w:p>
      <w:pPr>
        <w:spacing w:after="0"/>
      </w:pPr>
    </w:p>
    <w:tbl>
      <w:tblPr>
        <w:tblW w:type="auto" w:w="0"/>
        <w:jc w:val="center"/>
        <w:tblLook w:firstColumn="1" w:firstRow="1" w:lastColumn="0" w:lastRow="0" w:noHBand="0" w:noVBand="1" w:val="04A0"/>
      </w:tblPr>
      <w:tblGrid>
        <w:gridCol w:w="9866"/>
      </w:tblGrid>
      <w:tr>
        <w:tc>
          <w:tcPr>
            <w:tcW w:type="dxa" w:w="9866"/>
            <w:shd w:fill="F4E8B6"/>
            <w:tcBorders>
              <w:top w:val="single" w:sz="8" w:color="C9A227"/>
              <w:left w:val="single" w:sz="12" w:color="C9A227"/>
              <w:bottom w:val="single" w:sz="4" w:color="B7C9DA"/>
              <w:right w:val="single" w:sz="4" w:color="B7C9DA"/>
            </w:tcBorders>
          </w:tcPr>
          <w:p>
            <w:r>
              <w:rPr>
                <w:rFonts w:ascii="Aptos" w:hAnsi="Aptos" w:eastAsia="Aptos"/>
                <w:b/>
                <w:color w:val="17365D"/>
                <w:sz w:val="19"/>
              </w:rPr>
              <w:t>Catatan target</w:t>
              <w:br/>
            </w:r>
            <w:r>
              <w:rPr>
                <w:rFonts w:ascii="Aptos" w:hAnsi="Aptos" w:eastAsia="Aptos"/>
                <w:sz w:val="18"/>
              </w:rPr>
              <w:t>Target numerik selain kewajiban eksplisit merupakan usulan baseline dan harus disahkan dalam lampiran SLA atau keputusan bersama.</w:t>
            </w:r>
          </w:p>
        </w:tc>
      </w:tr>
    </w:tbl>
    <w:p>
      <w:pPr>
        <w:spacing w:after="0"/>
      </w:pPr>
    </w:p>
    <w:p>
      <w:pPr>
        <w:pStyle w:val="Heading1"/>
      </w:pPr>
      <w:r>
        <w:t>5. Stakeholder dan Kebutuhan</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3118"/>
            <w:shd w:fill="17365D"/>
            <w:vAlign w:val="center"/>
          </w:tcPr>
          <w:p>
            <w:pPr>
              <w:jc w:val="center"/>
            </w:pPr>
            <w:r>
              <w:rPr>
                <w:rFonts w:ascii="Aptos" w:hAnsi="Aptos" w:eastAsia="Aptos"/>
                <w:b/>
                <w:color w:val="FFFFFF"/>
                <w:sz w:val="16"/>
              </w:rPr>
              <w:t>Stakeholder</w:t>
            </w:r>
          </w:p>
        </w:tc>
        <w:tc>
          <w:tcPr>
            <w:tcW w:type="dxa" w:w="6520"/>
            <w:shd w:fill="17365D"/>
            <w:vAlign w:val="center"/>
          </w:tcPr>
          <w:p>
            <w:pPr>
              <w:jc w:val="center"/>
            </w:pPr>
            <w:r>
              <w:rPr>
                <w:rFonts w:ascii="Aptos" w:hAnsi="Aptos" w:eastAsia="Aptos"/>
                <w:b/>
                <w:color w:val="FFFFFF"/>
                <w:sz w:val="16"/>
              </w:rPr>
              <w:t>Kebutuhan Utama</w:t>
            </w:r>
          </w:p>
        </w:tc>
      </w:tr>
      <w:tr>
        <w:tc>
          <w:tcPr>
            <w:tcW w:type="dxa" w:w="3118"/>
            <w:vAlign w:val="top"/>
          </w:tcPr>
          <w:p>
            <w:pPr>
              <w:spacing w:after="20"/>
            </w:pPr>
            <w:r>
              <w:rPr>
                <w:rFonts w:ascii="Aptos" w:hAnsi="Aptos" w:eastAsia="Aptos"/>
                <w:sz w:val="16"/>
              </w:rPr>
              <w:t>Hakim atau Majelis Hakim</w:t>
            </w:r>
          </w:p>
        </w:tc>
        <w:tc>
          <w:tcPr>
            <w:tcW w:type="dxa" w:w="6520"/>
            <w:vAlign w:val="top"/>
          </w:tcPr>
          <w:p>
            <w:pPr>
              <w:spacing w:after="20"/>
            </w:pPr>
            <w:r>
              <w:rPr>
                <w:rFonts w:ascii="Aptos" w:hAnsi="Aptos" w:eastAsia="Aptos"/>
                <w:sz w:val="16"/>
              </w:rPr>
              <w:t>Penetapan, kontrol sidang, skors, tunda, tutup, dan tampilan bukti kesiapan.</w:t>
            </w:r>
          </w:p>
        </w:tc>
      </w:tr>
      <w:tr>
        <w:tc>
          <w:tcPr>
            <w:tcW w:type="dxa" w:w="3118"/>
            <w:vAlign w:val="top"/>
            <w:shd w:fill="F8FAFC"/>
          </w:tcPr>
          <w:p>
            <w:pPr>
              <w:spacing w:after="20"/>
            </w:pPr>
            <w:r>
              <w:rPr>
                <w:rFonts w:ascii="Aptos" w:hAnsi="Aptos" w:eastAsia="Aptos"/>
                <w:sz w:val="16"/>
              </w:rPr>
              <w:t>Panitera atau Panitera Pengganti</w:t>
            </w:r>
          </w:p>
        </w:tc>
        <w:tc>
          <w:tcPr>
            <w:tcW w:type="dxa" w:w="6520"/>
            <w:vAlign w:val="top"/>
            <w:shd w:fill="F8FAFC"/>
          </w:tcPr>
          <w:p>
            <w:pPr>
              <w:spacing w:after="20"/>
            </w:pPr>
            <w:r>
              <w:rPr>
                <w:rFonts w:ascii="Aptos" w:hAnsi="Aptos" w:eastAsia="Aptos"/>
                <w:sz w:val="16"/>
              </w:rPr>
              <w:t>Referensi perkara, jadwal, notice, peserta, attendance, event log, dokumentasi, dan sinkronisasi.</w:t>
            </w:r>
          </w:p>
        </w:tc>
      </w:tr>
      <w:tr>
        <w:tc>
          <w:tcPr>
            <w:tcW w:type="dxa" w:w="3118"/>
            <w:vAlign w:val="top"/>
          </w:tcPr>
          <w:p>
            <w:pPr>
              <w:spacing w:after="20"/>
            </w:pPr>
            <w:r>
              <w:rPr>
                <w:rFonts w:ascii="Aptos" w:hAnsi="Aptos" w:eastAsia="Aptos"/>
                <w:sz w:val="16"/>
              </w:rPr>
              <w:t>Penuntut Umum</w:t>
            </w:r>
          </w:p>
        </w:tc>
        <w:tc>
          <w:tcPr>
            <w:tcW w:type="dxa" w:w="6520"/>
            <w:vAlign w:val="top"/>
          </w:tcPr>
          <w:p>
            <w:pPr>
              <w:spacing w:after="20"/>
            </w:pPr>
            <w:r>
              <w:rPr>
                <w:rFonts w:ascii="Aptos" w:hAnsi="Aptos" w:eastAsia="Aptos"/>
                <w:sz w:val="16"/>
              </w:rPr>
              <w:t>Ack, penerusan notice, dokumen kewenangan, kehadiran, dan pelaporan kendala.</w:t>
            </w:r>
          </w:p>
        </w:tc>
      </w:tr>
      <w:tr>
        <w:tc>
          <w:tcPr>
            <w:tcW w:type="dxa" w:w="3118"/>
            <w:vAlign w:val="top"/>
            <w:shd w:fill="F8FAFC"/>
          </w:tcPr>
          <w:p>
            <w:pPr>
              <w:spacing w:after="20"/>
            </w:pPr>
            <w:r>
              <w:rPr>
                <w:rFonts w:ascii="Aptos" w:hAnsi="Aptos" w:eastAsia="Aptos"/>
                <w:sz w:val="16"/>
              </w:rPr>
              <w:t>Pemasyarakatan</w:t>
            </w:r>
          </w:p>
        </w:tc>
        <w:tc>
          <w:tcPr>
            <w:tcW w:type="dxa" w:w="6520"/>
            <w:vAlign w:val="top"/>
            <w:shd w:fill="F8FAFC"/>
          </w:tcPr>
          <w:p>
            <w:pPr>
              <w:spacing w:after="20"/>
            </w:pPr>
            <w:r>
              <w:rPr>
                <w:rFonts w:ascii="Aptos" w:hAnsi="Aptos" w:eastAsia="Aptos"/>
                <w:sz w:val="16"/>
              </w:rPr>
              <w:t>Pemberitahuan langsung, kesiapan terdakwa, ruang, perangkat, jaringan, identitas, dan keamanan.</w:t>
            </w:r>
          </w:p>
        </w:tc>
      </w:tr>
      <w:tr>
        <w:tc>
          <w:tcPr>
            <w:tcW w:type="dxa" w:w="3118"/>
            <w:vAlign w:val="top"/>
          </w:tcPr>
          <w:p>
            <w:pPr>
              <w:spacing w:after="20"/>
            </w:pPr>
            <w:r>
              <w:rPr>
                <w:rFonts w:ascii="Aptos" w:hAnsi="Aptos" w:eastAsia="Aptos"/>
                <w:sz w:val="16"/>
              </w:rPr>
              <w:t>Advokat</w:t>
            </w:r>
          </w:p>
        </w:tc>
        <w:tc>
          <w:tcPr>
            <w:tcW w:type="dxa" w:w="6520"/>
            <w:vAlign w:val="top"/>
          </w:tcPr>
          <w:p>
            <w:pPr>
              <w:spacing w:after="20"/>
            </w:pPr>
            <w:r>
              <w:rPr>
                <w:rFonts w:ascii="Aptos" w:hAnsi="Aptos" w:eastAsia="Aptos"/>
                <w:sz w:val="16"/>
              </w:rPr>
              <w:t>Notice, akses terbatas perkara, join, lokasi sesuai penetapan, dan konsultasi privat.</w:t>
            </w:r>
          </w:p>
        </w:tc>
      </w:tr>
      <w:tr>
        <w:tc>
          <w:tcPr>
            <w:tcW w:type="dxa" w:w="3118"/>
            <w:vAlign w:val="top"/>
            <w:shd w:fill="F8FAFC"/>
          </w:tcPr>
          <w:p>
            <w:pPr>
              <w:spacing w:after="20"/>
            </w:pPr>
            <w:r>
              <w:rPr>
                <w:rFonts w:ascii="Aptos" w:hAnsi="Aptos" w:eastAsia="Aptos"/>
                <w:sz w:val="16"/>
              </w:rPr>
              <w:t>Saksi, Ahli, Penerjemah</w:t>
            </w:r>
          </w:p>
        </w:tc>
        <w:tc>
          <w:tcPr>
            <w:tcW w:type="dxa" w:w="6520"/>
            <w:vAlign w:val="top"/>
            <w:shd w:fill="F8FAFC"/>
          </w:tcPr>
          <w:p>
            <w:pPr>
              <w:spacing w:after="20"/>
            </w:pPr>
            <w:r>
              <w:rPr>
                <w:rFonts w:ascii="Aptos" w:hAnsi="Aptos" w:eastAsia="Aptos"/>
                <w:sz w:val="16"/>
              </w:rPr>
              <w:t>Akses satu kali, verifikasi identitas dan lokasi, serta ketentuan perlindungan.</w:t>
            </w:r>
          </w:p>
        </w:tc>
      </w:tr>
      <w:tr>
        <w:tc>
          <w:tcPr>
            <w:tcW w:type="dxa" w:w="3118"/>
            <w:vAlign w:val="top"/>
          </w:tcPr>
          <w:p>
            <w:pPr>
              <w:spacing w:after="20"/>
            </w:pPr>
            <w:r>
              <w:rPr>
                <w:rFonts w:ascii="Aptos" w:hAnsi="Aptos" w:eastAsia="Aptos"/>
                <w:sz w:val="16"/>
              </w:rPr>
              <w:t>Pejabat Penghubung</w:t>
            </w:r>
          </w:p>
        </w:tc>
        <w:tc>
          <w:tcPr>
            <w:tcW w:type="dxa" w:w="6520"/>
            <w:vAlign w:val="top"/>
          </w:tcPr>
          <w:p>
            <w:pPr>
              <w:spacing w:after="20"/>
            </w:pPr>
            <w:r>
              <w:rPr>
                <w:rFonts w:ascii="Aptos" w:hAnsi="Aptos" w:eastAsia="Aptos"/>
                <w:sz w:val="16"/>
              </w:rPr>
              <w:t>Eskalasi lintas instansi tanpa mengubah substansi perkara.</w:t>
            </w:r>
          </w:p>
        </w:tc>
      </w:tr>
      <w:tr>
        <w:tc>
          <w:tcPr>
            <w:tcW w:type="dxa" w:w="3118"/>
            <w:vAlign w:val="top"/>
            <w:shd w:fill="F8FAFC"/>
          </w:tcPr>
          <w:p>
            <w:pPr>
              <w:spacing w:after="20"/>
            </w:pPr>
            <w:r>
              <w:rPr>
                <w:rFonts w:ascii="Aptos" w:hAnsi="Aptos" w:eastAsia="Aptos"/>
                <w:sz w:val="16"/>
              </w:rPr>
              <w:t>Tim TI dan Keamanan</w:t>
            </w:r>
          </w:p>
        </w:tc>
        <w:tc>
          <w:tcPr>
            <w:tcW w:type="dxa" w:w="6520"/>
            <w:vAlign w:val="top"/>
            <w:shd w:fill="F8FAFC"/>
          </w:tcPr>
          <w:p>
            <w:pPr>
              <w:spacing w:after="20"/>
            </w:pPr>
            <w:r>
              <w:rPr>
                <w:rFonts w:ascii="Aptos" w:hAnsi="Aptos" w:eastAsia="Aptos"/>
                <w:sz w:val="16"/>
              </w:rPr>
              <w:t>Provider, integrasi, dukungan teknis, incident response, dan audit.</w:t>
            </w:r>
          </w:p>
        </w:tc>
      </w:tr>
      <w:tr>
        <w:tc>
          <w:tcPr>
            <w:tcW w:type="dxa" w:w="3118"/>
            <w:vAlign w:val="top"/>
          </w:tcPr>
          <w:p>
            <w:pPr>
              <w:spacing w:after="20"/>
            </w:pPr>
            <w:r>
              <w:rPr>
                <w:rFonts w:ascii="Aptos" w:hAnsi="Aptos" w:eastAsia="Aptos"/>
                <w:sz w:val="16"/>
              </w:rPr>
              <w:t>Pimpinan</w:t>
            </w:r>
          </w:p>
        </w:tc>
        <w:tc>
          <w:tcPr>
            <w:tcW w:type="dxa" w:w="6520"/>
            <w:vAlign w:val="top"/>
          </w:tcPr>
          <w:p>
            <w:pPr>
              <w:spacing w:after="20"/>
            </w:pPr>
            <w:r>
              <w:rPr>
                <w:rFonts w:ascii="Aptos" w:hAnsi="Aptos" w:eastAsia="Aptos"/>
                <w:sz w:val="16"/>
              </w:rPr>
              <w:t>Dashboard kepatuhan, bottleneck, SLA, insiden, dan evaluasi.</w:t>
            </w:r>
          </w:p>
        </w:tc>
      </w:tr>
    </w:tbl>
    <w:p>
      <w:pPr>
        <w:spacing w:after="0"/>
      </w:pPr>
    </w:p>
    <w:p>
      <w:pPr>
        <w:pStyle w:val="Heading1"/>
      </w:pPr>
      <w:r>
        <w:t>6. Ruang Lingkup</w:t>
      </w:r>
    </w:p>
    <w:p>
      <w:pPr>
        <w:pStyle w:val="Heading2"/>
      </w:pPr>
      <w:r>
        <w:t>6.1 In Scope Phase 1 Compliance MVP</w:t>
      </w:r>
    </w:p>
    <w:p>
      <w:pPr>
        <w:pStyle w:val="ListBullet"/>
      </w:pPr>
      <w:r>
        <w:rPr>
          <w:rFonts w:ascii="Aptos" w:hAnsi="Aptos" w:eastAsia="Aptos"/>
          <w:sz w:val="20"/>
        </w:rPr>
        <w:t>Identity, organization, role, permission, delegation, pejabat penghubung, dan MFA.</w:t>
      </w:r>
    </w:p>
    <w:p>
      <w:pPr>
        <w:pStyle w:val="ListBullet"/>
      </w:pPr>
      <w:r>
        <w:rPr>
          <w:rFonts w:ascii="Aptos" w:hAnsi="Aptos" w:eastAsia="Aptos"/>
          <w:sz w:val="20"/>
        </w:rPr>
        <w:t>Referensi perkara dan official system reference.</w:t>
      </w:r>
    </w:p>
    <w:p>
      <w:pPr>
        <w:pStyle w:val="ListBullet"/>
      </w:pPr>
      <w:r>
        <w:rPr>
          <w:rFonts w:ascii="Aptos" w:hAnsi="Aptos" w:eastAsia="Aptos"/>
          <w:sz w:val="20"/>
        </w:rPr>
        <w:t>Permohonan atau keadaan tertentu serta judicial determination gate.</w:t>
      </w:r>
    </w:p>
    <w:p>
      <w:pPr>
        <w:pStyle w:val="ListBullet"/>
      </w:pPr>
      <w:r>
        <w:rPr>
          <w:rFonts w:ascii="Aptos" w:hAnsi="Aptos" w:eastAsia="Aptos"/>
          <w:sz w:val="20"/>
        </w:rPr>
        <w:t>Scheduling, conflict check, approval, versioning, dan reschedule.</w:t>
      </w:r>
    </w:p>
    <w:p>
      <w:pPr>
        <w:pStyle w:val="ListBullet"/>
      </w:pPr>
      <w:r>
        <w:rPr>
          <w:rFonts w:ascii="Aptos" w:hAnsi="Aptos" w:eastAsia="Aptos"/>
          <w:sz w:val="20"/>
        </w:rPr>
        <w:t>Official notice, proof of delivery, acknowledgment, retry, fallback, dan escalation.</w:t>
      </w:r>
    </w:p>
    <w:p>
      <w:pPr>
        <w:pStyle w:val="ListBullet"/>
      </w:pPr>
      <w:r>
        <w:rPr>
          <w:rFonts w:ascii="Aptos" w:hAnsi="Aptos" w:eastAsia="Aptos"/>
          <w:sz w:val="20"/>
        </w:rPr>
        <w:t>Readiness checklist, evidence, technical test, identity and location verification.</w:t>
      </w:r>
    </w:p>
    <w:p>
      <w:pPr>
        <w:pStyle w:val="ListBullet"/>
      </w:pPr>
      <w:r>
        <w:rPr>
          <w:rFonts w:ascii="Aptos" w:hAnsi="Aptos" w:eastAsia="Aptos"/>
          <w:sz w:val="20"/>
        </w:rPr>
        <w:t>Provider-agnostic virtual session, waiting room, role control, join token, dan room isolation.</w:t>
      </w:r>
    </w:p>
    <w:p>
      <w:pPr>
        <w:pStyle w:val="ListBullet"/>
      </w:pPr>
      <w:r>
        <w:rPr>
          <w:rFonts w:ascii="Aptos" w:hAnsi="Aptos" w:eastAsia="Aptos"/>
          <w:sz w:val="20"/>
        </w:rPr>
        <w:t>Attendance, hearing events, skors, resume, postpone, complete, dan documentation pending.</w:t>
      </w:r>
    </w:p>
    <w:p>
      <w:pPr>
        <w:pStyle w:val="ListBullet"/>
      </w:pPr>
      <w:r>
        <w:rPr>
          <w:rFonts w:ascii="Aptos" w:hAnsi="Aptos" w:eastAsia="Aptos"/>
          <w:sz w:val="20"/>
        </w:rPr>
        <w:t>Technical incident, cyber incident, force majeure, dan continuity.</w:t>
      </w:r>
    </w:p>
    <w:p>
      <w:pPr>
        <w:pStyle w:val="ListBullet"/>
      </w:pPr>
      <w:r>
        <w:rPr>
          <w:rFonts w:ascii="Aptos" w:hAnsi="Aptos" w:eastAsia="Aptos"/>
          <w:sz w:val="20"/>
        </w:rPr>
        <w:t>Pembacaan putusan tingkat banding.</w:t>
      </w:r>
    </w:p>
    <w:p>
      <w:pPr>
        <w:pStyle w:val="ListBullet"/>
      </w:pPr>
      <w:r>
        <w:rPr>
          <w:rFonts w:ascii="Aptos" w:hAnsi="Aptos" w:eastAsia="Aptos"/>
          <w:sz w:val="20"/>
        </w:rPr>
        <w:t>Reference dokumen dan rekaman, hash, audit, compliance dashboard, serta reporting.</w:t>
      </w:r>
    </w:p>
    <w:p>
      <w:pPr>
        <w:pStyle w:val="Heading2"/>
      </w:pPr>
      <w:r>
        <w:t>6.2 Out of Scope Phase 1</w:t>
      </w:r>
    </w:p>
    <w:p>
      <w:pPr>
        <w:pStyle w:val="ListBullet"/>
      </w:pPr>
      <w:r>
        <w:rPr>
          <w:rFonts w:ascii="Aptos" w:hAnsi="Aptos" w:eastAsia="Aptos"/>
          <w:sz w:val="20"/>
        </w:rPr>
        <w:t>Face recognition atau penyimpanan biometrik sebagai default.</w:t>
      </w:r>
    </w:p>
    <w:p>
      <w:pPr>
        <w:pStyle w:val="ListBullet"/>
      </w:pPr>
      <w:r>
        <w:rPr>
          <w:rFonts w:ascii="Aptos" w:hAnsi="Aptos" w:eastAsia="Aptos"/>
          <w:sz w:val="20"/>
        </w:rPr>
        <w:t>AI yang mengambil keputusan hukum, menyusun putusan final, atau menggantikan berita acara.</w:t>
      </w:r>
    </w:p>
    <w:p>
      <w:pPr>
        <w:pStyle w:val="ListBullet"/>
      </w:pPr>
      <w:r>
        <w:rPr>
          <w:rFonts w:ascii="Aptos" w:hAnsi="Aptos" w:eastAsia="Aptos"/>
          <w:sz w:val="20"/>
        </w:rPr>
        <w:t>Repositori alat bukti atau dokumen hukum utama tanpa mandat dan governance resmi.</w:t>
      </w:r>
    </w:p>
    <w:p>
      <w:pPr>
        <w:pStyle w:val="ListBullet"/>
      </w:pPr>
      <w:r>
        <w:rPr>
          <w:rFonts w:ascii="Aptos" w:hAnsi="Aptos" w:eastAsia="Aptos"/>
          <w:sz w:val="20"/>
        </w:rPr>
        <w:t>Data lake nasional tanpa klasifikasi, retensi, dan pembatasan tujuan.</w:t>
      </w:r>
    </w:p>
    <w:p>
      <w:pPr>
        <w:pStyle w:val="ListBullet"/>
      </w:pPr>
      <w:r>
        <w:rPr>
          <w:rFonts w:ascii="Aptos" w:hAnsi="Aptos" w:eastAsia="Aptos"/>
          <w:sz w:val="20"/>
        </w:rPr>
        <w:t>Predictive judgment atau rekomendasi substansi perkara.</w:t>
      </w:r>
    </w:p>
    <w:p>
      <w:pPr>
        <w:pStyle w:val="Heading1"/>
      </w:pPr>
      <w:r>
        <w:t>7. Proses As-Is dan To-Be</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4819"/>
            <w:shd w:fill="17365D"/>
            <w:vAlign w:val="center"/>
          </w:tcPr>
          <w:p>
            <w:pPr>
              <w:jc w:val="center"/>
            </w:pPr>
            <w:r>
              <w:rPr>
                <w:rFonts w:ascii="Aptos" w:hAnsi="Aptos" w:eastAsia="Aptos"/>
                <w:b/>
                <w:color w:val="FFFFFF"/>
                <w:sz w:val="16"/>
              </w:rPr>
              <w:t>As-Is</w:t>
            </w:r>
          </w:p>
        </w:tc>
        <w:tc>
          <w:tcPr>
            <w:tcW w:type="dxa" w:w="4819"/>
            <w:shd w:fill="17365D"/>
            <w:vAlign w:val="center"/>
          </w:tcPr>
          <w:p>
            <w:pPr>
              <w:jc w:val="center"/>
            </w:pPr>
            <w:r>
              <w:rPr>
                <w:rFonts w:ascii="Aptos" w:hAnsi="Aptos" w:eastAsia="Aptos"/>
                <w:b/>
                <w:color w:val="FFFFFF"/>
                <w:sz w:val="16"/>
              </w:rPr>
              <w:t>To-Be</w:t>
            </w:r>
          </w:p>
        </w:tc>
      </w:tr>
      <w:tr>
        <w:tc>
          <w:tcPr>
            <w:tcW w:type="dxa" w:w="4819"/>
            <w:vAlign w:val="top"/>
          </w:tcPr>
          <w:p>
            <w:pPr>
              <w:spacing w:after="20"/>
            </w:pPr>
            <w:r>
              <w:rPr>
                <w:rFonts w:ascii="Aptos" w:hAnsi="Aptos" w:eastAsia="Aptos"/>
                <w:sz w:val="16"/>
              </w:rPr>
              <w:t>Panitera input jadwal, menghubungi pihak, membuat link, dan reminder secara manual.</w:t>
            </w:r>
          </w:p>
        </w:tc>
        <w:tc>
          <w:tcPr>
            <w:tcW w:type="dxa" w:w="4819"/>
            <w:vAlign w:val="top"/>
          </w:tcPr>
          <w:p>
            <w:pPr>
              <w:spacing w:after="20"/>
            </w:pPr>
            <w:r>
              <w:rPr>
                <w:rFonts w:ascii="Aptos" w:hAnsi="Aptos" w:eastAsia="Aptos"/>
                <w:sz w:val="16"/>
              </w:rPr>
              <w:t>Penetapan hakim menjadi gate, sistem menawarkan jadwal, pejabat mengesahkan, dan ruang dibuat setelah gate terpenuhi.</w:t>
            </w:r>
          </w:p>
        </w:tc>
      </w:tr>
      <w:tr>
        <w:tc>
          <w:tcPr>
            <w:tcW w:type="dxa" w:w="4819"/>
            <w:vAlign w:val="top"/>
            <w:shd w:fill="F8FAFC"/>
          </w:tcPr>
          <w:p>
            <w:pPr>
              <w:spacing w:after="20"/>
            </w:pPr>
            <w:r>
              <w:rPr>
                <w:rFonts w:ascii="Aptos" w:hAnsi="Aptos" w:eastAsia="Aptos"/>
                <w:sz w:val="16"/>
              </w:rPr>
              <w:t>Pesan dan email dipakai tanpa klasifikasi.</w:t>
            </w:r>
          </w:p>
        </w:tc>
        <w:tc>
          <w:tcPr>
            <w:tcW w:type="dxa" w:w="4819"/>
            <w:vAlign w:val="top"/>
            <w:shd w:fill="F8FAFC"/>
          </w:tcPr>
          <w:p>
            <w:pPr>
              <w:spacing w:after="20"/>
            </w:pPr>
            <w:r>
              <w:rPr>
                <w:rFonts w:ascii="Aptos" w:hAnsi="Aptos" w:eastAsia="Aptos"/>
                <w:sz w:val="16"/>
              </w:rPr>
              <w:t>Pemberitahuan resmi dan reminder dipisahkan, bukti kirim serta acknowledgment disimpan.</w:t>
            </w:r>
          </w:p>
        </w:tc>
      </w:tr>
      <w:tr>
        <w:tc>
          <w:tcPr>
            <w:tcW w:type="dxa" w:w="4819"/>
            <w:vAlign w:val="top"/>
          </w:tcPr>
          <w:p>
            <w:pPr>
              <w:spacing w:after="20"/>
            </w:pPr>
            <w:r>
              <w:rPr>
                <w:rFonts w:ascii="Aptos" w:hAnsi="Aptos" w:eastAsia="Aptos"/>
                <w:sz w:val="16"/>
              </w:rPr>
              <w:t>Kesiapan dinyatakan melalui komunikasi umum.</w:t>
            </w:r>
          </w:p>
        </w:tc>
        <w:tc>
          <w:tcPr>
            <w:tcW w:type="dxa" w:w="4819"/>
            <w:vAlign w:val="top"/>
          </w:tcPr>
          <w:p>
            <w:pPr>
              <w:spacing w:after="20"/>
            </w:pPr>
            <w:r>
              <w:rPr>
                <w:rFonts w:ascii="Aptos" w:hAnsi="Aptos" w:eastAsia="Aptos"/>
                <w:sz w:val="16"/>
              </w:rPr>
              <w:t>Checklist per lokasi, eviden, uji teknis, identitas, dan inspeksi ruang menentukan READY.</w:t>
            </w:r>
          </w:p>
        </w:tc>
      </w:tr>
      <w:tr>
        <w:tc>
          <w:tcPr>
            <w:tcW w:type="dxa" w:w="4819"/>
            <w:vAlign w:val="top"/>
            <w:shd w:fill="F8FAFC"/>
          </w:tcPr>
          <w:p>
            <w:pPr>
              <w:spacing w:after="20"/>
            </w:pPr>
            <w:r>
              <w:rPr>
                <w:rFonts w:ascii="Aptos" w:hAnsi="Aptos" w:eastAsia="Aptos"/>
                <w:sz w:val="16"/>
              </w:rPr>
              <w:t>Gangguan ditangani ad hoc.</w:t>
            </w:r>
          </w:p>
        </w:tc>
        <w:tc>
          <w:tcPr>
            <w:tcW w:type="dxa" w:w="4819"/>
            <w:vAlign w:val="top"/>
            <w:shd w:fill="F8FAFC"/>
          </w:tcPr>
          <w:p>
            <w:pPr>
              <w:spacing w:after="20"/>
            </w:pPr>
            <w:r>
              <w:rPr>
                <w:rFonts w:ascii="Aptos" w:hAnsi="Aptos" w:eastAsia="Aptos"/>
                <w:sz w:val="16"/>
              </w:rPr>
              <w:t>Gangguan teknis, siber, dan kahar menggunakan workflow serta timer berbeda.</w:t>
            </w:r>
          </w:p>
        </w:tc>
      </w:tr>
      <w:tr>
        <w:tc>
          <w:tcPr>
            <w:tcW w:type="dxa" w:w="4819"/>
            <w:vAlign w:val="top"/>
          </w:tcPr>
          <w:p>
            <w:pPr>
              <w:spacing w:after="20"/>
            </w:pPr>
            <w:r>
              <w:rPr>
                <w:rFonts w:ascii="Aptos" w:hAnsi="Aptos" w:eastAsia="Aptos"/>
                <w:sz w:val="16"/>
              </w:rPr>
              <w:t>Dokumen diunggah ke aplikasi baru.</w:t>
            </w:r>
          </w:p>
        </w:tc>
        <w:tc>
          <w:tcPr>
            <w:tcW w:type="dxa" w:w="4819"/>
            <w:vAlign w:val="top"/>
          </w:tcPr>
          <w:p>
            <w:pPr>
              <w:spacing w:after="20"/>
            </w:pPr>
            <w:r>
              <w:rPr>
                <w:rFonts w:ascii="Aptos" w:hAnsi="Aptos" w:eastAsia="Aptos"/>
                <w:sz w:val="16"/>
              </w:rPr>
              <w:t>CIMS menyimpan official reference, metadata, dan hash kecuali ada mandat penyimpanan.</w:t>
            </w:r>
          </w:p>
        </w:tc>
      </w:tr>
    </w:tbl>
    <w:p>
      <w:pPr>
        <w:spacing w:after="0"/>
      </w:pPr>
    </w:p>
    <w:p>
      <w:pPr>
        <w:pStyle w:val="Heading1"/>
      </w:pPr>
      <w:r>
        <w:t>8. Kebutuhan Bisnis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304"/>
            <w:shd w:fill="17365D"/>
            <w:vAlign w:val="center"/>
          </w:tcPr>
          <w:p>
            <w:pPr>
              <w:jc w:val="center"/>
            </w:pPr>
            <w:r>
              <w:rPr>
                <w:rFonts w:ascii="Aptos" w:hAnsi="Aptos" w:eastAsia="Aptos"/>
                <w:b/>
                <w:color w:val="FFFFFF"/>
                <w:sz w:val="15"/>
              </w:rPr>
              <w:t>ID</w:t>
            </w:r>
          </w:p>
        </w:tc>
        <w:tc>
          <w:tcPr>
            <w:tcW w:type="dxa" w:w="2381"/>
            <w:shd w:fill="17365D"/>
            <w:vAlign w:val="center"/>
          </w:tcPr>
          <w:p>
            <w:pPr>
              <w:jc w:val="center"/>
            </w:pPr>
            <w:r>
              <w:rPr>
                <w:rFonts w:ascii="Aptos" w:hAnsi="Aptos" w:eastAsia="Aptos"/>
                <w:b/>
                <w:color w:val="FFFFFF"/>
                <w:sz w:val="15"/>
              </w:rPr>
              <w:t>Nama</w:t>
            </w:r>
          </w:p>
        </w:tc>
        <w:tc>
          <w:tcPr>
            <w:tcW w:type="dxa" w:w="5953"/>
            <w:shd w:fill="17365D"/>
            <w:vAlign w:val="center"/>
          </w:tcPr>
          <w:p>
            <w:pPr>
              <w:jc w:val="center"/>
            </w:pPr>
            <w:r>
              <w:rPr>
                <w:rFonts w:ascii="Aptos" w:hAnsi="Aptos" w:eastAsia="Aptos"/>
                <w:b/>
                <w:color w:val="FFFFFF"/>
                <w:sz w:val="15"/>
              </w:rPr>
              <w:t>Kebutuhan</w:t>
            </w:r>
          </w:p>
        </w:tc>
      </w:tr>
      <w:tr>
        <w:tc>
          <w:tcPr>
            <w:tcW w:type="dxa" w:w="1304"/>
            <w:vAlign w:val="top"/>
          </w:tcPr>
          <w:p>
            <w:pPr>
              <w:spacing w:after="20"/>
            </w:pPr>
            <w:r>
              <w:rPr>
                <w:rFonts w:ascii="Aptos" w:hAnsi="Aptos" w:eastAsia="Aptos"/>
                <w:sz w:val="15"/>
              </w:rPr>
              <w:t>BR-001</w:t>
            </w:r>
          </w:p>
        </w:tc>
        <w:tc>
          <w:tcPr>
            <w:tcW w:type="dxa" w:w="2381"/>
            <w:vAlign w:val="top"/>
          </w:tcPr>
          <w:p>
            <w:pPr>
              <w:spacing w:after="20"/>
            </w:pPr>
            <w:r>
              <w:rPr>
                <w:rFonts w:ascii="Aptos" w:hAnsi="Aptos" w:eastAsia="Aptos"/>
                <w:sz w:val="15"/>
              </w:rPr>
              <w:t>Source of truth</w:t>
            </w:r>
          </w:p>
        </w:tc>
        <w:tc>
          <w:tcPr>
            <w:tcW w:type="dxa" w:w="5953"/>
            <w:vAlign w:val="top"/>
          </w:tcPr>
          <w:p>
            <w:pPr>
              <w:spacing w:after="20"/>
            </w:pPr>
            <w:r>
              <w:rPr>
                <w:rFonts w:ascii="Aptos" w:hAnsi="Aptos" w:eastAsia="Aptos"/>
                <w:sz w:val="15"/>
              </w:rPr>
              <w:t>CIMS wajib menyimpan referensi terhadap sistem resmi dan tidak menciptakan register hukum tandingan.</w:t>
            </w:r>
          </w:p>
        </w:tc>
      </w:tr>
      <w:tr>
        <w:tc>
          <w:tcPr>
            <w:tcW w:type="dxa" w:w="1304"/>
            <w:vAlign w:val="top"/>
            <w:shd w:fill="F8FAFC"/>
          </w:tcPr>
          <w:p>
            <w:pPr>
              <w:spacing w:after="20"/>
            </w:pPr>
            <w:r>
              <w:rPr>
                <w:rFonts w:ascii="Aptos" w:hAnsi="Aptos" w:eastAsia="Aptos"/>
                <w:sz w:val="15"/>
              </w:rPr>
              <w:t>BR-002</w:t>
            </w:r>
          </w:p>
        </w:tc>
        <w:tc>
          <w:tcPr>
            <w:tcW w:type="dxa" w:w="2381"/>
            <w:vAlign w:val="top"/>
            <w:shd w:fill="F8FAFC"/>
          </w:tcPr>
          <w:p>
            <w:pPr>
              <w:spacing w:after="20"/>
            </w:pPr>
            <w:r>
              <w:rPr>
                <w:rFonts w:ascii="Aptos" w:hAnsi="Aptos" w:eastAsia="Aptos"/>
                <w:sz w:val="15"/>
              </w:rPr>
              <w:t>Determination gate</w:t>
            </w:r>
          </w:p>
        </w:tc>
        <w:tc>
          <w:tcPr>
            <w:tcW w:type="dxa" w:w="5953"/>
            <w:vAlign w:val="top"/>
            <w:shd w:fill="F8FAFC"/>
          </w:tcPr>
          <w:p>
            <w:pPr>
              <w:spacing w:after="20"/>
            </w:pPr>
            <w:r>
              <w:rPr>
                <w:rFonts w:ascii="Aptos" w:hAnsi="Aptos" w:eastAsia="Aptos"/>
                <w:sz w:val="15"/>
              </w:rPr>
              <w:t>Ruang virtual tidak dapat dibuat sebelum penetapan sah tersedia.</w:t>
            </w:r>
          </w:p>
        </w:tc>
      </w:tr>
      <w:tr>
        <w:tc>
          <w:tcPr>
            <w:tcW w:type="dxa" w:w="1304"/>
            <w:vAlign w:val="top"/>
          </w:tcPr>
          <w:p>
            <w:pPr>
              <w:spacing w:after="20"/>
            </w:pPr>
            <w:r>
              <w:rPr>
                <w:rFonts w:ascii="Aptos" w:hAnsi="Aptos" w:eastAsia="Aptos"/>
                <w:sz w:val="15"/>
              </w:rPr>
              <w:t>BR-003</w:t>
            </w:r>
          </w:p>
        </w:tc>
        <w:tc>
          <w:tcPr>
            <w:tcW w:type="dxa" w:w="2381"/>
            <w:vAlign w:val="top"/>
          </w:tcPr>
          <w:p>
            <w:pPr>
              <w:spacing w:after="20"/>
            </w:pPr>
            <w:r>
              <w:rPr>
                <w:rFonts w:ascii="Aptos" w:hAnsi="Aptos" w:eastAsia="Aptos"/>
                <w:sz w:val="15"/>
              </w:rPr>
              <w:t>Authority</w:t>
            </w:r>
          </w:p>
        </w:tc>
        <w:tc>
          <w:tcPr>
            <w:tcW w:type="dxa" w:w="5953"/>
            <w:vAlign w:val="top"/>
          </w:tcPr>
          <w:p>
            <w:pPr>
              <w:spacing w:after="20"/>
            </w:pPr>
            <w:r>
              <w:rPr>
                <w:rFonts w:ascii="Aptos" w:hAnsi="Aptos" w:eastAsia="Aptos"/>
                <w:sz w:val="15"/>
              </w:rPr>
              <w:t>Setiap aktivitas dibatasi oleh role, unit, perkara, dan delegasi yang berlaku.</w:t>
            </w:r>
          </w:p>
        </w:tc>
      </w:tr>
      <w:tr>
        <w:tc>
          <w:tcPr>
            <w:tcW w:type="dxa" w:w="1304"/>
            <w:vAlign w:val="top"/>
            <w:shd w:fill="F8FAFC"/>
          </w:tcPr>
          <w:p>
            <w:pPr>
              <w:spacing w:after="20"/>
            </w:pPr>
            <w:r>
              <w:rPr>
                <w:rFonts w:ascii="Aptos" w:hAnsi="Aptos" w:eastAsia="Aptos"/>
                <w:sz w:val="15"/>
              </w:rPr>
              <w:t>BR-004</w:t>
            </w:r>
          </w:p>
        </w:tc>
        <w:tc>
          <w:tcPr>
            <w:tcW w:type="dxa" w:w="2381"/>
            <w:vAlign w:val="top"/>
            <w:shd w:fill="F8FAFC"/>
          </w:tcPr>
          <w:p>
            <w:pPr>
              <w:spacing w:after="20"/>
            </w:pPr>
            <w:r>
              <w:rPr>
                <w:rFonts w:ascii="Aptos" w:hAnsi="Aptos" w:eastAsia="Aptos"/>
                <w:sz w:val="15"/>
              </w:rPr>
              <w:t>Schedule proposal</w:t>
            </w:r>
          </w:p>
        </w:tc>
        <w:tc>
          <w:tcPr>
            <w:tcW w:type="dxa" w:w="5953"/>
            <w:vAlign w:val="top"/>
            <w:shd w:fill="F8FAFC"/>
          </w:tcPr>
          <w:p>
            <w:pPr>
              <w:spacing w:after="20"/>
            </w:pPr>
            <w:r>
              <w:rPr>
                <w:rFonts w:ascii="Aptos" w:hAnsi="Aptos" w:eastAsia="Aptos"/>
                <w:sz w:val="15"/>
              </w:rPr>
              <w:t>Sistem dapat menyusun opsi jadwal berdasarkan constraint dan ketersediaan.</w:t>
            </w:r>
          </w:p>
        </w:tc>
      </w:tr>
      <w:tr>
        <w:tc>
          <w:tcPr>
            <w:tcW w:type="dxa" w:w="1304"/>
            <w:vAlign w:val="top"/>
          </w:tcPr>
          <w:p>
            <w:pPr>
              <w:spacing w:after="20"/>
            </w:pPr>
            <w:r>
              <w:rPr>
                <w:rFonts w:ascii="Aptos" w:hAnsi="Aptos" w:eastAsia="Aptos"/>
                <w:sz w:val="15"/>
              </w:rPr>
              <w:t>BR-005</w:t>
            </w:r>
          </w:p>
        </w:tc>
        <w:tc>
          <w:tcPr>
            <w:tcW w:type="dxa" w:w="2381"/>
            <w:vAlign w:val="top"/>
          </w:tcPr>
          <w:p>
            <w:pPr>
              <w:spacing w:after="20"/>
            </w:pPr>
            <w:r>
              <w:rPr>
                <w:rFonts w:ascii="Aptos" w:hAnsi="Aptos" w:eastAsia="Aptos"/>
                <w:sz w:val="15"/>
              </w:rPr>
              <w:t>Human approval</w:t>
            </w:r>
          </w:p>
        </w:tc>
        <w:tc>
          <w:tcPr>
            <w:tcW w:type="dxa" w:w="5953"/>
            <w:vAlign w:val="top"/>
          </w:tcPr>
          <w:p>
            <w:pPr>
              <w:spacing w:after="20"/>
            </w:pPr>
            <w:r>
              <w:rPr>
                <w:rFonts w:ascii="Aptos" w:hAnsi="Aptos" w:eastAsia="Aptos"/>
                <w:sz w:val="15"/>
              </w:rPr>
              <w:t>Rekomendasi jadwal wajib disahkan pengguna berwenang.</w:t>
            </w:r>
          </w:p>
        </w:tc>
      </w:tr>
      <w:tr>
        <w:tc>
          <w:tcPr>
            <w:tcW w:type="dxa" w:w="1304"/>
            <w:vAlign w:val="top"/>
            <w:shd w:fill="F8FAFC"/>
          </w:tcPr>
          <w:p>
            <w:pPr>
              <w:spacing w:after="20"/>
            </w:pPr>
            <w:r>
              <w:rPr>
                <w:rFonts w:ascii="Aptos" w:hAnsi="Aptos" w:eastAsia="Aptos"/>
                <w:sz w:val="15"/>
              </w:rPr>
              <w:t>BR-006</w:t>
            </w:r>
          </w:p>
        </w:tc>
        <w:tc>
          <w:tcPr>
            <w:tcW w:type="dxa" w:w="2381"/>
            <w:vAlign w:val="top"/>
            <w:shd w:fill="F8FAFC"/>
          </w:tcPr>
          <w:p>
            <w:pPr>
              <w:spacing w:after="20"/>
            </w:pPr>
            <w:r>
              <w:rPr>
                <w:rFonts w:ascii="Aptos" w:hAnsi="Aptos" w:eastAsia="Aptos"/>
                <w:sz w:val="15"/>
              </w:rPr>
              <w:t>Conflict transparency</w:t>
            </w:r>
          </w:p>
        </w:tc>
        <w:tc>
          <w:tcPr>
            <w:tcW w:type="dxa" w:w="5953"/>
            <w:vAlign w:val="top"/>
            <w:shd w:fill="F8FAFC"/>
          </w:tcPr>
          <w:p>
            <w:pPr>
              <w:spacing w:after="20"/>
            </w:pPr>
            <w:r>
              <w:rPr>
                <w:rFonts w:ascii="Aptos" w:hAnsi="Aptos" w:eastAsia="Aptos"/>
                <w:sz w:val="15"/>
              </w:rPr>
              <w:t>Setiap konflik menampilkan resource, waktu, jenis, dan resolusi.</w:t>
            </w:r>
          </w:p>
        </w:tc>
      </w:tr>
      <w:tr>
        <w:tc>
          <w:tcPr>
            <w:tcW w:type="dxa" w:w="1304"/>
            <w:vAlign w:val="top"/>
          </w:tcPr>
          <w:p>
            <w:pPr>
              <w:spacing w:after="20"/>
            </w:pPr>
            <w:r>
              <w:rPr>
                <w:rFonts w:ascii="Aptos" w:hAnsi="Aptos" w:eastAsia="Aptos"/>
                <w:sz w:val="15"/>
              </w:rPr>
              <w:t>BR-007</w:t>
            </w:r>
          </w:p>
        </w:tc>
        <w:tc>
          <w:tcPr>
            <w:tcW w:type="dxa" w:w="2381"/>
            <w:vAlign w:val="top"/>
          </w:tcPr>
          <w:p>
            <w:pPr>
              <w:spacing w:after="20"/>
            </w:pPr>
            <w:r>
              <w:rPr>
                <w:rFonts w:ascii="Aptos" w:hAnsi="Aptos" w:eastAsia="Aptos"/>
                <w:sz w:val="15"/>
              </w:rPr>
              <w:t>Versioning</w:t>
            </w:r>
          </w:p>
        </w:tc>
        <w:tc>
          <w:tcPr>
            <w:tcW w:type="dxa" w:w="5953"/>
            <w:vAlign w:val="top"/>
          </w:tcPr>
          <w:p>
            <w:pPr>
              <w:spacing w:after="20"/>
            </w:pPr>
            <w:r>
              <w:rPr>
                <w:rFonts w:ascii="Aptos" w:hAnsi="Aptos" w:eastAsia="Aptos"/>
                <w:sz w:val="15"/>
              </w:rPr>
              <w:t>Perubahan jadwal menghasilkan versi baru, alasan, dasar, dan notice ulang.</w:t>
            </w:r>
          </w:p>
        </w:tc>
      </w:tr>
      <w:tr>
        <w:tc>
          <w:tcPr>
            <w:tcW w:type="dxa" w:w="1304"/>
            <w:vAlign w:val="top"/>
            <w:shd w:fill="F8FAFC"/>
          </w:tcPr>
          <w:p>
            <w:pPr>
              <w:spacing w:after="20"/>
            </w:pPr>
            <w:r>
              <w:rPr>
                <w:rFonts w:ascii="Aptos" w:hAnsi="Aptos" w:eastAsia="Aptos"/>
                <w:sz w:val="15"/>
              </w:rPr>
              <w:t>BR-008</w:t>
            </w:r>
          </w:p>
        </w:tc>
        <w:tc>
          <w:tcPr>
            <w:tcW w:type="dxa" w:w="2381"/>
            <w:vAlign w:val="top"/>
            <w:shd w:fill="F8FAFC"/>
          </w:tcPr>
          <w:p>
            <w:pPr>
              <w:spacing w:after="20"/>
            </w:pPr>
            <w:r>
              <w:rPr>
                <w:rFonts w:ascii="Aptos" w:hAnsi="Aptos" w:eastAsia="Aptos"/>
                <w:sz w:val="15"/>
              </w:rPr>
              <w:t>Provider abstraction</w:t>
            </w:r>
          </w:p>
        </w:tc>
        <w:tc>
          <w:tcPr>
            <w:tcW w:type="dxa" w:w="5953"/>
            <w:vAlign w:val="top"/>
            <w:shd w:fill="F8FAFC"/>
          </w:tcPr>
          <w:p>
            <w:pPr>
              <w:spacing w:after="20"/>
            </w:pPr>
            <w:r>
              <w:rPr>
                <w:rFonts w:ascii="Aptos" w:hAnsi="Aptos" w:eastAsia="Aptos"/>
                <w:sz w:val="15"/>
              </w:rPr>
              <w:t>Virtual room menggunakan adapter provider yang disetujui dan dapat diganti.</w:t>
            </w:r>
          </w:p>
        </w:tc>
      </w:tr>
      <w:tr>
        <w:tc>
          <w:tcPr>
            <w:tcW w:type="dxa" w:w="1304"/>
            <w:vAlign w:val="top"/>
          </w:tcPr>
          <w:p>
            <w:pPr>
              <w:spacing w:after="20"/>
            </w:pPr>
            <w:r>
              <w:rPr>
                <w:rFonts w:ascii="Aptos" w:hAnsi="Aptos" w:eastAsia="Aptos"/>
                <w:sz w:val="15"/>
              </w:rPr>
              <w:t>BR-009</w:t>
            </w:r>
          </w:p>
        </w:tc>
        <w:tc>
          <w:tcPr>
            <w:tcW w:type="dxa" w:w="2381"/>
            <w:vAlign w:val="top"/>
          </w:tcPr>
          <w:p>
            <w:pPr>
              <w:spacing w:after="20"/>
            </w:pPr>
            <w:r>
              <w:rPr>
                <w:rFonts w:ascii="Aptos" w:hAnsi="Aptos" w:eastAsia="Aptos"/>
                <w:sz w:val="15"/>
              </w:rPr>
              <w:t>Secret separation</w:t>
            </w:r>
          </w:p>
        </w:tc>
        <w:tc>
          <w:tcPr>
            <w:tcW w:type="dxa" w:w="5953"/>
            <w:vAlign w:val="top"/>
          </w:tcPr>
          <w:p>
            <w:pPr>
              <w:spacing w:after="20"/>
            </w:pPr>
            <w:r>
              <w:rPr>
                <w:rFonts w:ascii="Aptos" w:hAnsi="Aptos" w:eastAsia="Aptos"/>
                <w:sz w:val="15"/>
              </w:rPr>
              <w:t>Host secret, participant token, dan public information dipisahkan.</w:t>
            </w:r>
          </w:p>
        </w:tc>
      </w:tr>
      <w:tr>
        <w:tc>
          <w:tcPr>
            <w:tcW w:type="dxa" w:w="1304"/>
            <w:vAlign w:val="top"/>
            <w:shd w:fill="F8FAFC"/>
          </w:tcPr>
          <w:p>
            <w:pPr>
              <w:spacing w:after="20"/>
            </w:pPr>
            <w:r>
              <w:rPr>
                <w:rFonts w:ascii="Aptos" w:hAnsi="Aptos" w:eastAsia="Aptos"/>
                <w:sz w:val="15"/>
              </w:rPr>
              <w:t>BR-010</w:t>
            </w:r>
          </w:p>
        </w:tc>
        <w:tc>
          <w:tcPr>
            <w:tcW w:type="dxa" w:w="2381"/>
            <w:vAlign w:val="top"/>
            <w:shd w:fill="F8FAFC"/>
          </w:tcPr>
          <w:p>
            <w:pPr>
              <w:spacing w:after="20"/>
            </w:pPr>
            <w:r>
              <w:rPr>
                <w:rFonts w:ascii="Aptos" w:hAnsi="Aptos" w:eastAsia="Aptos"/>
                <w:sz w:val="15"/>
              </w:rPr>
              <w:t>Official notice</w:t>
            </w:r>
          </w:p>
        </w:tc>
        <w:tc>
          <w:tcPr>
            <w:tcW w:type="dxa" w:w="5953"/>
            <w:vAlign w:val="top"/>
            <w:shd w:fill="F8FAFC"/>
          </w:tcPr>
          <w:p>
            <w:pPr>
              <w:spacing w:after="20"/>
            </w:pPr>
            <w:r>
              <w:rPr>
                <w:rFonts w:ascii="Aptos" w:hAnsi="Aptos" w:eastAsia="Aptos"/>
                <w:sz w:val="15"/>
              </w:rPr>
              <w:t>Pemberitahuan resmi mempunyai document reference, sender, recipient, channel, dan proof.</w:t>
            </w:r>
          </w:p>
        </w:tc>
      </w:tr>
      <w:tr>
        <w:tc>
          <w:tcPr>
            <w:tcW w:type="dxa" w:w="1304"/>
            <w:vAlign w:val="top"/>
          </w:tcPr>
          <w:p>
            <w:pPr>
              <w:spacing w:after="20"/>
            </w:pPr>
            <w:r>
              <w:rPr>
                <w:rFonts w:ascii="Aptos" w:hAnsi="Aptos" w:eastAsia="Aptos"/>
                <w:sz w:val="15"/>
              </w:rPr>
              <w:t>BR-011</w:t>
            </w:r>
          </w:p>
        </w:tc>
        <w:tc>
          <w:tcPr>
            <w:tcW w:type="dxa" w:w="2381"/>
            <w:vAlign w:val="top"/>
          </w:tcPr>
          <w:p>
            <w:pPr>
              <w:spacing w:after="20"/>
            </w:pPr>
            <w:r>
              <w:rPr>
                <w:rFonts w:ascii="Aptos" w:hAnsi="Aptos" w:eastAsia="Aptos"/>
                <w:sz w:val="15"/>
              </w:rPr>
              <w:t>Acknowledgment</w:t>
            </w:r>
          </w:p>
        </w:tc>
        <w:tc>
          <w:tcPr>
            <w:tcW w:type="dxa" w:w="5953"/>
            <w:vAlign w:val="top"/>
          </w:tcPr>
          <w:p>
            <w:pPr>
              <w:spacing w:after="20"/>
            </w:pPr>
            <w:r>
              <w:rPr>
                <w:rFonts w:ascii="Aptos" w:hAnsi="Aptos" w:eastAsia="Aptos"/>
                <w:sz w:val="15"/>
              </w:rPr>
              <w:t>Penerima berwenang dapat melakukan acknowledgment dan sistem menyimpan waktu serta metode.</w:t>
            </w:r>
          </w:p>
        </w:tc>
      </w:tr>
      <w:tr>
        <w:tc>
          <w:tcPr>
            <w:tcW w:type="dxa" w:w="1304"/>
            <w:vAlign w:val="top"/>
            <w:shd w:fill="F8FAFC"/>
          </w:tcPr>
          <w:p>
            <w:pPr>
              <w:spacing w:after="20"/>
            </w:pPr>
            <w:r>
              <w:rPr>
                <w:rFonts w:ascii="Aptos" w:hAnsi="Aptos" w:eastAsia="Aptos"/>
                <w:sz w:val="15"/>
              </w:rPr>
              <w:t>BR-012</w:t>
            </w:r>
          </w:p>
        </w:tc>
        <w:tc>
          <w:tcPr>
            <w:tcW w:type="dxa" w:w="2381"/>
            <w:vAlign w:val="top"/>
            <w:shd w:fill="F8FAFC"/>
          </w:tcPr>
          <w:p>
            <w:pPr>
              <w:spacing w:after="20"/>
            </w:pPr>
            <w:r>
              <w:rPr>
                <w:rFonts w:ascii="Aptos" w:hAnsi="Aptos" w:eastAsia="Aptos"/>
                <w:sz w:val="15"/>
              </w:rPr>
              <w:t>Fallback</w:t>
            </w:r>
          </w:p>
        </w:tc>
        <w:tc>
          <w:tcPr>
            <w:tcW w:type="dxa" w:w="5953"/>
            <w:vAlign w:val="top"/>
            <w:shd w:fill="F8FAFC"/>
          </w:tcPr>
          <w:p>
            <w:pPr>
              <w:spacing w:after="20"/>
            </w:pPr>
            <w:r>
              <w:rPr>
                <w:rFonts w:ascii="Aptos" w:hAnsi="Aptos" w:eastAsia="Aptos"/>
                <w:sz w:val="15"/>
              </w:rPr>
              <w:t>Notice gagal memicu retry, fallback, dan escalation.</w:t>
            </w:r>
          </w:p>
        </w:tc>
      </w:tr>
      <w:tr>
        <w:tc>
          <w:tcPr>
            <w:tcW w:type="dxa" w:w="1304"/>
            <w:vAlign w:val="top"/>
          </w:tcPr>
          <w:p>
            <w:pPr>
              <w:spacing w:after="20"/>
            </w:pPr>
            <w:r>
              <w:rPr>
                <w:rFonts w:ascii="Aptos" w:hAnsi="Aptos" w:eastAsia="Aptos"/>
                <w:sz w:val="15"/>
              </w:rPr>
              <w:t>BR-013</w:t>
            </w:r>
          </w:p>
        </w:tc>
        <w:tc>
          <w:tcPr>
            <w:tcW w:type="dxa" w:w="2381"/>
            <w:vAlign w:val="top"/>
          </w:tcPr>
          <w:p>
            <w:pPr>
              <w:spacing w:after="20"/>
            </w:pPr>
            <w:r>
              <w:rPr>
                <w:rFonts w:ascii="Aptos" w:hAnsi="Aptos" w:eastAsia="Aptos"/>
                <w:sz w:val="15"/>
              </w:rPr>
              <w:t>Readiness</w:t>
            </w:r>
          </w:p>
        </w:tc>
        <w:tc>
          <w:tcPr>
            <w:tcW w:type="dxa" w:w="5953"/>
            <w:vAlign w:val="top"/>
          </w:tcPr>
          <w:p>
            <w:pPr>
              <w:spacing w:after="20"/>
            </w:pPr>
            <w:r>
              <w:rPr>
                <w:rFonts w:ascii="Aptos" w:hAnsi="Aptos" w:eastAsia="Aptos"/>
                <w:sz w:val="15"/>
              </w:rPr>
              <w:t>Status READY hanya tercapai setelah item wajib dan uji teknis lulus.</w:t>
            </w:r>
          </w:p>
        </w:tc>
      </w:tr>
      <w:tr>
        <w:tc>
          <w:tcPr>
            <w:tcW w:type="dxa" w:w="1304"/>
            <w:vAlign w:val="top"/>
            <w:shd w:fill="F8FAFC"/>
          </w:tcPr>
          <w:p>
            <w:pPr>
              <w:spacing w:after="20"/>
            </w:pPr>
            <w:r>
              <w:rPr>
                <w:rFonts w:ascii="Aptos" w:hAnsi="Aptos" w:eastAsia="Aptos"/>
                <w:sz w:val="15"/>
              </w:rPr>
              <w:t>BR-014</w:t>
            </w:r>
          </w:p>
        </w:tc>
        <w:tc>
          <w:tcPr>
            <w:tcW w:type="dxa" w:w="2381"/>
            <w:vAlign w:val="top"/>
            <w:shd w:fill="F8FAFC"/>
          </w:tcPr>
          <w:p>
            <w:pPr>
              <w:spacing w:after="20"/>
            </w:pPr>
            <w:r>
              <w:rPr>
                <w:rFonts w:ascii="Aptos" w:hAnsi="Aptos" w:eastAsia="Aptos"/>
                <w:sz w:val="15"/>
              </w:rPr>
              <w:t>Identity and room</w:t>
            </w:r>
          </w:p>
        </w:tc>
        <w:tc>
          <w:tcPr>
            <w:tcW w:type="dxa" w:w="5953"/>
            <w:vAlign w:val="top"/>
            <w:shd w:fill="F8FAFC"/>
          </w:tcPr>
          <w:p>
            <w:pPr>
              <w:spacing w:after="20"/>
            </w:pPr>
            <w:r>
              <w:rPr>
                <w:rFonts w:ascii="Aptos" w:hAnsi="Aptos" w:eastAsia="Aptos"/>
                <w:sz w:val="15"/>
              </w:rPr>
              <w:t>Identitas, lokasi, advokat, orang dalam ruangan, dan camera view diverifikasi.</w:t>
            </w:r>
          </w:p>
        </w:tc>
      </w:tr>
      <w:tr>
        <w:tc>
          <w:tcPr>
            <w:tcW w:type="dxa" w:w="1304"/>
            <w:vAlign w:val="top"/>
          </w:tcPr>
          <w:p>
            <w:pPr>
              <w:spacing w:after="20"/>
            </w:pPr>
            <w:r>
              <w:rPr>
                <w:rFonts w:ascii="Aptos" w:hAnsi="Aptos" w:eastAsia="Aptos"/>
                <w:sz w:val="15"/>
              </w:rPr>
              <w:t>BR-015</w:t>
            </w:r>
          </w:p>
        </w:tc>
        <w:tc>
          <w:tcPr>
            <w:tcW w:type="dxa" w:w="2381"/>
            <w:vAlign w:val="top"/>
          </w:tcPr>
          <w:p>
            <w:pPr>
              <w:spacing w:after="20"/>
            </w:pPr>
            <w:r>
              <w:rPr>
                <w:rFonts w:ascii="Aptos" w:hAnsi="Aptos" w:eastAsia="Aptos"/>
                <w:sz w:val="15"/>
              </w:rPr>
              <w:t>Private consultation</w:t>
            </w:r>
          </w:p>
        </w:tc>
        <w:tc>
          <w:tcPr>
            <w:tcW w:type="dxa" w:w="5953"/>
            <w:vAlign w:val="top"/>
          </w:tcPr>
          <w:p>
            <w:pPr>
              <w:spacing w:after="20"/>
            </w:pPr>
            <w:r>
              <w:rPr>
                <w:rFonts w:ascii="Aptos" w:hAnsi="Aptos" w:eastAsia="Aptos"/>
                <w:sz w:val="15"/>
              </w:rPr>
              <w:t>Konsultasi advokat dan terdakwa tidak direkam dan tidak dapat didengar pihak lain.</w:t>
            </w:r>
          </w:p>
        </w:tc>
      </w:tr>
      <w:tr>
        <w:tc>
          <w:tcPr>
            <w:tcW w:type="dxa" w:w="1304"/>
            <w:vAlign w:val="top"/>
            <w:shd w:fill="F8FAFC"/>
          </w:tcPr>
          <w:p>
            <w:pPr>
              <w:spacing w:after="20"/>
            </w:pPr>
            <w:r>
              <w:rPr>
                <w:rFonts w:ascii="Aptos" w:hAnsi="Aptos" w:eastAsia="Aptos"/>
                <w:sz w:val="15"/>
              </w:rPr>
              <w:t>BR-016</w:t>
            </w:r>
          </w:p>
        </w:tc>
        <w:tc>
          <w:tcPr>
            <w:tcW w:type="dxa" w:w="2381"/>
            <w:vAlign w:val="top"/>
            <w:shd w:fill="F8FAFC"/>
          </w:tcPr>
          <w:p>
            <w:pPr>
              <w:spacing w:after="20"/>
            </w:pPr>
            <w:r>
              <w:rPr>
                <w:rFonts w:ascii="Aptos" w:hAnsi="Aptos" w:eastAsia="Aptos"/>
                <w:sz w:val="15"/>
              </w:rPr>
              <w:t>Witness workflow</w:t>
            </w:r>
          </w:p>
        </w:tc>
        <w:tc>
          <w:tcPr>
            <w:tcW w:type="dxa" w:w="5953"/>
            <w:vAlign w:val="top"/>
            <w:shd w:fill="F8FAFC"/>
          </w:tcPr>
          <w:p>
            <w:pPr>
              <w:spacing w:after="20"/>
            </w:pPr>
            <w:r>
              <w:rPr>
                <w:rFonts w:ascii="Aptos" w:hAnsi="Aptos" w:eastAsia="Aptos"/>
                <w:sz w:val="15"/>
              </w:rPr>
              <w:t>Lokasi serta petugas pengawas saksi, ahli, dan penerjemah mengikuti penetapan.</w:t>
            </w:r>
          </w:p>
        </w:tc>
      </w:tr>
      <w:tr>
        <w:tc>
          <w:tcPr>
            <w:tcW w:type="dxa" w:w="1304"/>
            <w:vAlign w:val="top"/>
          </w:tcPr>
          <w:p>
            <w:pPr>
              <w:spacing w:after="20"/>
            </w:pPr>
            <w:r>
              <w:rPr>
                <w:rFonts w:ascii="Aptos" w:hAnsi="Aptos" w:eastAsia="Aptos"/>
                <w:sz w:val="15"/>
              </w:rPr>
              <w:t>BR-017</w:t>
            </w:r>
          </w:p>
        </w:tc>
        <w:tc>
          <w:tcPr>
            <w:tcW w:type="dxa" w:w="2381"/>
            <w:vAlign w:val="top"/>
          </w:tcPr>
          <w:p>
            <w:pPr>
              <w:spacing w:after="20"/>
            </w:pPr>
            <w:r>
              <w:rPr>
                <w:rFonts w:ascii="Aptos" w:hAnsi="Aptos" w:eastAsia="Aptos"/>
                <w:sz w:val="15"/>
              </w:rPr>
              <w:t>Judge control</w:t>
            </w:r>
          </w:p>
        </w:tc>
        <w:tc>
          <w:tcPr>
            <w:tcW w:type="dxa" w:w="5953"/>
            <w:vAlign w:val="top"/>
          </w:tcPr>
          <w:p>
            <w:pPr>
              <w:spacing w:after="20"/>
            </w:pPr>
            <w:r>
              <w:rPr>
                <w:rFonts w:ascii="Aptos" w:hAnsi="Aptos" w:eastAsia="Aptos"/>
                <w:sz w:val="15"/>
              </w:rPr>
              <w:t>Hanya hakim yang dapat mengubah sidang menjadi IN_PROGRESS, SUSPENDED, POSTPONED, atau COMPLETED.</w:t>
            </w:r>
          </w:p>
        </w:tc>
      </w:tr>
      <w:tr>
        <w:tc>
          <w:tcPr>
            <w:tcW w:type="dxa" w:w="1304"/>
            <w:vAlign w:val="top"/>
            <w:shd w:fill="F8FAFC"/>
          </w:tcPr>
          <w:p>
            <w:pPr>
              <w:spacing w:after="20"/>
            </w:pPr>
            <w:r>
              <w:rPr>
                <w:rFonts w:ascii="Aptos" w:hAnsi="Aptos" w:eastAsia="Aptos"/>
                <w:sz w:val="15"/>
              </w:rPr>
              <w:t>BR-018</w:t>
            </w:r>
          </w:p>
        </w:tc>
        <w:tc>
          <w:tcPr>
            <w:tcW w:type="dxa" w:w="2381"/>
            <w:vAlign w:val="top"/>
            <w:shd w:fill="F8FAFC"/>
          </w:tcPr>
          <w:p>
            <w:pPr>
              <w:spacing w:after="20"/>
            </w:pPr>
            <w:r>
              <w:rPr>
                <w:rFonts w:ascii="Aptos" w:hAnsi="Aptos" w:eastAsia="Aptos"/>
                <w:sz w:val="15"/>
              </w:rPr>
              <w:t>Incident separation</w:t>
            </w:r>
          </w:p>
        </w:tc>
        <w:tc>
          <w:tcPr>
            <w:tcW w:type="dxa" w:w="5953"/>
            <w:vAlign w:val="top"/>
            <w:shd w:fill="F8FAFC"/>
          </w:tcPr>
          <w:p>
            <w:pPr>
              <w:spacing w:after="20"/>
            </w:pPr>
            <w:r>
              <w:rPr>
                <w:rFonts w:ascii="Aptos" w:hAnsi="Aptos" w:eastAsia="Aptos"/>
                <w:sz w:val="15"/>
              </w:rPr>
              <w:t>Technical, cyber, dan force majeure memakai klasifikasi, form, SLA, dan bukti berbeda.</w:t>
            </w:r>
          </w:p>
        </w:tc>
      </w:tr>
      <w:tr>
        <w:tc>
          <w:tcPr>
            <w:tcW w:type="dxa" w:w="1304"/>
            <w:vAlign w:val="top"/>
          </w:tcPr>
          <w:p>
            <w:pPr>
              <w:spacing w:after="20"/>
            </w:pPr>
            <w:r>
              <w:rPr>
                <w:rFonts w:ascii="Aptos" w:hAnsi="Aptos" w:eastAsia="Aptos"/>
                <w:sz w:val="15"/>
              </w:rPr>
              <w:t>BR-019</w:t>
            </w:r>
          </w:p>
        </w:tc>
        <w:tc>
          <w:tcPr>
            <w:tcW w:type="dxa" w:w="2381"/>
            <w:vAlign w:val="top"/>
          </w:tcPr>
          <w:p>
            <w:pPr>
              <w:spacing w:after="20"/>
            </w:pPr>
            <w:r>
              <w:rPr>
                <w:rFonts w:ascii="Aptos" w:hAnsi="Aptos" w:eastAsia="Aptos"/>
                <w:sz w:val="15"/>
              </w:rPr>
              <w:t>Custody transfer</w:t>
            </w:r>
          </w:p>
        </w:tc>
        <w:tc>
          <w:tcPr>
            <w:tcW w:type="dxa" w:w="5953"/>
            <w:vAlign w:val="top"/>
          </w:tcPr>
          <w:p>
            <w:pPr>
              <w:spacing w:after="20"/>
            </w:pPr>
            <w:r>
              <w:rPr>
                <w:rFonts w:ascii="Aptos" w:hAnsi="Aptos" w:eastAsia="Aptos"/>
                <w:sz w:val="15"/>
              </w:rPr>
              <w:t>Mutasi tahanan memicu pengalihan unit, akses, notice, checklist, dan uji ulang.</w:t>
            </w:r>
          </w:p>
        </w:tc>
      </w:tr>
      <w:tr>
        <w:tc>
          <w:tcPr>
            <w:tcW w:type="dxa" w:w="1304"/>
            <w:vAlign w:val="top"/>
            <w:shd w:fill="F8FAFC"/>
          </w:tcPr>
          <w:p>
            <w:pPr>
              <w:spacing w:after="20"/>
            </w:pPr>
            <w:r>
              <w:rPr>
                <w:rFonts w:ascii="Aptos" w:hAnsi="Aptos" w:eastAsia="Aptos"/>
                <w:sz w:val="15"/>
              </w:rPr>
              <w:t>BR-020</w:t>
            </w:r>
          </w:p>
        </w:tc>
        <w:tc>
          <w:tcPr>
            <w:tcW w:type="dxa" w:w="2381"/>
            <w:vAlign w:val="top"/>
            <w:shd w:fill="F8FAFC"/>
          </w:tcPr>
          <w:p>
            <w:pPr>
              <w:spacing w:after="20"/>
            </w:pPr>
            <w:r>
              <w:rPr>
                <w:rFonts w:ascii="Aptos" w:hAnsi="Aptos" w:eastAsia="Aptos"/>
                <w:sz w:val="15"/>
              </w:rPr>
              <w:t>Appeal reading</w:t>
            </w:r>
          </w:p>
        </w:tc>
        <w:tc>
          <w:tcPr>
            <w:tcW w:type="dxa" w:w="5953"/>
            <w:vAlign w:val="top"/>
            <w:shd w:fill="F8FAFC"/>
          </w:tcPr>
          <w:p>
            <w:pPr>
              <w:spacing w:after="20"/>
            </w:pPr>
            <w:r>
              <w:rPr>
                <w:rFonts w:ascii="Aptos" w:hAnsi="Aptos" w:eastAsia="Aptos"/>
                <w:sz w:val="15"/>
              </w:rPr>
              <w:t>Sistem mendukung penetapan, perubahan tanggal, notice chain, presence, petikan, transmisi, dan deadline.</w:t>
            </w:r>
          </w:p>
        </w:tc>
      </w:tr>
      <w:tr>
        <w:tc>
          <w:tcPr>
            <w:tcW w:type="dxa" w:w="1304"/>
            <w:vAlign w:val="top"/>
          </w:tcPr>
          <w:p>
            <w:pPr>
              <w:spacing w:after="20"/>
            </w:pPr>
            <w:r>
              <w:rPr>
                <w:rFonts w:ascii="Aptos" w:hAnsi="Aptos" w:eastAsia="Aptos"/>
                <w:sz w:val="15"/>
              </w:rPr>
              <w:t>BR-021</w:t>
            </w:r>
          </w:p>
        </w:tc>
        <w:tc>
          <w:tcPr>
            <w:tcW w:type="dxa" w:w="2381"/>
            <w:vAlign w:val="top"/>
          </w:tcPr>
          <w:p>
            <w:pPr>
              <w:spacing w:after="20"/>
            </w:pPr>
            <w:r>
              <w:rPr>
                <w:rFonts w:ascii="Aptos" w:hAnsi="Aptos" w:eastAsia="Aptos"/>
                <w:sz w:val="15"/>
              </w:rPr>
              <w:t>Audit</w:t>
            </w:r>
          </w:p>
        </w:tc>
        <w:tc>
          <w:tcPr>
            <w:tcW w:type="dxa" w:w="5953"/>
            <w:vAlign w:val="top"/>
          </w:tcPr>
          <w:p>
            <w:pPr>
              <w:spacing w:after="20"/>
            </w:pPr>
            <w:r>
              <w:rPr>
                <w:rFonts w:ascii="Aptos" w:hAnsi="Aptos" w:eastAsia="Aptos"/>
                <w:sz w:val="15"/>
              </w:rPr>
              <w:t>Semua privileged action ditulis ke append-only audit log.</w:t>
            </w:r>
          </w:p>
        </w:tc>
      </w:tr>
      <w:tr>
        <w:tc>
          <w:tcPr>
            <w:tcW w:type="dxa" w:w="1304"/>
            <w:vAlign w:val="top"/>
            <w:shd w:fill="F8FAFC"/>
          </w:tcPr>
          <w:p>
            <w:pPr>
              <w:spacing w:after="20"/>
            </w:pPr>
            <w:r>
              <w:rPr>
                <w:rFonts w:ascii="Aptos" w:hAnsi="Aptos" w:eastAsia="Aptos"/>
                <w:sz w:val="15"/>
              </w:rPr>
              <w:t>BR-022</w:t>
            </w:r>
          </w:p>
        </w:tc>
        <w:tc>
          <w:tcPr>
            <w:tcW w:type="dxa" w:w="2381"/>
            <w:vAlign w:val="top"/>
            <w:shd w:fill="F8FAFC"/>
          </w:tcPr>
          <w:p>
            <w:pPr>
              <w:spacing w:after="20"/>
            </w:pPr>
            <w:r>
              <w:rPr>
                <w:rFonts w:ascii="Aptos" w:hAnsi="Aptos" w:eastAsia="Aptos"/>
                <w:sz w:val="15"/>
              </w:rPr>
              <w:t>Data protection</w:t>
            </w:r>
          </w:p>
        </w:tc>
        <w:tc>
          <w:tcPr>
            <w:tcW w:type="dxa" w:w="5953"/>
            <w:vAlign w:val="top"/>
            <w:shd w:fill="F8FAFC"/>
          </w:tcPr>
          <w:p>
            <w:pPr>
              <w:spacing w:after="20"/>
            </w:pPr>
            <w:r>
              <w:rPr>
                <w:rFonts w:ascii="Aptos" w:hAnsi="Aptos" w:eastAsia="Aptos"/>
                <w:sz w:val="15"/>
              </w:rPr>
              <w:t>Data diminimalkan, dimasking, dienkripsi, dan dipertahankan sesuai retensi.</w:t>
            </w:r>
          </w:p>
        </w:tc>
      </w:tr>
      <w:tr>
        <w:tc>
          <w:tcPr>
            <w:tcW w:type="dxa" w:w="1304"/>
            <w:vAlign w:val="top"/>
          </w:tcPr>
          <w:p>
            <w:pPr>
              <w:spacing w:after="20"/>
            </w:pPr>
            <w:r>
              <w:rPr>
                <w:rFonts w:ascii="Aptos" w:hAnsi="Aptos" w:eastAsia="Aptos"/>
                <w:sz w:val="15"/>
              </w:rPr>
              <w:t>BR-023</w:t>
            </w:r>
          </w:p>
        </w:tc>
        <w:tc>
          <w:tcPr>
            <w:tcW w:type="dxa" w:w="2381"/>
            <w:vAlign w:val="top"/>
          </w:tcPr>
          <w:p>
            <w:pPr>
              <w:spacing w:after="20"/>
            </w:pPr>
            <w:r>
              <w:rPr>
                <w:rFonts w:ascii="Aptos" w:hAnsi="Aptos" w:eastAsia="Aptos"/>
                <w:sz w:val="15"/>
              </w:rPr>
              <w:t>Monitoring</w:t>
            </w:r>
          </w:p>
        </w:tc>
        <w:tc>
          <w:tcPr>
            <w:tcW w:type="dxa" w:w="5953"/>
            <w:vAlign w:val="top"/>
          </w:tcPr>
          <w:p>
            <w:pPr>
              <w:spacing w:after="20"/>
            </w:pPr>
            <w:r>
              <w:rPr>
                <w:rFonts w:ascii="Aptos" w:hAnsi="Aptos" w:eastAsia="Aptos"/>
                <w:sz w:val="15"/>
              </w:rPr>
              <w:t>Dashboard menunjukkan status kepatuhan, keterlambatan, ack, readiness, dan insiden.</w:t>
            </w:r>
          </w:p>
        </w:tc>
      </w:tr>
      <w:tr>
        <w:tc>
          <w:tcPr>
            <w:tcW w:type="dxa" w:w="1304"/>
            <w:vAlign w:val="top"/>
            <w:shd w:fill="F8FAFC"/>
          </w:tcPr>
          <w:p>
            <w:pPr>
              <w:spacing w:after="20"/>
            </w:pPr>
            <w:r>
              <w:rPr>
                <w:rFonts w:ascii="Aptos" w:hAnsi="Aptos" w:eastAsia="Aptos"/>
                <w:sz w:val="15"/>
              </w:rPr>
              <w:t>BR-024</w:t>
            </w:r>
          </w:p>
        </w:tc>
        <w:tc>
          <w:tcPr>
            <w:tcW w:type="dxa" w:w="2381"/>
            <w:vAlign w:val="top"/>
            <w:shd w:fill="F8FAFC"/>
          </w:tcPr>
          <w:p>
            <w:pPr>
              <w:spacing w:after="20"/>
            </w:pPr>
            <w:r>
              <w:rPr>
                <w:rFonts w:ascii="Aptos" w:hAnsi="Aptos" w:eastAsia="Aptos"/>
                <w:sz w:val="15"/>
              </w:rPr>
              <w:t>Annual evaluation</w:t>
            </w:r>
          </w:p>
        </w:tc>
        <w:tc>
          <w:tcPr>
            <w:tcW w:type="dxa" w:w="5953"/>
            <w:vAlign w:val="top"/>
            <w:shd w:fill="F8FAFC"/>
          </w:tcPr>
          <w:p>
            <w:pPr>
              <w:spacing w:after="20"/>
            </w:pPr>
            <w:r>
              <w:rPr>
                <w:rFonts w:ascii="Aptos" w:hAnsi="Aptos" w:eastAsia="Aptos"/>
                <w:sz w:val="15"/>
              </w:rPr>
              <w:t>Sistem mendukung laporan monitoring dan evaluasi sekurang-kurangnya tahunan.</w:t>
            </w:r>
          </w:p>
        </w:tc>
      </w:tr>
      <w:tr>
        <w:tc>
          <w:tcPr>
            <w:tcW w:type="dxa" w:w="1304"/>
            <w:vAlign w:val="top"/>
          </w:tcPr>
          <w:p>
            <w:pPr>
              <w:spacing w:after="20"/>
            </w:pPr>
            <w:r>
              <w:rPr>
                <w:rFonts w:ascii="Aptos" w:hAnsi="Aptos" w:eastAsia="Aptos"/>
                <w:sz w:val="15"/>
              </w:rPr>
              <w:t>BR-025</w:t>
            </w:r>
          </w:p>
        </w:tc>
        <w:tc>
          <w:tcPr>
            <w:tcW w:type="dxa" w:w="2381"/>
            <w:vAlign w:val="top"/>
          </w:tcPr>
          <w:p>
            <w:pPr>
              <w:spacing w:after="20"/>
            </w:pPr>
            <w:r>
              <w:rPr>
                <w:rFonts w:ascii="Aptos" w:hAnsi="Aptos" w:eastAsia="Aptos"/>
                <w:sz w:val="15"/>
              </w:rPr>
              <w:t>AI governance</w:t>
            </w:r>
          </w:p>
        </w:tc>
        <w:tc>
          <w:tcPr>
            <w:tcW w:type="dxa" w:w="5953"/>
            <w:vAlign w:val="top"/>
          </w:tcPr>
          <w:p>
            <w:pPr>
              <w:spacing w:after="20"/>
            </w:pPr>
            <w:r>
              <w:rPr>
                <w:rFonts w:ascii="Aptos" w:hAnsi="Aptos" w:eastAsia="Aptos"/>
                <w:sz w:val="15"/>
              </w:rPr>
              <w:t>Fitur AI hanya draft, memiliki human review, dan tidak menjadi legal record otomatis.</w:t>
            </w:r>
          </w:p>
        </w:tc>
      </w:tr>
    </w:tbl>
    <w:p>
      <w:pPr>
        <w:spacing w:after="0"/>
      </w:pPr>
    </w:p>
    <w:p>
      <w:pPr>
        <w:pStyle w:val="Heading1"/>
      </w:pPr>
      <w:r>
        <w:t>9. Business Rules</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701"/>
            <w:shd w:fill="17365D"/>
            <w:vAlign w:val="center"/>
          </w:tcPr>
          <w:p>
            <w:pPr>
              <w:jc w:val="center"/>
            </w:pPr>
            <w:r>
              <w:rPr>
                <w:rFonts w:ascii="Aptos" w:hAnsi="Aptos" w:eastAsia="Aptos"/>
                <w:b/>
                <w:color w:val="FFFFFF"/>
                <w:sz w:val="16"/>
              </w:rPr>
              <w:t>ID</w:t>
            </w:r>
          </w:p>
        </w:tc>
        <w:tc>
          <w:tcPr>
            <w:tcW w:type="dxa" w:w="7937"/>
            <w:shd w:fill="17365D"/>
            <w:vAlign w:val="center"/>
          </w:tcPr>
          <w:p>
            <w:pPr>
              <w:jc w:val="center"/>
            </w:pPr>
            <w:r>
              <w:rPr>
                <w:rFonts w:ascii="Aptos" w:hAnsi="Aptos" w:eastAsia="Aptos"/>
                <w:b/>
                <w:color w:val="FFFFFF"/>
                <w:sz w:val="16"/>
              </w:rPr>
              <w:t>Aturan</w:t>
            </w:r>
          </w:p>
        </w:tc>
      </w:tr>
      <w:tr>
        <w:tc>
          <w:tcPr>
            <w:tcW w:type="dxa" w:w="1701"/>
            <w:vAlign w:val="top"/>
          </w:tcPr>
          <w:p>
            <w:pPr>
              <w:spacing w:after="20"/>
            </w:pPr>
            <w:r>
              <w:rPr>
                <w:rFonts w:ascii="Aptos" w:hAnsi="Aptos" w:eastAsia="Aptos"/>
                <w:sz w:val="16"/>
              </w:rPr>
              <w:t>RULE-001</w:t>
            </w:r>
          </w:p>
        </w:tc>
        <w:tc>
          <w:tcPr>
            <w:tcW w:type="dxa" w:w="7937"/>
            <w:vAlign w:val="top"/>
          </w:tcPr>
          <w:p>
            <w:pPr>
              <w:spacing w:after="20"/>
            </w:pPr>
            <w:r>
              <w:rPr>
                <w:rFonts w:ascii="Aptos" w:hAnsi="Aptos" w:eastAsia="Aptos"/>
                <w:sz w:val="16"/>
              </w:rPr>
              <w:t>Satu hearing elektronik harus terkait satu judicial determination yang sah.</w:t>
            </w:r>
          </w:p>
        </w:tc>
      </w:tr>
      <w:tr>
        <w:tc>
          <w:tcPr>
            <w:tcW w:type="dxa" w:w="1701"/>
            <w:vAlign w:val="top"/>
            <w:shd w:fill="F8FAFC"/>
          </w:tcPr>
          <w:p>
            <w:pPr>
              <w:spacing w:after="20"/>
            </w:pPr>
            <w:r>
              <w:rPr>
                <w:rFonts w:ascii="Aptos" w:hAnsi="Aptos" w:eastAsia="Aptos"/>
                <w:sz w:val="16"/>
              </w:rPr>
              <w:t>RULE-002</w:t>
            </w:r>
          </w:p>
        </w:tc>
        <w:tc>
          <w:tcPr>
            <w:tcW w:type="dxa" w:w="7937"/>
            <w:vAlign w:val="top"/>
            <w:shd w:fill="F8FAFC"/>
          </w:tcPr>
          <w:p>
            <w:pPr>
              <w:spacing w:after="20"/>
            </w:pPr>
            <w:r>
              <w:rPr>
                <w:rFonts w:ascii="Aptos" w:hAnsi="Aptos" w:eastAsia="Aptos"/>
                <w:sz w:val="16"/>
              </w:rPr>
              <w:t>Satu hearing dapat memiliki banyak versi schedule, tetapi hanya satu schedule berstatus ACTIVE.</w:t>
            </w:r>
          </w:p>
        </w:tc>
      </w:tr>
      <w:tr>
        <w:tc>
          <w:tcPr>
            <w:tcW w:type="dxa" w:w="1701"/>
            <w:vAlign w:val="top"/>
          </w:tcPr>
          <w:p>
            <w:pPr>
              <w:spacing w:after="20"/>
            </w:pPr>
            <w:r>
              <w:rPr>
                <w:rFonts w:ascii="Aptos" w:hAnsi="Aptos" w:eastAsia="Aptos"/>
                <w:sz w:val="16"/>
              </w:rPr>
              <w:t>RULE-003</w:t>
            </w:r>
          </w:p>
        </w:tc>
        <w:tc>
          <w:tcPr>
            <w:tcW w:type="dxa" w:w="7937"/>
            <w:vAlign w:val="top"/>
          </w:tcPr>
          <w:p>
            <w:pPr>
              <w:spacing w:after="20"/>
            </w:pPr>
            <w:r>
              <w:rPr>
                <w:rFonts w:ascii="Aptos" w:hAnsi="Aptos" w:eastAsia="Aptos"/>
                <w:sz w:val="16"/>
              </w:rPr>
              <w:t>Virtual session hanya dapat diprovision dari schedule ACTIVE dan determination sah.</w:t>
            </w:r>
          </w:p>
        </w:tc>
      </w:tr>
      <w:tr>
        <w:tc>
          <w:tcPr>
            <w:tcW w:type="dxa" w:w="1701"/>
            <w:vAlign w:val="top"/>
            <w:shd w:fill="F8FAFC"/>
          </w:tcPr>
          <w:p>
            <w:pPr>
              <w:spacing w:after="20"/>
            </w:pPr>
            <w:r>
              <w:rPr>
                <w:rFonts w:ascii="Aptos" w:hAnsi="Aptos" w:eastAsia="Aptos"/>
                <w:sz w:val="16"/>
              </w:rPr>
              <w:t>RULE-004</w:t>
            </w:r>
          </w:p>
        </w:tc>
        <w:tc>
          <w:tcPr>
            <w:tcW w:type="dxa" w:w="7937"/>
            <w:vAlign w:val="top"/>
            <w:shd w:fill="F8FAFC"/>
          </w:tcPr>
          <w:p>
            <w:pPr>
              <w:spacing w:after="20"/>
            </w:pPr>
            <w:r>
              <w:rPr>
                <w:rFonts w:ascii="Aptos" w:hAnsi="Aptos" w:eastAsia="Aptos"/>
                <w:sz w:val="16"/>
              </w:rPr>
              <w:t>Token peserta bersifat individual, berjangka waktu, dan tidak boleh menampilkan host secret.</w:t>
            </w:r>
          </w:p>
        </w:tc>
      </w:tr>
      <w:tr>
        <w:tc>
          <w:tcPr>
            <w:tcW w:type="dxa" w:w="1701"/>
            <w:vAlign w:val="top"/>
          </w:tcPr>
          <w:p>
            <w:pPr>
              <w:spacing w:after="20"/>
            </w:pPr>
            <w:r>
              <w:rPr>
                <w:rFonts w:ascii="Aptos" w:hAnsi="Aptos" w:eastAsia="Aptos"/>
                <w:sz w:val="16"/>
              </w:rPr>
              <w:t>RULE-005</w:t>
            </w:r>
          </w:p>
        </w:tc>
        <w:tc>
          <w:tcPr>
            <w:tcW w:type="dxa" w:w="7937"/>
            <w:vAlign w:val="top"/>
          </w:tcPr>
          <w:p>
            <w:pPr>
              <w:spacing w:after="20"/>
            </w:pPr>
            <w:r>
              <w:rPr>
                <w:rFonts w:ascii="Aptos" w:hAnsi="Aptos" w:eastAsia="Aptos"/>
                <w:sz w:val="16"/>
              </w:rPr>
              <w:t>Perubahan jadwal membatalkan token lama serta memicu pemberitahuan ulang.</w:t>
            </w:r>
          </w:p>
        </w:tc>
      </w:tr>
      <w:tr>
        <w:tc>
          <w:tcPr>
            <w:tcW w:type="dxa" w:w="1701"/>
            <w:vAlign w:val="top"/>
            <w:shd w:fill="F8FAFC"/>
          </w:tcPr>
          <w:p>
            <w:pPr>
              <w:spacing w:after="20"/>
            </w:pPr>
            <w:r>
              <w:rPr>
                <w:rFonts w:ascii="Aptos" w:hAnsi="Aptos" w:eastAsia="Aptos"/>
                <w:sz w:val="16"/>
              </w:rPr>
              <w:t>RULE-006</w:t>
            </w:r>
          </w:p>
        </w:tc>
        <w:tc>
          <w:tcPr>
            <w:tcW w:type="dxa" w:w="7937"/>
            <w:vAlign w:val="top"/>
            <w:shd w:fill="F8FAFC"/>
          </w:tcPr>
          <w:p>
            <w:pPr>
              <w:spacing w:after="20"/>
            </w:pPr>
            <w:r>
              <w:rPr>
                <w:rFonts w:ascii="Aptos" w:hAnsi="Aptos" w:eastAsia="Aptos"/>
                <w:sz w:val="16"/>
              </w:rPr>
              <w:t>READY tidak dapat dicapai jika notice wajib belum ack atau readiness item wajib belum lulus.</w:t>
            </w:r>
          </w:p>
        </w:tc>
      </w:tr>
      <w:tr>
        <w:tc>
          <w:tcPr>
            <w:tcW w:type="dxa" w:w="1701"/>
            <w:vAlign w:val="top"/>
          </w:tcPr>
          <w:p>
            <w:pPr>
              <w:spacing w:after="20"/>
            </w:pPr>
            <w:r>
              <w:rPr>
                <w:rFonts w:ascii="Aptos" w:hAnsi="Aptos" w:eastAsia="Aptos"/>
                <w:sz w:val="16"/>
              </w:rPr>
              <w:t>RULE-007</w:t>
            </w:r>
          </w:p>
        </w:tc>
        <w:tc>
          <w:tcPr>
            <w:tcW w:type="dxa" w:w="7937"/>
            <w:vAlign w:val="top"/>
          </w:tcPr>
          <w:p>
            <w:pPr>
              <w:spacing w:after="20"/>
            </w:pPr>
            <w:r>
              <w:rPr>
                <w:rFonts w:ascii="Aptos" w:hAnsi="Aptos" w:eastAsia="Aptos"/>
                <w:sz w:val="16"/>
              </w:rPr>
              <w:t>IN_PROGRESS hanya dapat dipicu oleh hakim atau pengguna yang diberi kewenangan formal.</w:t>
            </w:r>
          </w:p>
        </w:tc>
      </w:tr>
      <w:tr>
        <w:tc>
          <w:tcPr>
            <w:tcW w:type="dxa" w:w="1701"/>
            <w:vAlign w:val="top"/>
            <w:shd w:fill="F8FAFC"/>
          </w:tcPr>
          <w:p>
            <w:pPr>
              <w:spacing w:after="20"/>
            </w:pPr>
            <w:r>
              <w:rPr>
                <w:rFonts w:ascii="Aptos" w:hAnsi="Aptos" w:eastAsia="Aptos"/>
                <w:sz w:val="16"/>
              </w:rPr>
              <w:t>RULE-008</w:t>
            </w:r>
          </w:p>
        </w:tc>
        <w:tc>
          <w:tcPr>
            <w:tcW w:type="dxa" w:w="7937"/>
            <w:vAlign w:val="top"/>
            <w:shd w:fill="F8FAFC"/>
          </w:tcPr>
          <w:p>
            <w:pPr>
              <w:spacing w:after="20"/>
            </w:pPr>
            <w:r>
              <w:rPr>
                <w:rFonts w:ascii="Aptos" w:hAnsi="Aptos" w:eastAsia="Aptos"/>
                <w:sz w:val="16"/>
              </w:rPr>
              <w:t>Konsultasi privat tidak direkam.</w:t>
            </w:r>
          </w:p>
        </w:tc>
      </w:tr>
      <w:tr>
        <w:tc>
          <w:tcPr>
            <w:tcW w:type="dxa" w:w="1701"/>
            <w:vAlign w:val="top"/>
          </w:tcPr>
          <w:p>
            <w:pPr>
              <w:spacing w:after="20"/>
            </w:pPr>
            <w:r>
              <w:rPr>
                <w:rFonts w:ascii="Aptos" w:hAnsi="Aptos" w:eastAsia="Aptos"/>
                <w:sz w:val="16"/>
              </w:rPr>
              <w:t>RULE-009</w:t>
            </w:r>
          </w:p>
        </w:tc>
        <w:tc>
          <w:tcPr>
            <w:tcW w:type="dxa" w:w="7937"/>
            <w:vAlign w:val="top"/>
          </w:tcPr>
          <w:p>
            <w:pPr>
              <w:spacing w:after="20"/>
            </w:pPr>
            <w:r>
              <w:rPr>
                <w:rFonts w:ascii="Aptos" w:hAnsi="Aptos" w:eastAsia="Aptos"/>
                <w:sz w:val="16"/>
              </w:rPr>
              <w:t>Admin sistem tidak otomatis memperoleh akses isi perkara.</w:t>
            </w:r>
          </w:p>
        </w:tc>
      </w:tr>
      <w:tr>
        <w:tc>
          <w:tcPr>
            <w:tcW w:type="dxa" w:w="1701"/>
            <w:vAlign w:val="top"/>
            <w:shd w:fill="F8FAFC"/>
          </w:tcPr>
          <w:p>
            <w:pPr>
              <w:spacing w:after="20"/>
            </w:pPr>
            <w:r>
              <w:rPr>
                <w:rFonts w:ascii="Aptos" w:hAnsi="Aptos" w:eastAsia="Aptos"/>
                <w:sz w:val="16"/>
              </w:rPr>
              <w:t>RULE-010</w:t>
            </w:r>
          </w:p>
        </w:tc>
        <w:tc>
          <w:tcPr>
            <w:tcW w:type="dxa" w:w="7937"/>
            <w:vAlign w:val="top"/>
            <w:shd w:fill="F8FAFC"/>
          </w:tcPr>
          <w:p>
            <w:pPr>
              <w:spacing w:after="20"/>
            </w:pPr>
            <w:r>
              <w:rPr>
                <w:rFonts w:ascii="Aptos" w:hAnsi="Aptos" w:eastAsia="Aptos"/>
                <w:sz w:val="16"/>
              </w:rPr>
              <w:t>AI output tidak dapat dipublikasikan tanpa persetujuan manusia.</w:t>
            </w:r>
          </w:p>
        </w:tc>
      </w:tr>
    </w:tbl>
    <w:p>
      <w:pPr>
        <w:spacing w:after="0"/>
      </w:pPr>
    </w:p>
    <w:p>
      <w:pPr>
        <w:pStyle w:val="Heading1"/>
      </w:pPr>
      <w:r>
        <w:t>10. Data dan Integrasi</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8"/>
            <w:shd w:fill="17365D"/>
            <w:vAlign w:val="center"/>
          </w:tcPr>
          <w:p>
            <w:pPr>
              <w:jc w:val="center"/>
            </w:pPr>
            <w:r>
              <w:rPr>
                <w:rFonts w:ascii="Aptos" w:hAnsi="Aptos" w:eastAsia="Aptos"/>
                <w:b/>
                <w:color w:val="FFFFFF"/>
                <w:sz w:val="15"/>
              </w:rPr>
              <w:t>Domain</w:t>
            </w:r>
          </w:p>
        </w:tc>
        <w:tc>
          <w:tcPr>
            <w:tcW w:type="dxa" w:w="3969"/>
            <w:shd w:fill="17365D"/>
            <w:vAlign w:val="center"/>
          </w:tcPr>
          <w:p>
            <w:pPr>
              <w:jc w:val="center"/>
            </w:pPr>
            <w:r>
              <w:rPr>
                <w:rFonts w:ascii="Aptos" w:hAnsi="Aptos" w:eastAsia="Aptos"/>
                <w:b/>
                <w:color w:val="FFFFFF"/>
                <w:sz w:val="15"/>
              </w:rPr>
              <w:t>Data Minimum</w:t>
            </w:r>
          </w:p>
        </w:tc>
        <w:tc>
          <w:tcPr>
            <w:tcW w:type="dxa" w:w="3402"/>
            <w:shd w:fill="17365D"/>
            <w:vAlign w:val="center"/>
          </w:tcPr>
          <w:p>
            <w:pPr>
              <w:jc w:val="center"/>
            </w:pPr>
            <w:r>
              <w:rPr>
                <w:rFonts w:ascii="Aptos" w:hAnsi="Aptos" w:eastAsia="Aptos"/>
                <w:b/>
                <w:color w:val="FFFFFF"/>
                <w:sz w:val="15"/>
              </w:rPr>
              <w:t>Sistem Sumber atau Tujuan</w:t>
            </w:r>
          </w:p>
        </w:tc>
      </w:tr>
      <w:tr>
        <w:tc>
          <w:tcPr>
            <w:tcW w:type="dxa" w:w="2268"/>
            <w:vAlign w:val="top"/>
          </w:tcPr>
          <w:p>
            <w:pPr>
              <w:spacing w:after="20"/>
            </w:pPr>
            <w:r>
              <w:rPr>
                <w:rFonts w:ascii="Aptos" w:hAnsi="Aptos" w:eastAsia="Aptos"/>
                <w:sz w:val="15"/>
              </w:rPr>
              <w:t>Perkara</w:t>
            </w:r>
          </w:p>
        </w:tc>
        <w:tc>
          <w:tcPr>
            <w:tcW w:type="dxa" w:w="3969"/>
            <w:vAlign w:val="top"/>
          </w:tcPr>
          <w:p>
            <w:pPr>
              <w:spacing w:after="20"/>
            </w:pPr>
            <w:r>
              <w:rPr>
                <w:rFonts w:ascii="Aptos" w:hAnsi="Aptos" w:eastAsia="Aptos"/>
                <w:sz w:val="15"/>
              </w:rPr>
              <w:t>Nomor, jenis, status, unit, pihak, official reference.</w:t>
            </w:r>
          </w:p>
        </w:tc>
        <w:tc>
          <w:tcPr>
            <w:tcW w:type="dxa" w:w="3402"/>
            <w:vAlign w:val="top"/>
          </w:tcPr>
          <w:p>
            <w:pPr>
              <w:spacing w:after="20"/>
            </w:pPr>
            <w:r>
              <w:rPr>
                <w:rFonts w:ascii="Aptos" w:hAnsi="Aptos" w:eastAsia="Aptos"/>
                <w:sz w:val="15"/>
              </w:rPr>
              <w:t>Sistem Informasi Pengadilan, e-Berpadu, atau register resmi.</w:t>
            </w:r>
          </w:p>
        </w:tc>
      </w:tr>
      <w:tr>
        <w:tc>
          <w:tcPr>
            <w:tcW w:type="dxa" w:w="2268"/>
            <w:vAlign w:val="top"/>
            <w:shd w:fill="F8FAFC"/>
          </w:tcPr>
          <w:p>
            <w:pPr>
              <w:spacing w:after="20"/>
            </w:pPr>
            <w:r>
              <w:rPr>
                <w:rFonts w:ascii="Aptos" w:hAnsi="Aptos" w:eastAsia="Aptos"/>
                <w:sz w:val="15"/>
              </w:rPr>
              <w:t>Penetapan</w:t>
            </w:r>
          </w:p>
        </w:tc>
        <w:tc>
          <w:tcPr>
            <w:tcW w:type="dxa" w:w="3969"/>
            <w:vAlign w:val="top"/>
            <w:shd w:fill="F8FAFC"/>
          </w:tcPr>
          <w:p>
            <w:pPr>
              <w:spacing w:after="20"/>
            </w:pPr>
            <w:r>
              <w:rPr>
                <w:rFonts w:ascii="Aptos" w:hAnsi="Aptos" w:eastAsia="Aptos"/>
                <w:sz w:val="15"/>
              </w:rPr>
              <w:t>Nomor, tanggal, keputusan, mode, alasan, hash, official reference.</w:t>
            </w:r>
          </w:p>
        </w:tc>
        <w:tc>
          <w:tcPr>
            <w:tcW w:type="dxa" w:w="3402"/>
            <w:vAlign w:val="top"/>
            <w:shd w:fill="F8FAFC"/>
          </w:tcPr>
          <w:p>
            <w:pPr>
              <w:spacing w:after="20"/>
            </w:pPr>
            <w:r>
              <w:rPr>
                <w:rFonts w:ascii="Aptos" w:hAnsi="Aptos" w:eastAsia="Aptos"/>
                <w:sz w:val="15"/>
              </w:rPr>
              <w:t>Repositori atau sistem resmi Pengadilan.</w:t>
            </w:r>
          </w:p>
        </w:tc>
      </w:tr>
      <w:tr>
        <w:tc>
          <w:tcPr>
            <w:tcW w:type="dxa" w:w="2268"/>
            <w:vAlign w:val="top"/>
          </w:tcPr>
          <w:p>
            <w:pPr>
              <w:spacing w:after="20"/>
            </w:pPr>
            <w:r>
              <w:rPr>
                <w:rFonts w:ascii="Aptos" w:hAnsi="Aptos" w:eastAsia="Aptos"/>
                <w:sz w:val="15"/>
              </w:rPr>
              <w:t>Pemberitahuan</w:t>
            </w:r>
          </w:p>
        </w:tc>
        <w:tc>
          <w:tcPr>
            <w:tcW w:type="dxa" w:w="3969"/>
            <w:vAlign w:val="top"/>
          </w:tcPr>
          <w:p>
            <w:pPr>
              <w:spacing w:after="20"/>
            </w:pPr>
            <w:r>
              <w:rPr>
                <w:rFonts w:ascii="Aptos" w:hAnsi="Aptos" w:eastAsia="Aptos"/>
                <w:sz w:val="15"/>
              </w:rPr>
              <w:t>Sender, recipient, document reference, status kirim, ack, proof.</w:t>
            </w:r>
          </w:p>
        </w:tc>
        <w:tc>
          <w:tcPr>
            <w:tcW w:type="dxa" w:w="3402"/>
            <w:vAlign w:val="top"/>
          </w:tcPr>
          <w:p>
            <w:pPr>
              <w:spacing w:after="20"/>
            </w:pPr>
            <w:r>
              <w:rPr>
                <w:rFonts w:ascii="Aptos" w:hAnsi="Aptos" w:eastAsia="Aptos"/>
                <w:sz w:val="15"/>
              </w:rPr>
              <w:t>CIMS dan kanal resmi terintegrasi.</w:t>
            </w:r>
          </w:p>
        </w:tc>
      </w:tr>
      <w:tr>
        <w:tc>
          <w:tcPr>
            <w:tcW w:type="dxa" w:w="2268"/>
            <w:vAlign w:val="top"/>
            <w:shd w:fill="F8FAFC"/>
          </w:tcPr>
          <w:p>
            <w:pPr>
              <w:spacing w:after="20"/>
            </w:pPr>
            <w:r>
              <w:rPr>
                <w:rFonts w:ascii="Aptos" w:hAnsi="Aptos" w:eastAsia="Aptos"/>
                <w:sz w:val="15"/>
              </w:rPr>
              <w:t>Ruang virtual</w:t>
            </w:r>
          </w:p>
        </w:tc>
        <w:tc>
          <w:tcPr>
            <w:tcW w:type="dxa" w:w="3969"/>
            <w:vAlign w:val="top"/>
            <w:shd w:fill="F8FAFC"/>
          </w:tcPr>
          <w:p>
            <w:pPr>
              <w:spacing w:after="20"/>
            </w:pPr>
            <w:r>
              <w:rPr>
                <w:rFonts w:ascii="Aptos" w:hAnsi="Aptos" w:eastAsia="Aptos"/>
                <w:sz w:val="15"/>
              </w:rPr>
              <w:t>Provider, meeting ID, room, token hash, event.</w:t>
            </w:r>
          </w:p>
        </w:tc>
        <w:tc>
          <w:tcPr>
            <w:tcW w:type="dxa" w:w="3402"/>
            <w:vAlign w:val="top"/>
            <w:shd w:fill="F8FAFC"/>
          </w:tcPr>
          <w:p>
            <w:pPr>
              <w:spacing w:after="20"/>
            </w:pPr>
            <w:r>
              <w:rPr>
                <w:rFonts w:ascii="Aptos" w:hAnsi="Aptos" w:eastAsia="Aptos"/>
                <w:sz w:val="15"/>
              </w:rPr>
              <w:t>Provider konferensi video yang disetujui.</w:t>
            </w:r>
          </w:p>
        </w:tc>
      </w:tr>
      <w:tr>
        <w:tc>
          <w:tcPr>
            <w:tcW w:type="dxa" w:w="2268"/>
            <w:vAlign w:val="top"/>
          </w:tcPr>
          <w:p>
            <w:pPr>
              <w:spacing w:after="20"/>
            </w:pPr>
            <w:r>
              <w:rPr>
                <w:rFonts w:ascii="Aptos" w:hAnsi="Aptos" w:eastAsia="Aptos"/>
                <w:sz w:val="15"/>
              </w:rPr>
              <w:t>Dokumen dan rekaman</w:t>
            </w:r>
          </w:p>
        </w:tc>
        <w:tc>
          <w:tcPr>
            <w:tcW w:type="dxa" w:w="3969"/>
            <w:vAlign w:val="top"/>
          </w:tcPr>
          <w:p>
            <w:pPr>
              <w:spacing w:after="20"/>
            </w:pPr>
            <w:r>
              <w:rPr>
                <w:rFonts w:ascii="Aptos" w:hAnsi="Aptos" w:eastAsia="Aptos"/>
                <w:sz w:val="15"/>
              </w:rPr>
              <w:t>Metadata, classification, official reference, hash, retention.</w:t>
            </w:r>
          </w:p>
        </w:tc>
        <w:tc>
          <w:tcPr>
            <w:tcW w:type="dxa" w:w="3402"/>
            <w:vAlign w:val="top"/>
          </w:tcPr>
          <w:p>
            <w:pPr>
              <w:spacing w:after="20"/>
            </w:pPr>
            <w:r>
              <w:rPr>
                <w:rFonts w:ascii="Aptos" w:hAnsi="Aptos" w:eastAsia="Aptos"/>
                <w:sz w:val="15"/>
              </w:rPr>
              <w:t>Repositori resmi atau storage yang disahkan.</w:t>
            </w:r>
          </w:p>
        </w:tc>
      </w:tr>
      <w:tr>
        <w:tc>
          <w:tcPr>
            <w:tcW w:type="dxa" w:w="2268"/>
            <w:vAlign w:val="top"/>
            <w:shd w:fill="F8FAFC"/>
          </w:tcPr>
          <w:p>
            <w:pPr>
              <w:spacing w:after="20"/>
            </w:pPr>
            <w:r>
              <w:rPr>
                <w:rFonts w:ascii="Aptos" w:hAnsi="Aptos" w:eastAsia="Aptos"/>
                <w:sz w:val="15"/>
              </w:rPr>
              <w:t>Audit dan insiden</w:t>
            </w:r>
          </w:p>
        </w:tc>
        <w:tc>
          <w:tcPr>
            <w:tcW w:type="dxa" w:w="3969"/>
            <w:vAlign w:val="top"/>
            <w:shd w:fill="F8FAFC"/>
          </w:tcPr>
          <w:p>
            <w:pPr>
              <w:spacing w:after="20"/>
            </w:pPr>
            <w:r>
              <w:rPr>
                <w:rFonts w:ascii="Aptos" w:hAnsi="Aptos" w:eastAsia="Aptos"/>
                <w:sz w:val="15"/>
              </w:rPr>
              <w:t>Actor, action, object, reason, correlation ID, evidence.</w:t>
            </w:r>
          </w:p>
        </w:tc>
        <w:tc>
          <w:tcPr>
            <w:tcW w:type="dxa" w:w="3402"/>
            <w:vAlign w:val="top"/>
            <w:shd w:fill="F8FAFC"/>
          </w:tcPr>
          <w:p>
            <w:pPr>
              <w:spacing w:after="20"/>
            </w:pPr>
            <w:r>
              <w:rPr>
                <w:rFonts w:ascii="Aptos" w:hAnsi="Aptos" w:eastAsia="Aptos"/>
                <w:sz w:val="15"/>
              </w:rPr>
              <w:t>CIMS security logging dan sistem incident management.</w:t>
            </w:r>
          </w:p>
        </w:tc>
      </w:tr>
    </w:tbl>
    <w:p>
      <w:pPr>
        <w:spacing w:after="0"/>
      </w:pPr>
    </w:p>
    <w:p>
      <w:pPr>
        <w:pStyle w:val="Heading1"/>
      </w:pPr>
      <w:r>
        <w:t>11. Asumsi, Kendala, dan Risiko</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814"/>
            <w:shd w:fill="17365D"/>
            <w:vAlign w:val="center"/>
          </w:tcPr>
          <w:p>
            <w:pPr>
              <w:jc w:val="center"/>
            </w:pPr>
            <w:r>
              <w:rPr>
                <w:rFonts w:ascii="Aptos" w:hAnsi="Aptos" w:eastAsia="Aptos"/>
                <w:b/>
                <w:color w:val="FFFFFF"/>
                <w:sz w:val="15"/>
              </w:rPr>
              <w:t>Kategori</w:t>
            </w:r>
          </w:p>
        </w:tc>
        <w:tc>
          <w:tcPr>
            <w:tcW w:type="dxa" w:w="3969"/>
            <w:shd w:fill="17365D"/>
            <w:vAlign w:val="center"/>
          </w:tcPr>
          <w:p>
            <w:pPr>
              <w:jc w:val="center"/>
            </w:pPr>
            <w:r>
              <w:rPr>
                <w:rFonts w:ascii="Aptos" w:hAnsi="Aptos" w:eastAsia="Aptos"/>
                <w:b/>
                <w:color w:val="FFFFFF"/>
                <w:sz w:val="15"/>
              </w:rPr>
              <w:t>Pernyataan atau Risiko</w:t>
            </w:r>
          </w:p>
        </w:tc>
        <w:tc>
          <w:tcPr>
            <w:tcW w:type="dxa" w:w="3969"/>
            <w:shd w:fill="17365D"/>
            <w:vAlign w:val="center"/>
          </w:tcPr>
          <w:p>
            <w:pPr>
              <w:jc w:val="center"/>
            </w:pPr>
            <w:r>
              <w:rPr>
                <w:rFonts w:ascii="Aptos" w:hAnsi="Aptos" w:eastAsia="Aptos"/>
                <w:b/>
                <w:color w:val="FFFFFF"/>
                <w:sz w:val="15"/>
              </w:rPr>
              <w:t>Respons</w:t>
            </w:r>
          </w:p>
        </w:tc>
      </w:tr>
      <w:tr>
        <w:tc>
          <w:tcPr>
            <w:tcW w:type="dxa" w:w="1814"/>
            <w:vAlign w:val="top"/>
          </w:tcPr>
          <w:p>
            <w:pPr>
              <w:spacing w:after="20"/>
            </w:pPr>
            <w:r>
              <w:rPr>
                <w:rFonts w:ascii="Aptos" w:hAnsi="Aptos" w:eastAsia="Aptos"/>
                <w:sz w:val="15"/>
              </w:rPr>
              <w:t>Asumsi</w:t>
            </w:r>
          </w:p>
        </w:tc>
        <w:tc>
          <w:tcPr>
            <w:tcW w:type="dxa" w:w="3969"/>
            <w:vAlign w:val="top"/>
          </w:tcPr>
          <w:p>
            <w:pPr>
              <w:spacing w:after="20"/>
            </w:pPr>
            <w:r>
              <w:rPr>
                <w:rFonts w:ascii="Aptos" w:hAnsi="Aptos" w:eastAsia="Aptos"/>
                <w:sz w:val="15"/>
              </w:rPr>
              <w:t>Tiga instansi menunjuk product owner, process owner, dan pejabat penghubung.</w:t>
            </w:r>
          </w:p>
        </w:tc>
        <w:tc>
          <w:tcPr>
            <w:tcW w:type="dxa" w:w="3969"/>
            <w:vAlign w:val="top"/>
          </w:tcPr>
          <w:p>
            <w:pPr>
              <w:spacing w:after="20"/>
            </w:pPr>
            <w:r>
              <w:rPr>
                <w:rFonts w:ascii="Aptos" w:hAnsi="Aptos" w:eastAsia="Aptos"/>
                <w:sz w:val="15"/>
              </w:rPr>
              <w:t>Masukkan dalam governance pilot.</w:t>
            </w:r>
          </w:p>
        </w:tc>
      </w:tr>
      <w:tr>
        <w:tc>
          <w:tcPr>
            <w:tcW w:type="dxa" w:w="1814"/>
            <w:vAlign w:val="top"/>
            <w:shd w:fill="F8FAFC"/>
          </w:tcPr>
          <w:p>
            <w:pPr>
              <w:spacing w:after="20"/>
            </w:pPr>
            <w:r>
              <w:rPr>
                <w:rFonts w:ascii="Aptos" w:hAnsi="Aptos" w:eastAsia="Aptos"/>
                <w:sz w:val="15"/>
              </w:rPr>
              <w:t>Kendala</w:t>
            </w:r>
          </w:p>
        </w:tc>
        <w:tc>
          <w:tcPr>
            <w:tcW w:type="dxa" w:w="3969"/>
            <w:vAlign w:val="top"/>
            <w:shd w:fill="F8FAFC"/>
          </w:tcPr>
          <w:p>
            <w:pPr>
              <w:spacing w:after="20"/>
            </w:pPr>
            <w:r>
              <w:rPr>
                <w:rFonts w:ascii="Aptos" w:hAnsi="Aptos" w:eastAsia="Aptos"/>
                <w:sz w:val="15"/>
              </w:rPr>
              <w:t>Kanal resmi dan SLA dapat berbeda antarinstansi.</w:t>
            </w:r>
          </w:p>
        </w:tc>
        <w:tc>
          <w:tcPr>
            <w:tcW w:type="dxa" w:w="3969"/>
            <w:vAlign w:val="top"/>
            <w:shd w:fill="F8FAFC"/>
          </w:tcPr>
          <w:p>
            <w:pPr>
              <w:spacing w:after="20"/>
            </w:pPr>
            <w:r>
              <w:rPr>
                <w:rFonts w:ascii="Aptos" w:hAnsi="Aptos" w:eastAsia="Aptos"/>
                <w:sz w:val="15"/>
              </w:rPr>
              <w:t>Gunakan konfigurasi dan template per organisasi.</w:t>
            </w:r>
          </w:p>
        </w:tc>
      </w:tr>
      <w:tr>
        <w:tc>
          <w:tcPr>
            <w:tcW w:type="dxa" w:w="1814"/>
            <w:vAlign w:val="top"/>
          </w:tcPr>
          <w:p>
            <w:pPr>
              <w:spacing w:after="20"/>
            </w:pPr>
            <w:r>
              <w:rPr>
                <w:rFonts w:ascii="Aptos" w:hAnsi="Aptos" w:eastAsia="Aptos"/>
                <w:sz w:val="15"/>
              </w:rPr>
              <w:t>Risiko</w:t>
            </w:r>
          </w:p>
        </w:tc>
        <w:tc>
          <w:tcPr>
            <w:tcW w:type="dxa" w:w="3969"/>
            <w:vAlign w:val="top"/>
          </w:tcPr>
          <w:p>
            <w:pPr>
              <w:spacing w:after="20"/>
            </w:pPr>
            <w:r>
              <w:rPr>
                <w:rFonts w:ascii="Aptos" w:hAnsi="Aptos" w:eastAsia="Aptos"/>
                <w:sz w:val="15"/>
              </w:rPr>
              <w:t>Dual record.</w:t>
            </w:r>
          </w:p>
        </w:tc>
        <w:tc>
          <w:tcPr>
            <w:tcW w:type="dxa" w:w="3969"/>
            <w:vAlign w:val="top"/>
          </w:tcPr>
          <w:p>
            <w:pPr>
              <w:spacing w:after="20"/>
            </w:pPr>
            <w:r>
              <w:rPr>
                <w:rFonts w:ascii="Aptos" w:hAnsi="Aptos" w:eastAsia="Aptos"/>
                <w:sz w:val="15"/>
              </w:rPr>
              <w:t>Reference-first, hash, dan rekonsiliasi.</w:t>
            </w:r>
          </w:p>
        </w:tc>
      </w:tr>
      <w:tr>
        <w:tc>
          <w:tcPr>
            <w:tcW w:type="dxa" w:w="1814"/>
            <w:vAlign w:val="top"/>
            <w:shd w:fill="F8FAFC"/>
          </w:tcPr>
          <w:p>
            <w:pPr>
              <w:spacing w:after="20"/>
            </w:pPr>
            <w:r>
              <w:rPr>
                <w:rFonts w:ascii="Aptos" w:hAnsi="Aptos" w:eastAsia="Aptos"/>
                <w:sz w:val="15"/>
              </w:rPr>
              <w:t>Risiko</w:t>
            </w:r>
          </w:p>
        </w:tc>
        <w:tc>
          <w:tcPr>
            <w:tcW w:type="dxa" w:w="3969"/>
            <w:vAlign w:val="top"/>
            <w:shd w:fill="F8FAFC"/>
          </w:tcPr>
          <w:p>
            <w:pPr>
              <w:spacing w:after="20"/>
            </w:pPr>
            <w:r>
              <w:rPr>
                <w:rFonts w:ascii="Aptos" w:hAnsi="Aptos" w:eastAsia="Aptos"/>
                <w:sz w:val="15"/>
              </w:rPr>
              <w:t>Unauthorized access.</w:t>
            </w:r>
          </w:p>
        </w:tc>
        <w:tc>
          <w:tcPr>
            <w:tcW w:type="dxa" w:w="3969"/>
            <w:vAlign w:val="top"/>
            <w:shd w:fill="F8FAFC"/>
          </w:tcPr>
          <w:p>
            <w:pPr>
              <w:spacing w:after="20"/>
            </w:pPr>
            <w:r>
              <w:rPr>
                <w:rFonts w:ascii="Aptos" w:hAnsi="Aptos" w:eastAsia="Aptos"/>
                <w:sz w:val="15"/>
              </w:rPr>
              <w:t>RBAC, ABAC, privileged access monitoring, dan access review.</w:t>
            </w:r>
          </w:p>
        </w:tc>
      </w:tr>
      <w:tr>
        <w:tc>
          <w:tcPr>
            <w:tcW w:type="dxa" w:w="1814"/>
            <w:vAlign w:val="top"/>
          </w:tcPr>
          <w:p>
            <w:pPr>
              <w:spacing w:after="20"/>
            </w:pPr>
            <w:r>
              <w:rPr>
                <w:rFonts w:ascii="Aptos" w:hAnsi="Aptos" w:eastAsia="Aptos"/>
                <w:sz w:val="15"/>
              </w:rPr>
              <w:t>Risiko</w:t>
            </w:r>
          </w:p>
        </w:tc>
        <w:tc>
          <w:tcPr>
            <w:tcW w:type="dxa" w:w="3969"/>
            <w:vAlign w:val="top"/>
          </w:tcPr>
          <w:p>
            <w:pPr>
              <w:spacing w:after="20"/>
            </w:pPr>
            <w:r>
              <w:rPr>
                <w:rFonts w:ascii="Aptos" w:hAnsi="Aptos" w:eastAsia="Aptos"/>
                <w:sz w:val="15"/>
              </w:rPr>
              <w:t>Sengketa pemberitahuan.</w:t>
            </w:r>
          </w:p>
        </w:tc>
        <w:tc>
          <w:tcPr>
            <w:tcW w:type="dxa" w:w="3969"/>
            <w:vAlign w:val="top"/>
          </w:tcPr>
          <w:p>
            <w:pPr>
              <w:spacing w:after="20"/>
            </w:pPr>
            <w:r>
              <w:rPr>
                <w:rFonts w:ascii="Aptos" w:hAnsi="Aptos" w:eastAsia="Aptos"/>
                <w:sz w:val="15"/>
              </w:rPr>
              <w:t>Trusted timestamp, delivery proof, acknowledgment, dan fallback evidence.</w:t>
            </w:r>
          </w:p>
        </w:tc>
      </w:tr>
      <w:tr>
        <w:tc>
          <w:tcPr>
            <w:tcW w:type="dxa" w:w="1814"/>
            <w:vAlign w:val="top"/>
            <w:shd w:fill="F8FAFC"/>
          </w:tcPr>
          <w:p>
            <w:pPr>
              <w:spacing w:after="20"/>
            </w:pPr>
            <w:r>
              <w:rPr>
                <w:rFonts w:ascii="Aptos" w:hAnsi="Aptos" w:eastAsia="Aptos"/>
                <w:sz w:val="15"/>
              </w:rPr>
              <w:t>Risiko</w:t>
            </w:r>
          </w:p>
        </w:tc>
        <w:tc>
          <w:tcPr>
            <w:tcW w:type="dxa" w:w="3969"/>
            <w:vAlign w:val="top"/>
            <w:shd w:fill="F8FAFC"/>
          </w:tcPr>
          <w:p>
            <w:pPr>
              <w:spacing w:after="20"/>
            </w:pPr>
            <w:r>
              <w:rPr>
                <w:rFonts w:ascii="Aptos" w:hAnsi="Aptos" w:eastAsia="Aptos"/>
                <w:sz w:val="15"/>
              </w:rPr>
              <w:t>Provider outage.</w:t>
            </w:r>
          </w:p>
        </w:tc>
        <w:tc>
          <w:tcPr>
            <w:tcW w:type="dxa" w:w="3969"/>
            <w:vAlign w:val="top"/>
            <w:shd w:fill="F8FAFC"/>
          </w:tcPr>
          <w:p>
            <w:pPr>
              <w:spacing w:after="20"/>
            </w:pPr>
            <w:r>
              <w:rPr>
                <w:rFonts w:ascii="Aptos" w:hAnsi="Aptos" w:eastAsia="Aptos"/>
                <w:sz w:val="15"/>
              </w:rPr>
              <w:t>Adapter provider, health check, dan contingency plan.</w:t>
            </w:r>
          </w:p>
        </w:tc>
      </w:tr>
      <w:tr>
        <w:tc>
          <w:tcPr>
            <w:tcW w:type="dxa" w:w="1814"/>
            <w:vAlign w:val="top"/>
          </w:tcPr>
          <w:p>
            <w:pPr>
              <w:spacing w:after="20"/>
            </w:pPr>
            <w:r>
              <w:rPr>
                <w:rFonts w:ascii="Aptos" w:hAnsi="Aptos" w:eastAsia="Aptos"/>
                <w:sz w:val="15"/>
              </w:rPr>
              <w:t>Risiko</w:t>
            </w:r>
          </w:p>
        </w:tc>
        <w:tc>
          <w:tcPr>
            <w:tcW w:type="dxa" w:w="3969"/>
            <w:vAlign w:val="top"/>
          </w:tcPr>
          <w:p>
            <w:pPr>
              <w:spacing w:after="20"/>
            </w:pPr>
            <w:r>
              <w:rPr>
                <w:rFonts w:ascii="Aptos" w:hAnsi="Aptos" w:eastAsia="Aptos"/>
                <w:sz w:val="15"/>
              </w:rPr>
              <w:t>Kebocoran rekaman.</w:t>
            </w:r>
          </w:p>
        </w:tc>
        <w:tc>
          <w:tcPr>
            <w:tcW w:type="dxa" w:w="3969"/>
            <w:vAlign w:val="top"/>
          </w:tcPr>
          <w:p>
            <w:pPr>
              <w:spacing w:after="20"/>
            </w:pPr>
            <w:r>
              <w:rPr>
                <w:rFonts w:ascii="Aptos" w:hAnsi="Aptos" w:eastAsia="Aptos"/>
                <w:sz w:val="15"/>
              </w:rPr>
              <w:t>Encryption, key control, watermark, access log, dan retention.</w:t>
            </w:r>
          </w:p>
        </w:tc>
      </w:tr>
      <w:tr>
        <w:tc>
          <w:tcPr>
            <w:tcW w:type="dxa" w:w="1814"/>
            <w:vAlign w:val="top"/>
            <w:shd w:fill="F8FAFC"/>
          </w:tcPr>
          <w:p>
            <w:pPr>
              <w:spacing w:after="20"/>
            </w:pPr>
            <w:r>
              <w:rPr>
                <w:rFonts w:ascii="Aptos" w:hAnsi="Aptos" w:eastAsia="Aptos"/>
                <w:sz w:val="15"/>
              </w:rPr>
              <w:t>Risiko</w:t>
            </w:r>
          </w:p>
        </w:tc>
        <w:tc>
          <w:tcPr>
            <w:tcW w:type="dxa" w:w="3969"/>
            <w:vAlign w:val="top"/>
            <w:shd w:fill="F8FAFC"/>
          </w:tcPr>
          <w:p>
            <w:pPr>
              <w:spacing w:after="20"/>
            </w:pPr>
            <w:r>
              <w:rPr>
                <w:rFonts w:ascii="Aptos" w:hAnsi="Aptos" w:eastAsia="Aptos"/>
                <w:sz w:val="15"/>
              </w:rPr>
              <w:t>Ambiguitas lintas instansi.</w:t>
            </w:r>
          </w:p>
        </w:tc>
        <w:tc>
          <w:tcPr>
            <w:tcW w:type="dxa" w:w="3969"/>
            <w:vAlign w:val="top"/>
            <w:shd w:fill="F8FAFC"/>
          </w:tcPr>
          <w:p>
            <w:pPr>
              <w:spacing w:after="20"/>
            </w:pPr>
            <w:r>
              <w:rPr>
                <w:rFonts w:ascii="Aptos" w:hAnsi="Aptos" w:eastAsia="Aptos"/>
                <w:sz w:val="15"/>
              </w:rPr>
              <w:t>BPMN, RACI, SLA, dan escalation matrix yang disahkan.</w:t>
            </w:r>
          </w:p>
        </w:tc>
      </w:tr>
    </w:tbl>
    <w:p>
      <w:pPr>
        <w:spacing w:after="0"/>
      </w:pPr>
    </w:p>
    <w:p>
      <w:pPr>
        <w:pStyle w:val="Heading1"/>
      </w:pPr>
      <w:r>
        <w:t>12. Roadmap dan Gate Pengembangan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551"/>
            <w:shd w:fill="17365D"/>
            <w:vAlign w:val="center"/>
          </w:tcPr>
          <w:p>
            <w:pPr>
              <w:jc w:val="center"/>
            </w:pPr>
            <w:r>
              <w:rPr>
                <w:rFonts w:ascii="Aptos" w:hAnsi="Aptos" w:eastAsia="Aptos"/>
                <w:b/>
                <w:color w:val="FFFFFF"/>
                <w:sz w:val="15"/>
              </w:rPr>
              <w:t>Gate atau Fase</w:t>
            </w:r>
          </w:p>
        </w:tc>
        <w:tc>
          <w:tcPr>
            <w:tcW w:type="dxa" w:w="4535"/>
            <w:shd w:fill="17365D"/>
            <w:vAlign w:val="center"/>
          </w:tcPr>
          <w:p>
            <w:pPr>
              <w:jc w:val="center"/>
            </w:pPr>
            <w:r>
              <w:rPr>
                <w:rFonts w:ascii="Aptos" w:hAnsi="Aptos" w:eastAsia="Aptos"/>
                <w:b/>
                <w:color w:val="FFFFFF"/>
                <w:sz w:val="15"/>
              </w:rPr>
              <w:t>Kriteria Keluar</w:t>
            </w:r>
          </w:p>
        </w:tc>
        <w:tc>
          <w:tcPr>
            <w:tcW w:type="dxa" w:w="2835"/>
            <w:shd w:fill="17365D"/>
            <w:vAlign w:val="center"/>
          </w:tcPr>
          <w:p>
            <w:pPr>
              <w:jc w:val="center"/>
            </w:pPr>
            <w:r>
              <w:rPr>
                <w:rFonts w:ascii="Aptos" w:hAnsi="Aptos" w:eastAsia="Aptos"/>
                <w:b/>
                <w:color w:val="FFFFFF"/>
                <w:sz w:val="15"/>
              </w:rPr>
              <w:t>Output</w:t>
            </w:r>
          </w:p>
        </w:tc>
      </w:tr>
      <w:tr>
        <w:tc>
          <w:tcPr>
            <w:tcW w:type="dxa" w:w="2551"/>
            <w:vAlign w:val="top"/>
          </w:tcPr>
          <w:p>
            <w:pPr>
              <w:spacing w:after="20"/>
            </w:pPr>
            <w:r>
              <w:rPr>
                <w:rFonts w:ascii="Aptos" w:hAnsi="Aptos" w:eastAsia="Aptos"/>
                <w:sz w:val="15"/>
              </w:rPr>
              <w:t>Gate 0 Legal and Process Baseline</w:t>
            </w:r>
          </w:p>
        </w:tc>
        <w:tc>
          <w:tcPr>
            <w:tcW w:type="dxa" w:w="4535"/>
            <w:vAlign w:val="top"/>
          </w:tcPr>
          <w:p>
            <w:pPr>
              <w:spacing w:after="20"/>
            </w:pPr>
            <w:r>
              <w:rPr>
                <w:rFonts w:ascii="Aptos" w:hAnsi="Aptos" w:eastAsia="Aptos"/>
                <w:sz w:val="15"/>
              </w:rPr>
              <w:t>SOP, BPMN, RACI, data classification, dan integration boundary disetujui.</w:t>
            </w:r>
          </w:p>
        </w:tc>
        <w:tc>
          <w:tcPr>
            <w:tcW w:type="dxa" w:w="2835"/>
            <w:vAlign w:val="top"/>
          </w:tcPr>
          <w:p>
            <w:pPr>
              <w:spacing w:after="20"/>
            </w:pPr>
            <w:r>
              <w:rPr>
                <w:rFonts w:ascii="Aptos" w:hAnsi="Aptos" w:eastAsia="Aptos"/>
                <w:sz w:val="15"/>
              </w:rPr>
              <w:t>Baseline proses dan kewenangan.</w:t>
            </w:r>
          </w:p>
        </w:tc>
      </w:tr>
      <w:tr>
        <w:tc>
          <w:tcPr>
            <w:tcW w:type="dxa" w:w="2551"/>
            <w:vAlign w:val="top"/>
            <w:shd w:fill="F8FAFC"/>
          </w:tcPr>
          <w:p>
            <w:pPr>
              <w:spacing w:after="20"/>
            </w:pPr>
            <w:r>
              <w:rPr>
                <w:rFonts w:ascii="Aptos" w:hAnsi="Aptos" w:eastAsia="Aptos"/>
                <w:sz w:val="15"/>
              </w:rPr>
              <w:t>Gate 1 Product Baseline</w:t>
            </w:r>
          </w:p>
        </w:tc>
        <w:tc>
          <w:tcPr>
            <w:tcW w:type="dxa" w:w="4535"/>
            <w:vAlign w:val="top"/>
            <w:shd w:fill="F8FAFC"/>
          </w:tcPr>
          <w:p>
            <w:pPr>
              <w:spacing w:after="20"/>
            </w:pPr>
            <w:r>
              <w:rPr>
                <w:rFonts w:ascii="Aptos" w:hAnsi="Aptos" w:eastAsia="Aptos"/>
                <w:sz w:val="15"/>
              </w:rPr>
              <w:t>BRD, KPI, scope, business rules, dan backlog disetujui.</w:t>
            </w:r>
          </w:p>
        </w:tc>
        <w:tc>
          <w:tcPr>
            <w:tcW w:type="dxa" w:w="2835"/>
            <w:vAlign w:val="top"/>
            <w:shd w:fill="F8FAFC"/>
          </w:tcPr>
          <w:p>
            <w:pPr>
              <w:spacing w:after="20"/>
            </w:pPr>
            <w:r>
              <w:rPr>
                <w:rFonts w:ascii="Aptos" w:hAnsi="Aptos" w:eastAsia="Aptos"/>
                <w:sz w:val="15"/>
              </w:rPr>
              <w:t>Product backlog yang terkendali.</w:t>
            </w:r>
          </w:p>
        </w:tc>
      </w:tr>
      <w:tr>
        <w:tc>
          <w:tcPr>
            <w:tcW w:type="dxa" w:w="2551"/>
            <w:vAlign w:val="top"/>
          </w:tcPr>
          <w:p>
            <w:pPr>
              <w:spacing w:after="20"/>
            </w:pPr>
            <w:r>
              <w:rPr>
                <w:rFonts w:ascii="Aptos" w:hAnsi="Aptos" w:eastAsia="Aptos"/>
                <w:sz w:val="15"/>
              </w:rPr>
              <w:t>Gate 2 Technical Baseline</w:t>
            </w:r>
          </w:p>
        </w:tc>
        <w:tc>
          <w:tcPr>
            <w:tcW w:type="dxa" w:w="4535"/>
            <w:vAlign w:val="top"/>
          </w:tcPr>
          <w:p>
            <w:pPr>
              <w:spacing w:after="20"/>
            </w:pPr>
            <w:r>
              <w:rPr>
                <w:rFonts w:ascii="Aptos" w:hAnsi="Aptos" w:eastAsia="Aptos"/>
                <w:sz w:val="15"/>
              </w:rPr>
              <w:t>ERD, SRS, API contract, threat model, dan UAT baseline disetujui.</w:t>
            </w:r>
          </w:p>
        </w:tc>
        <w:tc>
          <w:tcPr>
            <w:tcW w:type="dxa" w:w="2835"/>
            <w:vAlign w:val="top"/>
          </w:tcPr>
          <w:p>
            <w:pPr>
              <w:spacing w:after="20"/>
            </w:pPr>
            <w:r>
              <w:rPr>
                <w:rFonts w:ascii="Aptos" w:hAnsi="Aptos" w:eastAsia="Aptos"/>
                <w:sz w:val="15"/>
              </w:rPr>
              <w:t>Siap sprint development.</w:t>
            </w:r>
          </w:p>
        </w:tc>
      </w:tr>
      <w:tr>
        <w:tc>
          <w:tcPr>
            <w:tcW w:type="dxa" w:w="2551"/>
            <w:vAlign w:val="top"/>
            <w:shd w:fill="F8FAFC"/>
          </w:tcPr>
          <w:p>
            <w:pPr>
              <w:spacing w:after="20"/>
            </w:pPr>
            <w:r>
              <w:rPr>
                <w:rFonts w:ascii="Aptos" w:hAnsi="Aptos" w:eastAsia="Aptos"/>
                <w:sz w:val="15"/>
              </w:rPr>
              <w:t>Phase 1 Compliance MVP</w:t>
            </w:r>
          </w:p>
        </w:tc>
        <w:tc>
          <w:tcPr>
            <w:tcW w:type="dxa" w:w="4535"/>
            <w:vAlign w:val="top"/>
            <w:shd w:fill="F8FAFC"/>
          </w:tcPr>
          <w:p>
            <w:pPr>
              <w:spacing w:after="20"/>
            </w:pPr>
            <w:r>
              <w:rPr>
                <w:rFonts w:ascii="Aptos" w:hAnsi="Aptos" w:eastAsia="Aptos"/>
                <w:sz w:val="15"/>
              </w:rPr>
              <w:t>Seluruh MUST dan acceptance criteria lulus UAT pilot lintas instansi.</w:t>
            </w:r>
          </w:p>
        </w:tc>
        <w:tc>
          <w:tcPr>
            <w:tcW w:type="dxa" w:w="2835"/>
            <w:vAlign w:val="top"/>
            <w:shd w:fill="F8FAFC"/>
          </w:tcPr>
          <w:p>
            <w:pPr>
              <w:spacing w:after="20"/>
            </w:pPr>
            <w:r>
              <w:rPr>
                <w:rFonts w:ascii="Aptos" w:hAnsi="Aptos" w:eastAsia="Aptos"/>
                <w:sz w:val="15"/>
              </w:rPr>
              <w:t>MVP operasional.</w:t>
            </w:r>
          </w:p>
        </w:tc>
      </w:tr>
      <w:tr>
        <w:tc>
          <w:tcPr>
            <w:tcW w:type="dxa" w:w="2551"/>
            <w:vAlign w:val="top"/>
          </w:tcPr>
          <w:p>
            <w:pPr>
              <w:spacing w:after="20"/>
            </w:pPr>
            <w:r>
              <w:rPr>
                <w:rFonts w:ascii="Aptos" w:hAnsi="Aptos" w:eastAsia="Aptos"/>
                <w:sz w:val="15"/>
              </w:rPr>
              <w:t>Phase 2 Integration and Hardening</w:t>
            </w:r>
          </w:p>
        </w:tc>
        <w:tc>
          <w:tcPr>
            <w:tcW w:type="dxa" w:w="4535"/>
            <w:vAlign w:val="top"/>
          </w:tcPr>
          <w:p>
            <w:pPr>
              <w:spacing w:after="20"/>
            </w:pPr>
            <w:r>
              <w:rPr>
                <w:rFonts w:ascii="Aptos" w:hAnsi="Aptos" w:eastAsia="Aptos"/>
                <w:sz w:val="15"/>
              </w:rPr>
              <w:t>Integrasi resmi, DR test, performance, dan security assessment lulus.</w:t>
            </w:r>
          </w:p>
        </w:tc>
        <w:tc>
          <w:tcPr>
            <w:tcW w:type="dxa" w:w="2835"/>
            <w:vAlign w:val="top"/>
          </w:tcPr>
          <w:p>
            <w:pPr>
              <w:spacing w:after="20"/>
            </w:pPr>
            <w:r>
              <w:rPr>
                <w:rFonts w:ascii="Aptos" w:hAnsi="Aptos" w:eastAsia="Aptos"/>
                <w:sz w:val="15"/>
              </w:rPr>
              <w:t>Pilot production terbatas.</w:t>
            </w:r>
          </w:p>
        </w:tc>
      </w:tr>
      <w:tr>
        <w:tc>
          <w:tcPr>
            <w:tcW w:type="dxa" w:w="2551"/>
            <w:vAlign w:val="top"/>
            <w:shd w:fill="F8FAFC"/>
          </w:tcPr>
          <w:p>
            <w:pPr>
              <w:spacing w:after="20"/>
            </w:pPr>
            <w:r>
              <w:rPr>
                <w:rFonts w:ascii="Aptos" w:hAnsi="Aptos" w:eastAsia="Aptos"/>
                <w:sz w:val="15"/>
              </w:rPr>
              <w:t>Phase 3 Assistive Intelligence</w:t>
            </w:r>
          </w:p>
        </w:tc>
        <w:tc>
          <w:tcPr>
            <w:tcW w:type="dxa" w:w="4535"/>
            <w:vAlign w:val="top"/>
            <w:shd w:fill="F8FAFC"/>
          </w:tcPr>
          <w:p>
            <w:pPr>
              <w:spacing w:after="20"/>
            </w:pPr>
            <w:r>
              <w:rPr>
                <w:rFonts w:ascii="Aptos" w:hAnsi="Aptos" w:eastAsia="Aptos"/>
                <w:sz w:val="15"/>
              </w:rPr>
              <w:t>Governance, dataset, evaluation, human review, dan approval tersedia.</w:t>
            </w:r>
          </w:p>
        </w:tc>
        <w:tc>
          <w:tcPr>
            <w:tcW w:type="dxa" w:w="2835"/>
            <w:vAlign w:val="top"/>
            <w:shd w:fill="F8FAFC"/>
          </w:tcPr>
          <w:p>
            <w:pPr>
              <w:spacing w:after="20"/>
            </w:pPr>
            <w:r>
              <w:rPr>
                <w:rFonts w:ascii="Aptos" w:hAnsi="Aptos" w:eastAsia="Aptos"/>
                <w:sz w:val="15"/>
              </w:rPr>
              <w:t>Fitur AI bantuan administratif.</w:t>
            </w:r>
          </w:p>
        </w:tc>
      </w:tr>
    </w:tbl>
    <w:p>
      <w:pPr>
        <w:spacing w:after="0"/>
      </w:pPr>
    </w:p>
    <w:p>
      <w:pPr>
        <w:pStyle w:val="Heading1"/>
      </w:pPr>
      <w:r>
        <w:t>13. Definition of Done BRD</w:t>
      </w:r>
    </w:p>
    <w:p>
      <w:pPr>
        <w:pStyle w:val="ListBullet"/>
      </w:pPr>
      <w:r>
        <w:rPr>
          <w:rFonts w:ascii="Aptos" w:hAnsi="Aptos" w:eastAsia="Aptos"/>
          <w:sz w:val="20"/>
        </w:rPr>
        <w:t>Scope, out of scope, stakeholder, tujuan, KPI, dan risiko telah disetujui.</w:t>
      </w:r>
    </w:p>
    <w:p>
      <w:pPr>
        <w:pStyle w:val="ListBullet"/>
      </w:pPr>
      <w:r>
        <w:rPr>
          <w:rFonts w:ascii="Aptos" w:hAnsi="Aptos" w:eastAsia="Aptos"/>
          <w:sz w:val="20"/>
        </w:rPr>
        <w:t>Setiap kebutuhan bisnis dapat ditelusuri ke SOP, BPMN, SRS, ERD, dan UAT.</w:t>
      </w:r>
    </w:p>
    <w:p>
      <w:pPr>
        <w:pStyle w:val="ListBullet"/>
      </w:pPr>
      <w:r>
        <w:rPr>
          <w:rFonts w:ascii="Aptos" w:hAnsi="Aptos" w:eastAsia="Aptos"/>
          <w:sz w:val="20"/>
        </w:rPr>
        <w:t>Tidak ada fitur jadwal atau ruang virtual yang melompati judicial determination gate.</w:t>
      </w:r>
    </w:p>
    <w:p>
      <w:pPr>
        <w:pStyle w:val="ListBullet"/>
      </w:pPr>
      <w:r>
        <w:rPr>
          <w:rFonts w:ascii="Aptos" w:hAnsi="Aptos" w:eastAsia="Aptos"/>
          <w:sz w:val="20"/>
        </w:rPr>
        <w:t>Product Owner dari tiga instansi menyetujui proses pemberitahuan, readiness, dan incident.</w:t>
      </w:r>
    </w:p>
    <w:p>
      <w:pPr>
        <w:pStyle w:val="ListBullet"/>
      </w:pPr>
      <w:r>
        <w:rPr>
          <w:rFonts w:ascii="Aptos" w:hAnsi="Aptos" w:eastAsia="Aptos"/>
          <w:sz w:val="20"/>
        </w:rPr>
        <w:t>Perubahan BRD setelah baseline menggunakan change request dan impact analysis.</w:t>
      </w:r>
    </w:p>
    <w:sectPr w:rsidR="00FC693F" w:rsidRPr="0006063C" w:rsidSect="00034616">
      <w:headerReference w:type="default" r:id="rId9"/>
      <w:footerReference w:type="default" r:id="rId10"/>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95959"/>
        <w:sz w:val="16"/>
      </w:rPr>
      <w:t xml:space="preserve">Draft untuk validasi lintas instansi | Halaman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595959"/>
        <w:sz w:val="16"/>
      </w:rPr>
      <w:t>CIMS Development Baseline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27" w:right="227"/>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