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C99EE9F" w14:textId="13DE34C5" w:rsidR="0042240F" w:rsidRPr="00374140" w:rsidRDefault="0042240F" w:rsidP="00A15AD3">
      <w:pPr>
        <w:pStyle w:val="IntenseQuote"/>
        <w:tabs>
          <w:tab w:val="left" w:pos="8300"/>
        </w:tabs>
        <w:ind w:left="-142"/>
        <w:rPr>
          <w:rFonts w:ascii="Verdana" w:hAnsi="Verdana"/>
        </w:rPr>
      </w:pPr>
      <w:r w:rsidRPr="00374140">
        <w:rPr>
          <w:rFonts w:ascii="Verdana" w:hAnsi="Verdana"/>
        </w:rPr>
        <w:t>Foundations of Statistics – Rafael Martins Guimarães</w:t>
      </w:r>
    </w:p>
    <w:p w14:paraId="2D161571" w14:textId="77777777" w:rsidR="005D4747" w:rsidRPr="00374140" w:rsidRDefault="00E53B3A" w:rsidP="00A15AD3">
      <w:pPr>
        <w:pStyle w:val="IntenseQuote"/>
        <w:tabs>
          <w:tab w:val="left" w:pos="8300"/>
        </w:tabs>
        <w:ind w:left="-142"/>
        <w:rPr>
          <w:rFonts w:ascii="Verdana" w:hAnsi="Verdana"/>
        </w:rPr>
      </w:pPr>
      <w:r w:rsidRPr="00374140">
        <w:rPr>
          <w:rFonts w:ascii="Verdana" w:hAnsi="Verdana"/>
        </w:rPr>
        <w:t>Part 1</w:t>
      </w:r>
    </w:p>
    <w:p w14:paraId="434150CA" w14:textId="77777777" w:rsidR="00A15AD3" w:rsidRPr="00374140" w:rsidRDefault="00A15AD3">
      <w:pPr>
        <w:rPr>
          <w:rFonts w:ascii="Verdana" w:hAnsi="Verdana"/>
        </w:rPr>
      </w:pPr>
    </w:p>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129"/>
        <w:gridCol w:w="2129"/>
        <w:gridCol w:w="2129"/>
        <w:gridCol w:w="2129"/>
      </w:tblGrid>
      <w:tr w:rsidR="00E53B3A" w:rsidRPr="00374140" w14:paraId="04EC2AAC" w14:textId="77777777" w:rsidTr="00CA32FF">
        <w:tc>
          <w:tcPr>
            <w:tcW w:w="2129" w:type="dxa"/>
          </w:tcPr>
          <w:p w14:paraId="3BC53854" w14:textId="77777777" w:rsidR="00E53B3A" w:rsidRPr="00374140" w:rsidRDefault="00E53B3A">
            <w:pPr>
              <w:rPr>
                <w:rFonts w:ascii="Verdana" w:hAnsi="Verdana"/>
                <w:sz w:val="20"/>
                <w:szCs w:val="20"/>
              </w:rPr>
            </w:pPr>
          </w:p>
        </w:tc>
        <w:tc>
          <w:tcPr>
            <w:tcW w:w="2129" w:type="dxa"/>
          </w:tcPr>
          <w:p w14:paraId="180EAFB5" w14:textId="77777777" w:rsidR="00E53B3A" w:rsidRPr="00374140" w:rsidRDefault="00E53B3A" w:rsidP="00E53B3A">
            <w:pPr>
              <w:rPr>
                <w:rFonts w:ascii="Verdana" w:hAnsi="Verdana"/>
                <w:sz w:val="20"/>
                <w:szCs w:val="20"/>
              </w:rPr>
            </w:pPr>
            <w:r w:rsidRPr="00374140">
              <w:rPr>
                <w:rFonts w:ascii="Verdana" w:hAnsi="Verdana"/>
                <w:sz w:val="20"/>
                <w:szCs w:val="20"/>
              </w:rPr>
              <w:t>The price of the house</w:t>
            </w:r>
          </w:p>
        </w:tc>
        <w:tc>
          <w:tcPr>
            <w:tcW w:w="2129" w:type="dxa"/>
          </w:tcPr>
          <w:p w14:paraId="06776748" w14:textId="77777777" w:rsidR="00E53B3A" w:rsidRPr="00374140" w:rsidRDefault="00E53B3A" w:rsidP="00E53B3A">
            <w:pPr>
              <w:rPr>
                <w:rFonts w:ascii="Verdana" w:hAnsi="Verdana"/>
                <w:sz w:val="20"/>
                <w:szCs w:val="20"/>
              </w:rPr>
            </w:pPr>
            <w:r w:rsidRPr="00374140">
              <w:rPr>
                <w:rFonts w:ascii="Verdana" w:hAnsi="Verdana"/>
                <w:sz w:val="20"/>
                <w:szCs w:val="20"/>
              </w:rPr>
              <w:t>The Yard sizes</w:t>
            </w:r>
          </w:p>
        </w:tc>
        <w:tc>
          <w:tcPr>
            <w:tcW w:w="2129" w:type="dxa"/>
          </w:tcPr>
          <w:p w14:paraId="2DC1F54C" w14:textId="77777777" w:rsidR="00E53B3A" w:rsidRPr="00374140" w:rsidRDefault="00E53B3A" w:rsidP="00E53B3A">
            <w:pPr>
              <w:rPr>
                <w:rFonts w:ascii="Verdana" w:hAnsi="Verdana"/>
                <w:sz w:val="20"/>
                <w:szCs w:val="20"/>
              </w:rPr>
            </w:pPr>
            <w:r w:rsidRPr="00374140">
              <w:rPr>
                <w:rFonts w:ascii="Verdana" w:hAnsi="Verdana"/>
                <w:sz w:val="20"/>
                <w:szCs w:val="20"/>
              </w:rPr>
              <w:t>The house sizes (sqft)</w:t>
            </w:r>
          </w:p>
        </w:tc>
      </w:tr>
      <w:tr w:rsidR="00E53B3A" w:rsidRPr="00374140" w14:paraId="53E9A40F" w14:textId="77777777" w:rsidTr="00CA32FF">
        <w:tc>
          <w:tcPr>
            <w:tcW w:w="2129" w:type="dxa"/>
          </w:tcPr>
          <w:p w14:paraId="732DB597" w14:textId="77777777" w:rsidR="00E53B3A" w:rsidRPr="00374140" w:rsidRDefault="00E53B3A" w:rsidP="003C42B4">
            <w:pPr>
              <w:jc w:val="right"/>
              <w:rPr>
                <w:rFonts w:ascii="Verdana" w:hAnsi="Verdana"/>
                <w:sz w:val="20"/>
                <w:szCs w:val="20"/>
              </w:rPr>
            </w:pPr>
            <w:r w:rsidRPr="00374140">
              <w:rPr>
                <w:rFonts w:ascii="Verdana" w:hAnsi="Verdana"/>
                <w:sz w:val="20"/>
                <w:szCs w:val="20"/>
              </w:rPr>
              <w:t>Mean</w:t>
            </w:r>
          </w:p>
        </w:tc>
        <w:tc>
          <w:tcPr>
            <w:tcW w:w="2129" w:type="dxa"/>
          </w:tcPr>
          <w:p w14:paraId="3B9C4908" w14:textId="77777777" w:rsidR="00E53B3A" w:rsidRPr="00374140" w:rsidRDefault="00E53B3A">
            <w:pPr>
              <w:rPr>
                <w:rFonts w:ascii="Verdana" w:hAnsi="Verdana"/>
                <w:sz w:val="20"/>
                <w:szCs w:val="20"/>
              </w:rPr>
            </w:pPr>
            <w:r w:rsidRPr="00374140">
              <w:rPr>
                <w:rFonts w:ascii="Verdana" w:hAnsi="Verdana"/>
                <w:sz w:val="20"/>
                <w:szCs w:val="20"/>
              </w:rPr>
              <w:t>228.6294</w:t>
            </w:r>
          </w:p>
        </w:tc>
        <w:tc>
          <w:tcPr>
            <w:tcW w:w="2129" w:type="dxa"/>
          </w:tcPr>
          <w:p w14:paraId="75AA9663" w14:textId="77777777" w:rsidR="00E53B3A" w:rsidRPr="00374140" w:rsidRDefault="00E53B3A">
            <w:pPr>
              <w:rPr>
                <w:rFonts w:ascii="Verdana" w:hAnsi="Verdana"/>
                <w:sz w:val="20"/>
                <w:szCs w:val="20"/>
              </w:rPr>
            </w:pPr>
            <w:r w:rsidRPr="00374140">
              <w:rPr>
                <w:rFonts w:ascii="Verdana" w:hAnsi="Verdana"/>
                <w:sz w:val="20"/>
                <w:szCs w:val="20"/>
              </w:rPr>
              <w:t>7472.72</w:t>
            </w:r>
          </w:p>
        </w:tc>
        <w:tc>
          <w:tcPr>
            <w:tcW w:w="2129" w:type="dxa"/>
          </w:tcPr>
          <w:p w14:paraId="2C58560B" w14:textId="77777777" w:rsidR="00E53B3A" w:rsidRPr="00374140" w:rsidRDefault="00E53B3A">
            <w:pPr>
              <w:rPr>
                <w:rFonts w:ascii="Verdana" w:hAnsi="Verdana"/>
                <w:sz w:val="20"/>
                <w:szCs w:val="20"/>
              </w:rPr>
            </w:pPr>
            <w:r w:rsidRPr="00374140">
              <w:rPr>
                <w:rFonts w:ascii="Verdana" w:hAnsi="Verdana"/>
                <w:sz w:val="20"/>
                <w:szCs w:val="20"/>
              </w:rPr>
              <w:t>1991.525</w:t>
            </w:r>
          </w:p>
        </w:tc>
      </w:tr>
      <w:tr w:rsidR="00E53B3A" w:rsidRPr="00374140" w14:paraId="4833F44E" w14:textId="77777777" w:rsidTr="00CA32FF">
        <w:tc>
          <w:tcPr>
            <w:tcW w:w="2129" w:type="dxa"/>
          </w:tcPr>
          <w:p w14:paraId="4547B8E7" w14:textId="77777777" w:rsidR="00E53B3A" w:rsidRPr="00374140" w:rsidRDefault="00E53B3A" w:rsidP="003C42B4">
            <w:pPr>
              <w:jc w:val="right"/>
              <w:rPr>
                <w:rFonts w:ascii="Verdana" w:hAnsi="Verdana"/>
                <w:sz w:val="20"/>
                <w:szCs w:val="20"/>
              </w:rPr>
            </w:pPr>
            <w:r w:rsidRPr="00374140">
              <w:rPr>
                <w:rFonts w:ascii="Verdana" w:hAnsi="Verdana"/>
                <w:sz w:val="20"/>
                <w:szCs w:val="20"/>
              </w:rPr>
              <w:t>Median</w:t>
            </w:r>
          </w:p>
        </w:tc>
        <w:tc>
          <w:tcPr>
            <w:tcW w:w="2129" w:type="dxa"/>
          </w:tcPr>
          <w:p w14:paraId="6B8D4D82" w14:textId="77777777" w:rsidR="00E53B3A" w:rsidRPr="00374140" w:rsidRDefault="00E53B3A">
            <w:pPr>
              <w:rPr>
                <w:rFonts w:ascii="Verdana" w:hAnsi="Verdana"/>
                <w:sz w:val="20"/>
                <w:szCs w:val="20"/>
              </w:rPr>
            </w:pPr>
            <w:r w:rsidRPr="00374140">
              <w:rPr>
                <w:rFonts w:ascii="Verdana" w:hAnsi="Verdana"/>
                <w:sz w:val="20"/>
                <w:szCs w:val="20"/>
              </w:rPr>
              <w:t>195</w:t>
            </w:r>
          </w:p>
        </w:tc>
        <w:tc>
          <w:tcPr>
            <w:tcW w:w="2129" w:type="dxa"/>
          </w:tcPr>
          <w:p w14:paraId="26E35B08" w14:textId="77777777" w:rsidR="00E53B3A" w:rsidRPr="00374140" w:rsidRDefault="00E53B3A">
            <w:pPr>
              <w:rPr>
                <w:rFonts w:ascii="Verdana" w:hAnsi="Verdana"/>
                <w:sz w:val="20"/>
                <w:szCs w:val="20"/>
              </w:rPr>
            </w:pPr>
            <w:r w:rsidRPr="00374140">
              <w:rPr>
                <w:rFonts w:ascii="Verdana" w:hAnsi="Verdana"/>
                <w:sz w:val="20"/>
                <w:szCs w:val="20"/>
              </w:rPr>
              <w:t>6400</w:t>
            </w:r>
          </w:p>
        </w:tc>
        <w:tc>
          <w:tcPr>
            <w:tcW w:w="2129" w:type="dxa"/>
          </w:tcPr>
          <w:p w14:paraId="7B27FD79" w14:textId="77777777" w:rsidR="00E53B3A" w:rsidRPr="00374140" w:rsidRDefault="00E53B3A">
            <w:pPr>
              <w:rPr>
                <w:rFonts w:ascii="Verdana" w:hAnsi="Verdana"/>
                <w:sz w:val="20"/>
                <w:szCs w:val="20"/>
              </w:rPr>
            </w:pPr>
            <w:r w:rsidRPr="00374140">
              <w:rPr>
                <w:rFonts w:ascii="Verdana" w:hAnsi="Verdana"/>
                <w:sz w:val="20"/>
                <w:szCs w:val="20"/>
              </w:rPr>
              <w:t>1900</w:t>
            </w:r>
          </w:p>
        </w:tc>
      </w:tr>
      <w:tr w:rsidR="00E53B3A" w:rsidRPr="00374140" w14:paraId="38065E3C" w14:textId="77777777" w:rsidTr="00CA32FF">
        <w:tc>
          <w:tcPr>
            <w:tcW w:w="2129" w:type="dxa"/>
          </w:tcPr>
          <w:p w14:paraId="0C303D2A" w14:textId="77777777" w:rsidR="00E53B3A" w:rsidRPr="00374140" w:rsidRDefault="00E53B3A" w:rsidP="003C42B4">
            <w:pPr>
              <w:jc w:val="right"/>
              <w:rPr>
                <w:rFonts w:ascii="Verdana" w:hAnsi="Verdana"/>
                <w:sz w:val="20"/>
                <w:szCs w:val="20"/>
              </w:rPr>
            </w:pPr>
            <w:r w:rsidRPr="00374140">
              <w:rPr>
                <w:rFonts w:ascii="Verdana" w:hAnsi="Verdana"/>
                <w:sz w:val="20"/>
                <w:szCs w:val="20"/>
              </w:rPr>
              <w:t>SD</w:t>
            </w:r>
          </w:p>
        </w:tc>
        <w:tc>
          <w:tcPr>
            <w:tcW w:w="2129" w:type="dxa"/>
          </w:tcPr>
          <w:p w14:paraId="31A72C28" w14:textId="77777777" w:rsidR="00E53B3A" w:rsidRPr="00374140" w:rsidRDefault="00E53B3A">
            <w:pPr>
              <w:rPr>
                <w:rFonts w:ascii="Verdana" w:hAnsi="Verdana"/>
                <w:sz w:val="20"/>
                <w:szCs w:val="20"/>
              </w:rPr>
            </w:pPr>
            <w:r w:rsidRPr="00374140">
              <w:rPr>
                <w:rFonts w:ascii="Verdana" w:hAnsi="Verdana"/>
                <w:sz w:val="20"/>
                <w:szCs w:val="20"/>
              </w:rPr>
              <w:t>111.9543</w:t>
            </w:r>
          </w:p>
        </w:tc>
        <w:tc>
          <w:tcPr>
            <w:tcW w:w="2129" w:type="dxa"/>
          </w:tcPr>
          <w:p w14:paraId="7555C156" w14:textId="77777777" w:rsidR="00E53B3A" w:rsidRPr="00374140" w:rsidRDefault="00E53B3A">
            <w:pPr>
              <w:rPr>
                <w:rFonts w:ascii="Verdana" w:hAnsi="Verdana"/>
                <w:sz w:val="20"/>
                <w:szCs w:val="20"/>
              </w:rPr>
            </w:pPr>
            <w:r w:rsidRPr="00374140">
              <w:rPr>
                <w:rFonts w:ascii="Verdana" w:hAnsi="Verdana"/>
                <w:sz w:val="20"/>
                <w:szCs w:val="20"/>
              </w:rPr>
              <w:t>5356.904</w:t>
            </w:r>
          </w:p>
        </w:tc>
        <w:tc>
          <w:tcPr>
            <w:tcW w:w="2129" w:type="dxa"/>
          </w:tcPr>
          <w:p w14:paraId="75E6F308" w14:textId="77777777" w:rsidR="00E53B3A" w:rsidRPr="00374140" w:rsidRDefault="00E53B3A">
            <w:pPr>
              <w:rPr>
                <w:rFonts w:ascii="Verdana" w:hAnsi="Verdana"/>
                <w:sz w:val="20"/>
                <w:szCs w:val="20"/>
              </w:rPr>
            </w:pPr>
            <w:r w:rsidRPr="00374140">
              <w:rPr>
                <w:rFonts w:ascii="Verdana" w:hAnsi="Verdana"/>
                <w:sz w:val="20"/>
                <w:szCs w:val="20"/>
              </w:rPr>
              <w:t>614.5461</w:t>
            </w:r>
          </w:p>
        </w:tc>
      </w:tr>
      <w:tr w:rsidR="00E53B3A" w:rsidRPr="00374140" w14:paraId="6A172F19" w14:textId="77777777" w:rsidTr="00CA32FF">
        <w:tc>
          <w:tcPr>
            <w:tcW w:w="2129" w:type="dxa"/>
          </w:tcPr>
          <w:p w14:paraId="675A0607" w14:textId="77777777" w:rsidR="00E53B3A" w:rsidRPr="00374140" w:rsidRDefault="00E53B3A" w:rsidP="003C42B4">
            <w:pPr>
              <w:jc w:val="right"/>
              <w:rPr>
                <w:rFonts w:ascii="Verdana" w:hAnsi="Verdana"/>
                <w:sz w:val="20"/>
                <w:szCs w:val="20"/>
              </w:rPr>
            </w:pPr>
            <w:r w:rsidRPr="00374140">
              <w:rPr>
                <w:rFonts w:ascii="Verdana" w:hAnsi="Verdana"/>
                <w:sz w:val="20"/>
                <w:szCs w:val="20"/>
              </w:rPr>
              <w:t>Variance</w:t>
            </w:r>
          </w:p>
        </w:tc>
        <w:tc>
          <w:tcPr>
            <w:tcW w:w="2129" w:type="dxa"/>
          </w:tcPr>
          <w:p w14:paraId="03A61968" w14:textId="77777777" w:rsidR="00E53B3A" w:rsidRPr="00374140" w:rsidRDefault="00E53B3A">
            <w:pPr>
              <w:rPr>
                <w:rFonts w:ascii="Verdana" w:hAnsi="Verdana"/>
                <w:sz w:val="20"/>
                <w:szCs w:val="20"/>
              </w:rPr>
            </w:pPr>
            <w:r w:rsidRPr="00374140">
              <w:rPr>
                <w:rFonts w:ascii="Verdana" w:hAnsi="Verdana"/>
                <w:sz w:val="20"/>
                <w:szCs w:val="20"/>
              </w:rPr>
              <w:t>12533.77</w:t>
            </w:r>
          </w:p>
        </w:tc>
        <w:tc>
          <w:tcPr>
            <w:tcW w:w="2129" w:type="dxa"/>
          </w:tcPr>
          <w:p w14:paraId="16295C9D" w14:textId="77777777" w:rsidR="00E53B3A" w:rsidRPr="00374140" w:rsidRDefault="00E53B3A">
            <w:pPr>
              <w:rPr>
                <w:rFonts w:ascii="Verdana" w:hAnsi="Verdana"/>
                <w:sz w:val="20"/>
                <w:szCs w:val="20"/>
              </w:rPr>
            </w:pPr>
            <w:r w:rsidRPr="00374140">
              <w:rPr>
                <w:rFonts w:ascii="Verdana" w:hAnsi="Verdana"/>
                <w:sz w:val="20"/>
                <w:szCs w:val="20"/>
              </w:rPr>
              <w:t>2.87e+07</w:t>
            </w:r>
          </w:p>
        </w:tc>
        <w:tc>
          <w:tcPr>
            <w:tcW w:w="2129" w:type="dxa"/>
          </w:tcPr>
          <w:p w14:paraId="4BD29E7E" w14:textId="77777777" w:rsidR="00E53B3A" w:rsidRPr="00374140" w:rsidRDefault="00E53B3A">
            <w:pPr>
              <w:rPr>
                <w:rFonts w:ascii="Verdana" w:hAnsi="Verdana"/>
                <w:sz w:val="20"/>
                <w:szCs w:val="20"/>
              </w:rPr>
            </w:pPr>
            <w:r w:rsidRPr="00374140">
              <w:rPr>
                <w:rFonts w:ascii="Verdana" w:hAnsi="Verdana"/>
                <w:sz w:val="20"/>
                <w:szCs w:val="20"/>
              </w:rPr>
              <w:t>377666.9</w:t>
            </w:r>
          </w:p>
        </w:tc>
      </w:tr>
      <w:tr w:rsidR="003C42B4" w:rsidRPr="00374140" w14:paraId="02A09374" w14:textId="77777777" w:rsidTr="00CA32FF">
        <w:tc>
          <w:tcPr>
            <w:tcW w:w="2129" w:type="dxa"/>
          </w:tcPr>
          <w:p w14:paraId="56E0D0F3" w14:textId="31082079" w:rsidR="003C42B4" w:rsidRPr="003C42B4" w:rsidRDefault="003C42B4" w:rsidP="003C42B4">
            <w:pPr>
              <w:jc w:val="right"/>
              <w:rPr>
                <w:rFonts w:ascii="Verdana" w:hAnsi="Verdana"/>
                <w:sz w:val="20"/>
                <w:szCs w:val="20"/>
              </w:rPr>
            </w:pPr>
            <w:r w:rsidRPr="003C42B4">
              <w:rPr>
                <w:rFonts w:ascii="Verdana" w:hAnsi="Verdana"/>
                <w:sz w:val="20"/>
                <w:szCs w:val="20"/>
              </w:rPr>
              <w:t>Smallest</w:t>
            </w:r>
          </w:p>
        </w:tc>
        <w:tc>
          <w:tcPr>
            <w:tcW w:w="2129" w:type="dxa"/>
          </w:tcPr>
          <w:p w14:paraId="09BCDB3D" w14:textId="4F17E696" w:rsidR="003C42B4" w:rsidRPr="00CA32FF" w:rsidRDefault="008316D8" w:rsidP="000C5908">
            <w:pPr>
              <w:rPr>
                <w:rFonts w:ascii="Verdana" w:hAnsi="Verdana"/>
                <w:sz w:val="20"/>
                <w:szCs w:val="20"/>
              </w:rPr>
            </w:pPr>
            <w:r w:rsidRPr="00CA32FF">
              <w:rPr>
                <w:rFonts w:ascii="Verdana" w:hAnsi="Verdana"/>
                <w:sz w:val="20"/>
                <w:szCs w:val="20"/>
              </w:rPr>
              <w:t>110</w:t>
            </w:r>
          </w:p>
        </w:tc>
        <w:tc>
          <w:tcPr>
            <w:tcW w:w="2129" w:type="dxa"/>
          </w:tcPr>
          <w:p w14:paraId="2D336849" w14:textId="5C34D330" w:rsidR="003C42B4" w:rsidRPr="00CA32FF" w:rsidRDefault="00CA32FF" w:rsidP="000C5908">
            <w:pPr>
              <w:rPr>
                <w:rFonts w:ascii="Verdana" w:hAnsi="Verdana"/>
                <w:sz w:val="20"/>
                <w:szCs w:val="20"/>
              </w:rPr>
            </w:pPr>
            <w:r w:rsidRPr="00CA32FF">
              <w:rPr>
                <w:rFonts w:ascii="Verdana" w:hAnsi="Verdana"/>
                <w:sz w:val="20"/>
                <w:szCs w:val="20"/>
              </w:rPr>
              <w:t>1530</w:t>
            </w:r>
          </w:p>
        </w:tc>
        <w:tc>
          <w:tcPr>
            <w:tcW w:w="2129" w:type="dxa"/>
          </w:tcPr>
          <w:p w14:paraId="28348A0B" w14:textId="014E6840" w:rsidR="003C42B4" w:rsidRPr="00CA32FF" w:rsidRDefault="008316D8" w:rsidP="000C5908">
            <w:pPr>
              <w:rPr>
                <w:rFonts w:ascii="Verdana" w:hAnsi="Verdana"/>
                <w:sz w:val="20"/>
                <w:szCs w:val="20"/>
              </w:rPr>
            </w:pPr>
            <w:r w:rsidRPr="00CA32FF">
              <w:rPr>
                <w:rFonts w:ascii="Verdana" w:hAnsi="Verdana"/>
                <w:sz w:val="20"/>
                <w:szCs w:val="20"/>
              </w:rPr>
              <w:t>950</w:t>
            </w:r>
          </w:p>
        </w:tc>
      </w:tr>
      <w:tr w:rsidR="00E53B3A" w:rsidRPr="00374140" w14:paraId="2F126A83" w14:textId="77777777" w:rsidTr="00CA32FF">
        <w:tc>
          <w:tcPr>
            <w:tcW w:w="2129" w:type="dxa"/>
          </w:tcPr>
          <w:p w14:paraId="1676BE6E" w14:textId="69518516" w:rsidR="00E53B3A" w:rsidRPr="003C42B4" w:rsidRDefault="003C42B4" w:rsidP="003C42B4">
            <w:pPr>
              <w:jc w:val="right"/>
              <w:rPr>
                <w:rFonts w:ascii="Verdana" w:hAnsi="Verdana"/>
                <w:sz w:val="20"/>
                <w:szCs w:val="20"/>
              </w:rPr>
            </w:pPr>
            <w:r w:rsidRPr="003C42B4">
              <w:rPr>
                <w:rFonts w:ascii="Verdana" w:hAnsi="Verdana"/>
                <w:sz w:val="20"/>
                <w:szCs w:val="20"/>
              </w:rPr>
              <w:t>Largest</w:t>
            </w:r>
          </w:p>
        </w:tc>
        <w:tc>
          <w:tcPr>
            <w:tcW w:w="2129" w:type="dxa"/>
          </w:tcPr>
          <w:p w14:paraId="64744E76" w14:textId="662F5D2C" w:rsidR="00E53B3A" w:rsidRPr="00CA32FF" w:rsidRDefault="00CA32FF">
            <w:pPr>
              <w:rPr>
                <w:rFonts w:ascii="Verdana" w:hAnsi="Verdana"/>
                <w:sz w:val="20"/>
                <w:szCs w:val="20"/>
              </w:rPr>
            </w:pPr>
            <w:r w:rsidRPr="00CA32FF">
              <w:rPr>
                <w:rFonts w:ascii="Verdana" w:hAnsi="Verdana"/>
                <w:sz w:val="20"/>
                <w:szCs w:val="20"/>
              </w:rPr>
              <w:t>590</w:t>
            </w:r>
          </w:p>
        </w:tc>
        <w:tc>
          <w:tcPr>
            <w:tcW w:w="2129" w:type="dxa"/>
          </w:tcPr>
          <w:p w14:paraId="5CF2F02A" w14:textId="6F792AAE" w:rsidR="00E53B3A" w:rsidRPr="00CA32FF" w:rsidRDefault="00CA32FF">
            <w:pPr>
              <w:rPr>
                <w:rFonts w:ascii="Verdana" w:hAnsi="Verdana"/>
                <w:sz w:val="20"/>
                <w:szCs w:val="20"/>
              </w:rPr>
            </w:pPr>
            <w:r w:rsidRPr="00CA32FF">
              <w:rPr>
                <w:rFonts w:ascii="Verdana" w:hAnsi="Verdana"/>
                <w:sz w:val="20"/>
                <w:szCs w:val="20"/>
              </w:rPr>
              <w:t>36304</w:t>
            </w:r>
          </w:p>
        </w:tc>
        <w:tc>
          <w:tcPr>
            <w:tcW w:w="2129" w:type="dxa"/>
          </w:tcPr>
          <w:p w14:paraId="6EF4594A" w14:textId="0EE28ECF" w:rsidR="00E53B3A" w:rsidRPr="00CA32FF" w:rsidRDefault="00CA32FF">
            <w:pPr>
              <w:rPr>
                <w:rFonts w:ascii="Verdana" w:hAnsi="Verdana"/>
                <w:sz w:val="20"/>
                <w:szCs w:val="20"/>
              </w:rPr>
            </w:pPr>
            <w:r w:rsidRPr="00CA32FF">
              <w:rPr>
                <w:rFonts w:ascii="Verdana" w:hAnsi="Verdana"/>
                <w:sz w:val="20"/>
                <w:szCs w:val="20"/>
              </w:rPr>
              <w:t>3775</w:t>
            </w:r>
          </w:p>
        </w:tc>
      </w:tr>
      <w:tr w:rsidR="00CA32FF" w:rsidRPr="00374140" w14:paraId="0A1DBE86" w14:textId="77777777" w:rsidTr="00CA32FF">
        <w:tc>
          <w:tcPr>
            <w:tcW w:w="2129" w:type="dxa"/>
          </w:tcPr>
          <w:p w14:paraId="6545793E" w14:textId="752FC7B5" w:rsidR="00CA32FF" w:rsidRPr="003C42B4" w:rsidRDefault="00CA32FF" w:rsidP="003C42B4">
            <w:pPr>
              <w:jc w:val="right"/>
              <w:rPr>
                <w:rFonts w:ascii="Verdana" w:hAnsi="Verdana"/>
                <w:sz w:val="20"/>
                <w:szCs w:val="20"/>
              </w:rPr>
            </w:pPr>
            <w:r w:rsidRPr="003C42B4">
              <w:rPr>
                <w:rFonts w:ascii="Verdana" w:hAnsi="Verdana"/>
                <w:sz w:val="20"/>
                <w:szCs w:val="20"/>
              </w:rPr>
              <w:t>Skewness</w:t>
            </w:r>
          </w:p>
        </w:tc>
        <w:tc>
          <w:tcPr>
            <w:tcW w:w="2129" w:type="dxa"/>
          </w:tcPr>
          <w:p w14:paraId="354930E5" w14:textId="3C91C5D8" w:rsidR="00CA32FF" w:rsidRPr="00CA32FF" w:rsidRDefault="00CA32FF" w:rsidP="000C5908">
            <w:pPr>
              <w:rPr>
                <w:rFonts w:ascii="Verdana" w:hAnsi="Verdana"/>
                <w:sz w:val="20"/>
                <w:szCs w:val="20"/>
              </w:rPr>
            </w:pPr>
            <w:r w:rsidRPr="00CA32FF">
              <w:rPr>
                <w:rFonts w:ascii="Verdana" w:hAnsi="Verdana"/>
                <w:sz w:val="20"/>
                <w:szCs w:val="20"/>
              </w:rPr>
              <w:t>1.364798</w:t>
            </w:r>
          </w:p>
        </w:tc>
        <w:tc>
          <w:tcPr>
            <w:tcW w:w="2129" w:type="dxa"/>
          </w:tcPr>
          <w:p w14:paraId="53E584DA" w14:textId="48D647BD" w:rsidR="00CA32FF" w:rsidRPr="00CA32FF" w:rsidRDefault="00CA32FF" w:rsidP="000C5908">
            <w:pPr>
              <w:rPr>
                <w:rFonts w:ascii="Verdana" w:hAnsi="Verdana"/>
                <w:sz w:val="20"/>
                <w:szCs w:val="20"/>
              </w:rPr>
            </w:pPr>
            <w:r w:rsidRPr="00CA32FF">
              <w:rPr>
                <w:rFonts w:ascii="Verdana" w:hAnsi="Verdana"/>
                <w:sz w:val="20"/>
                <w:szCs w:val="20"/>
              </w:rPr>
              <w:t>3.055515</w:t>
            </w:r>
          </w:p>
        </w:tc>
        <w:tc>
          <w:tcPr>
            <w:tcW w:w="2129" w:type="dxa"/>
          </w:tcPr>
          <w:p w14:paraId="272679DC" w14:textId="5E07154C" w:rsidR="00CA32FF" w:rsidRPr="00CA32FF" w:rsidRDefault="00CA32FF" w:rsidP="000C5908">
            <w:pPr>
              <w:rPr>
                <w:rFonts w:ascii="Verdana" w:hAnsi="Verdana"/>
                <w:sz w:val="20"/>
                <w:szCs w:val="20"/>
              </w:rPr>
            </w:pPr>
            <w:r w:rsidRPr="00CA32FF">
              <w:rPr>
                <w:rFonts w:ascii="Verdana" w:hAnsi="Verdana"/>
                <w:sz w:val="20"/>
                <w:szCs w:val="20"/>
              </w:rPr>
              <w:t>.4732681</w:t>
            </w:r>
          </w:p>
        </w:tc>
      </w:tr>
      <w:tr w:rsidR="00CA32FF" w:rsidRPr="00374140" w14:paraId="18832B91" w14:textId="77777777" w:rsidTr="00CA32FF">
        <w:tc>
          <w:tcPr>
            <w:tcW w:w="2129" w:type="dxa"/>
          </w:tcPr>
          <w:p w14:paraId="3222C6BD" w14:textId="2B073635" w:rsidR="00CA32FF" w:rsidRPr="003C42B4" w:rsidRDefault="00CA32FF" w:rsidP="003C42B4">
            <w:pPr>
              <w:jc w:val="right"/>
              <w:rPr>
                <w:rFonts w:ascii="Verdana" w:hAnsi="Verdana"/>
                <w:sz w:val="20"/>
                <w:szCs w:val="20"/>
              </w:rPr>
            </w:pPr>
            <w:r w:rsidRPr="003C42B4">
              <w:rPr>
                <w:rFonts w:ascii="Verdana" w:hAnsi="Verdana"/>
                <w:sz w:val="20"/>
                <w:szCs w:val="20"/>
              </w:rPr>
              <w:t>Kurtosis</w:t>
            </w:r>
          </w:p>
        </w:tc>
        <w:tc>
          <w:tcPr>
            <w:tcW w:w="2129" w:type="dxa"/>
          </w:tcPr>
          <w:p w14:paraId="7B2F1301" w14:textId="04484F5C" w:rsidR="00CA32FF" w:rsidRPr="00CA32FF" w:rsidRDefault="00CA32FF" w:rsidP="000C5908">
            <w:pPr>
              <w:rPr>
                <w:rFonts w:ascii="Verdana" w:hAnsi="Verdana"/>
                <w:sz w:val="20"/>
                <w:szCs w:val="20"/>
              </w:rPr>
            </w:pPr>
            <w:r w:rsidRPr="00CA32FF">
              <w:rPr>
                <w:rFonts w:ascii="Verdana" w:hAnsi="Verdana"/>
                <w:sz w:val="20"/>
                <w:szCs w:val="20"/>
              </w:rPr>
              <w:t>4.604902</w:t>
            </w:r>
          </w:p>
        </w:tc>
        <w:tc>
          <w:tcPr>
            <w:tcW w:w="2129" w:type="dxa"/>
          </w:tcPr>
          <w:p w14:paraId="57F8FF1A" w14:textId="760E8A4D" w:rsidR="00CA32FF" w:rsidRPr="00CA32FF" w:rsidRDefault="00CA32FF" w:rsidP="000C5908">
            <w:pPr>
              <w:rPr>
                <w:rFonts w:ascii="Verdana" w:hAnsi="Verdana"/>
                <w:sz w:val="20"/>
                <w:szCs w:val="20"/>
              </w:rPr>
            </w:pPr>
            <w:r w:rsidRPr="00CA32FF">
              <w:rPr>
                <w:rFonts w:ascii="Verdana" w:hAnsi="Verdana"/>
                <w:sz w:val="20"/>
                <w:szCs w:val="20"/>
              </w:rPr>
              <w:t>15.58248</w:t>
            </w:r>
          </w:p>
        </w:tc>
        <w:tc>
          <w:tcPr>
            <w:tcW w:w="2129" w:type="dxa"/>
          </w:tcPr>
          <w:p w14:paraId="065F7E76" w14:textId="248B839D" w:rsidR="00CA32FF" w:rsidRPr="00CA32FF" w:rsidRDefault="00CA32FF" w:rsidP="000C5908">
            <w:pPr>
              <w:rPr>
                <w:rFonts w:ascii="Verdana" w:hAnsi="Verdana"/>
                <w:sz w:val="20"/>
                <w:szCs w:val="20"/>
              </w:rPr>
            </w:pPr>
            <w:r w:rsidRPr="00CA32FF">
              <w:rPr>
                <w:rFonts w:ascii="Verdana" w:hAnsi="Verdana"/>
                <w:sz w:val="20"/>
                <w:szCs w:val="20"/>
              </w:rPr>
              <w:t>2.792214</w:t>
            </w:r>
          </w:p>
        </w:tc>
      </w:tr>
    </w:tbl>
    <w:p w14:paraId="6BC0B82F" w14:textId="77777777" w:rsidR="00E53B3A" w:rsidRPr="00374140" w:rsidRDefault="00E53B3A" w:rsidP="00A15AD3">
      <w:pPr>
        <w:pStyle w:val="IntenseQuote"/>
        <w:tabs>
          <w:tab w:val="left" w:pos="8300"/>
        </w:tabs>
        <w:ind w:left="-142"/>
        <w:rPr>
          <w:rFonts w:ascii="Verdana" w:hAnsi="Verdana"/>
        </w:rPr>
      </w:pPr>
      <w:r w:rsidRPr="00374140">
        <w:rPr>
          <w:rFonts w:ascii="Verdana" w:hAnsi="Verdana"/>
        </w:rPr>
        <w:t>Part 2</w:t>
      </w:r>
    </w:p>
    <w:p w14:paraId="5B66C7B4" w14:textId="77777777" w:rsidR="007803BF" w:rsidRPr="00374140" w:rsidRDefault="007803BF">
      <w:pPr>
        <w:rPr>
          <w:rFonts w:ascii="Verdana" w:hAnsi="Verdana"/>
        </w:rPr>
      </w:pPr>
    </w:p>
    <w:p w14:paraId="11081C23" w14:textId="60C2A4DD" w:rsidR="007803BF" w:rsidRPr="00374140" w:rsidRDefault="00F731C5" w:rsidP="007803BF">
      <w:pPr>
        <w:pStyle w:val="ListParagraph"/>
        <w:numPr>
          <w:ilvl w:val="0"/>
          <w:numId w:val="2"/>
        </w:numPr>
        <w:rPr>
          <w:rFonts w:ascii="Verdana" w:hAnsi="Verdana"/>
          <w:sz w:val="22"/>
          <w:szCs w:val="22"/>
        </w:rPr>
      </w:pPr>
      <w:r>
        <w:rPr>
          <w:rFonts w:ascii="Verdana" w:hAnsi="Verdana"/>
          <w:sz w:val="22"/>
          <w:szCs w:val="22"/>
        </w:rPr>
        <w:t>A</w:t>
      </w:r>
      <w:r w:rsidR="007803BF" w:rsidRPr="00374140">
        <w:rPr>
          <w:rFonts w:ascii="Verdana" w:hAnsi="Verdana"/>
          <w:sz w:val="22"/>
          <w:szCs w:val="22"/>
        </w:rPr>
        <w:t xml:space="preserve">s we can see, the correlation between the size of the house and price is .60. Although there is a correlation, </w:t>
      </w:r>
      <w:r w:rsidR="00A15AD3" w:rsidRPr="00374140">
        <w:rPr>
          <w:rFonts w:ascii="Verdana" w:hAnsi="Verdana"/>
          <w:sz w:val="22"/>
          <w:szCs w:val="22"/>
        </w:rPr>
        <w:t>these</w:t>
      </w:r>
      <w:r w:rsidR="007803BF" w:rsidRPr="00374140">
        <w:rPr>
          <w:rFonts w:ascii="Verdana" w:hAnsi="Verdana"/>
          <w:sz w:val="22"/>
          <w:szCs w:val="22"/>
        </w:rPr>
        <w:t xml:space="preserve"> two varia</w:t>
      </w:r>
      <w:r>
        <w:rPr>
          <w:rFonts w:ascii="Verdana" w:hAnsi="Verdana"/>
          <w:sz w:val="22"/>
          <w:szCs w:val="22"/>
        </w:rPr>
        <w:t>bles are not highly correlated.</w:t>
      </w:r>
    </w:p>
    <w:p w14:paraId="7F2C12B9" w14:textId="77777777" w:rsidR="00A15AD3" w:rsidRPr="00374140" w:rsidRDefault="00A15AD3" w:rsidP="00A15AD3">
      <w:pPr>
        <w:pStyle w:val="ListParagraph"/>
        <w:rPr>
          <w:rFonts w:ascii="Verdana" w:hAnsi="Verdana"/>
          <w:sz w:val="22"/>
          <w:szCs w:val="22"/>
        </w:rPr>
      </w:pPr>
    </w:p>
    <w:p w14:paraId="58D74342" w14:textId="75F047A0" w:rsidR="007803BF" w:rsidRDefault="007C449C" w:rsidP="007803BF">
      <w:pPr>
        <w:pStyle w:val="ListParagraph"/>
        <w:numPr>
          <w:ilvl w:val="0"/>
          <w:numId w:val="2"/>
        </w:numPr>
        <w:rPr>
          <w:rFonts w:ascii="Verdana" w:hAnsi="Verdana"/>
          <w:sz w:val="22"/>
          <w:szCs w:val="22"/>
        </w:rPr>
      </w:pPr>
      <w:r w:rsidRPr="00374140">
        <w:rPr>
          <w:rFonts w:ascii="Verdana" w:hAnsi="Verdana"/>
          <w:sz w:val="22"/>
          <w:szCs w:val="22"/>
        </w:rPr>
        <w:t>Also in this case,</w:t>
      </w:r>
      <w:r w:rsidR="007803BF" w:rsidRPr="00374140">
        <w:rPr>
          <w:rFonts w:ascii="Verdana" w:hAnsi="Verdana"/>
          <w:sz w:val="22"/>
          <w:szCs w:val="22"/>
        </w:rPr>
        <w:t xml:space="preserve"> the correlation between the size of yard and price is .46. Although there is a correlation, </w:t>
      </w:r>
      <w:r w:rsidR="00A15AD3" w:rsidRPr="00374140">
        <w:rPr>
          <w:rFonts w:ascii="Verdana" w:hAnsi="Verdana"/>
          <w:sz w:val="22"/>
          <w:szCs w:val="22"/>
        </w:rPr>
        <w:t>these</w:t>
      </w:r>
      <w:r w:rsidR="007803BF" w:rsidRPr="00374140">
        <w:rPr>
          <w:rFonts w:ascii="Verdana" w:hAnsi="Verdana"/>
          <w:sz w:val="22"/>
          <w:szCs w:val="22"/>
        </w:rPr>
        <w:t xml:space="preserve"> two vari</w:t>
      </w:r>
      <w:r w:rsidRPr="00374140">
        <w:rPr>
          <w:rFonts w:ascii="Verdana" w:hAnsi="Verdana"/>
          <w:sz w:val="22"/>
          <w:szCs w:val="22"/>
        </w:rPr>
        <w:t>ables are not highly correlated</w:t>
      </w:r>
      <w:r w:rsidR="00615D81">
        <w:rPr>
          <w:rFonts w:ascii="Verdana" w:hAnsi="Verdana"/>
          <w:sz w:val="22"/>
          <w:szCs w:val="22"/>
        </w:rPr>
        <w:t>, meanin</w:t>
      </w:r>
      <w:r w:rsidR="00F731C5">
        <w:rPr>
          <w:rFonts w:ascii="Verdana" w:hAnsi="Verdana"/>
          <w:sz w:val="22"/>
          <w:szCs w:val="22"/>
        </w:rPr>
        <w:t xml:space="preserve">g that there </w:t>
      </w:r>
      <w:r w:rsidR="00615D81">
        <w:rPr>
          <w:rFonts w:ascii="Verdana" w:hAnsi="Verdana"/>
          <w:sz w:val="22"/>
          <w:szCs w:val="22"/>
        </w:rPr>
        <w:t>are other variables that affect e</w:t>
      </w:r>
      <w:r w:rsidR="006D6105">
        <w:rPr>
          <w:rFonts w:ascii="Verdana" w:hAnsi="Verdana"/>
          <w:sz w:val="22"/>
          <w:szCs w:val="22"/>
        </w:rPr>
        <w:t>ven more the price of the house</w:t>
      </w:r>
      <w:r w:rsidR="00615D81">
        <w:rPr>
          <w:rFonts w:ascii="Verdana" w:hAnsi="Verdana"/>
          <w:sz w:val="22"/>
          <w:szCs w:val="22"/>
        </w:rPr>
        <w:t>.</w:t>
      </w:r>
      <w:r w:rsidR="007950DA">
        <w:rPr>
          <w:rFonts w:ascii="Verdana" w:hAnsi="Verdana"/>
          <w:sz w:val="22"/>
          <w:szCs w:val="22"/>
        </w:rPr>
        <w:t xml:space="preserve"> Another hypothesis is that maybe the group of variables might affect more the price than only one variable.</w:t>
      </w:r>
      <w:bookmarkStart w:id="0" w:name="_GoBack"/>
      <w:bookmarkEnd w:id="0"/>
    </w:p>
    <w:p w14:paraId="0064E079" w14:textId="77777777" w:rsidR="00F731C5" w:rsidRPr="00F731C5" w:rsidRDefault="00F731C5" w:rsidP="00F731C5">
      <w:pPr>
        <w:rPr>
          <w:rFonts w:ascii="Verdana" w:hAnsi="Verdana"/>
          <w:sz w:val="22"/>
          <w:szCs w:val="22"/>
        </w:rPr>
      </w:pPr>
    </w:p>
    <w:p w14:paraId="15448311" w14:textId="77E6A614" w:rsidR="00F731C5" w:rsidRPr="00374140" w:rsidRDefault="00F731C5" w:rsidP="00F731C5">
      <w:pPr>
        <w:pStyle w:val="ListParagraph"/>
        <w:rPr>
          <w:rFonts w:ascii="Verdana" w:hAnsi="Verdana"/>
          <w:sz w:val="22"/>
          <w:szCs w:val="22"/>
        </w:rPr>
      </w:pPr>
      <w:r>
        <w:rPr>
          <w:rFonts w:ascii="Verdana" w:hAnsi="Verdana"/>
          <w:noProof/>
          <w:sz w:val="22"/>
          <w:szCs w:val="22"/>
        </w:rPr>
        <w:drawing>
          <wp:inline distT="0" distB="0" distL="0" distR="0" wp14:anchorId="667E485F" wp14:editId="6C34DED4">
            <wp:extent cx="3543300" cy="130542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09-21 at 15.08.40.png"/>
                    <pic:cNvPicPr/>
                  </pic:nvPicPr>
                  <pic:blipFill>
                    <a:blip r:embed="rId8">
                      <a:extLst>
                        <a:ext uri="{28A0092B-C50C-407E-A947-70E740481C1C}">
                          <a14:useLocalDpi xmlns:a14="http://schemas.microsoft.com/office/drawing/2010/main" val="0"/>
                        </a:ext>
                      </a:extLst>
                    </a:blip>
                    <a:stretch>
                      <a:fillRect/>
                    </a:stretch>
                  </pic:blipFill>
                  <pic:spPr>
                    <a:xfrm>
                      <a:off x="0" y="0"/>
                      <a:ext cx="3543300" cy="1305426"/>
                    </a:xfrm>
                    <a:prstGeom prst="rect">
                      <a:avLst/>
                    </a:prstGeom>
                  </pic:spPr>
                </pic:pic>
              </a:graphicData>
            </a:graphic>
          </wp:inline>
        </w:drawing>
      </w:r>
    </w:p>
    <w:p w14:paraId="553C2526" w14:textId="77777777" w:rsidR="00A15AD3" w:rsidRPr="00374140" w:rsidRDefault="00A15AD3" w:rsidP="00A15AD3">
      <w:pPr>
        <w:rPr>
          <w:rFonts w:ascii="Verdana" w:hAnsi="Verdana"/>
        </w:rPr>
      </w:pPr>
    </w:p>
    <w:p w14:paraId="7F6A0B67" w14:textId="77777777" w:rsidR="00A15AD3" w:rsidRPr="00374140" w:rsidRDefault="00A15AD3" w:rsidP="00A15AD3">
      <w:pPr>
        <w:pStyle w:val="IntenseQuote"/>
        <w:tabs>
          <w:tab w:val="left" w:pos="8300"/>
        </w:tabs>
        <w:ind w:left="-142"/>
        <w:rPr>
          <w:rFonts w:ascii="Verdana" w:hAnsi="Verdana"/>
        </w:rPr>
      </w:pPr>
      <w:r w:rsidRPr="00374140">
        <w:rPr>
          <w:rFonts w:ascii="Verdana" w:hAnsi="Verdana"/>
        </w:rPr>
        <w:t>Part 3</w:t>
      </w:r>
    </w:p>
    <w:p w14:paraId="22445E23" w14:textId="7B45C253" w:rsidR="00A15AD3" w:rsidRDefault="007C449C" w:rsidP="00A15AD3">
      <w:pPr>
        <w:rPr>
          <w:rFonts w:ascii="Verdana" w:hAnsi="Verdana"/>
          <w:sz w:val="22"/>
          <w:szCs w:val="22"/>
        </w:rPr>
      </w:pPr>
      <w:r w:rsidRPr="00374140">
        <w:rPr>
          <w:rFonts w:ascii="Verdana" w:hAnsi="Verdana"/>
          <w:sz w:val="22"/>
          <w:szCs w:val="22"/>
        </w:rPr>
        <w:t>We can see that every time the sqft of the house increases by 1, the price will be increase by .109. The coefficient for sqft is significantly different from zero, because his p-value is 000. His constant (_cons) is not significant, because the p-value</w:t>
      </w:r>
      <w:r w:rsidR="00374140" w:rsidRPr="00374140">
        <w:rPr>
          <w:rFonts w:ascii="Verdana" w:hAnsi="Verdana"/>
          <w:sz w:val="22"/>
          <w:szCs w:val="22"/>
        </w:rPr>
        <w:t>(.672)</w:t>
      </w:r>
      <w:r w:rsidRPr="00374140">
        <w:rPr>
          <w:rFonts w:ascii="Verdana" w:hAnsi="Verdana"/>
          <w:sz w:val="22"/>
          <w:szCs w:val="22"/>
        </w:rPr>
        <w:t xml:space="preserve"> is higher than 0.005.</w:t>
      </w:r>
    </w:p>
    <w:p w14:paraId="5AACADC2" w14:textId="77777777" w:rsidR="00615D81" w:rsidRDefault="00615D81" w:rsidP="00A15AD3">
      <w:pPr>
        <w:rPr>
          <w:rFonts w:ascii="Verdana" w:hAnsi="Verdana"/>
          <w:sz w:val="22"/>
          <w:szCs w:val="22"/>
        </w:rPr>
      </w:pPr>
    </w:p>
    <w:p w14:paraId="2D92D13B" w14:textId="43E90B16" w:rsidR="00615D81" w:rsidRPr="00374140" w:rsidRDefault="00615D81" w:rsidP="00A15AD3">
      <w:pPr>
        <w:rPr>
          <w:rFonts w:ascii="Verdana" w:hAnsi="Verdana"/>
          <w:sz w:val="22"/>
          <w:szCs w:val="22"/>
        </w:rPr>
      </w:pPr>
      <w:r>
        <w:rPr>
          <w:rFonts w:ascii="Verdana" w:hAnsi="Verdana"/>
          <w:noProof/>
          <w:sz w:val="22"/>
          <w:szCs w:val="22"/>
        </w:rPr>
        <w:lastRenderedPageBreak/>
        <w:drawing>
          <wp:inline distT="0" distB="0" distL="0" distR="0" wp14:anchorId="5E5B2E6C" wp14:editId="607275CA">
            <wp:extent cx="5270500" cy="2245995"/>
            <wp:effectExtent l="0" t="0" r="1270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09-21 at 15.06.24.png"/>
                    <pic:cNvPicPr/>
                  </pic:nvPicPr>
                  <pic:blipFill>
                    <a:blip r:embed="rId9">
                      <a:extLst>
                        <a:ext uri="{28A0092B-C50C-407E-A947-70E740481C1C}">
                          <a14:useLocalDpi xmlns:a14="http://schemas.microsoft.com/office/drawing/2010/main" val="0"/>
                        </a:ext>
                      </a:extLst>
                    </a:blip>
                    <a:stretch>
                      <a:fillRect/>
                    </a:stretch>
                  </pic:blipFill>
                  <pic:spPr>
                    <a:xfrm>
                      <a:off x="0" y="0"/>
                      <a:ext cx="5270500" cy="2245995"/>
                    </a:xfrm>
                    <a:prstGeom prst="rect">
                      <a:avLst/>
                    </a:prstGeom>
                  </pic:spPr>
                </pic:pic>
              </a:graphicData>
            </a:graphic>
          </wp:inline>
        </w:drawing>
      </w:r>
    </w:p>
    <w:p w14:paraId="33DC37F6" w14:textId="77777777" w:rsidR="007C449C" w:rsidRPr="00374140" w:rsidRDefault="007C449C" w:rsidP="00A15AD3">
      <w:pPr>
        <w:rPr>
          <w:rFonts w:ascii="Verdana" w:hAnsi="Verdana"/>
        </w:rPr>
      </w:pPr>
    </w:p>
    <w:p w14:paraId="225BAAA4" w14:textId="6B27442D" w:rsidR="007C449C" w:rsidRPr="00374140" w:rsidRDefault="007C449C" w:rsidP="007C449C">
      <w:pPr>
        <w:pStyle w:val="IntenseQuote"/>
        <w:tabs>
          <w:tab w:val="left" w:pos="8300"/>
        </w:tabs>
        <w:ind w:left="-142"/>
        <w:rPr>
          <w:rFonts w:ascii="Verdana" w:hAnsi="Verdana"/>
        </w:rPr>
      </w:pPr>
      <w:r w:rsidRPr="00374140">
        <w:rPr>
          <w:rFonts w:ascii="Verdana" w:hAnsi="Verdana"/>
        </w:rPr>
        <w:t>Part 4</w:t>
      </w:r>
      <w:r w:rsidR="00975F54">
        <w:rPr>
          <w:rFonts w:ascii="Verdana" w:hAnsi="Verdana"/>
        </w:rPr>
        <w:t xml:space="preserve"> </w:t>
      </w:r>
    </w:p>
    <w:p w14:paraId="0421D871" w14:textId="04360C8E" w:rsidR="0042240F" w:rsidRDefault="00975F54" w:rsidP="000C5908">
      <w:pPr>
        <w:pStyle w:val="ListParagraph"/>
        <w:numPr>
          <w:ilvl w:val="0"/>
          <w:numId w:val="3"/>
        </w:numPr>
        <w:rPr>
          <w:rFonts w:ascii="Verdana" w:hAnsi="Verdana"/>
        </w:rPr>
      </w:pPr>
      <w:r>
        <w:rPr>
          <w:rFonts w:ascii="Verdana" w:hAnsi="Verdana"/>
        </w:rPr>
        <w:t xml:space="preserve">The difference in the mean is </w:t>
      </w:r>
      <w:r w:rsidR="002665AC">
        <w:rPr>
          <w:rFonts w:ascii="Verdana" w:hAnsi="Verdana"/>
        </w:rPr>
        <w:t>120.849</w:t>
      </w:r>
      <w:r w:rsidR="00CD4831">
        <w:rPr>
          <w:rFonts w:ascii="Verdana" w:hAnsi="Verdana"/>
        </w:rPr>
        <w:t>, showing that</w:t>
      </w:r>
      <w:r>
        <w:rPr>
          <w:rFonts w:ascii="Verdana" w:hAnsi="Verdana"/>
        </w:rPr>
        <w:t xml:space="preserve"> house </w:t>
      </w:r>
      <w:r w:rsidR="00CD4831">
        <w:rPr>
          <w:rFonts w:ascii="Verdana" w:hAnsi="Verdana"/>
        </w:rPr>
        <w:t xml:space="preserve">s </w:t>
      </w:r>
      <w:r>
        <w:rPr>
          <w:rFonts w:ascii="Verdana" w:hAnsi="Verdana"/>
        </w:rPr>
        <w:t xml:space="preserve">without fence have a higher price and that range difference could be between </w:t>
      </w:r>
      <w:r w:rsidR="002665AC">
        <w:rPr>
          <w:rFonts w:ascii="Verdana" w:hAnsi="Verdana"/>
        </w:rPr>
        <w:t>30.216</w:t>
      </w:r>
      <w:r>
        <w:rPr>
          <w:rFonts w:ascii="Verdana" w:hAnsi="Verdana"/>
        </w:rPr>
        <w:t xml:space="preserve"> and </w:t>
      </w:r>
      <w:r w:rsidRPr="00975F54">
        <w:rPr>
          <w:rFonts w:ascii="Verdana" w:hAnsi="Verdana"/>
        </w:rPr>
        <w:t>211.4815</w:t>
      </w:r>
      <w:r>
        <w:rPr>
          <w:rFonts w:ascii="Verdana" w:hAnsi="Verdana"/>
        </w:rPr>
        <w:t>.</w:t>
      </w:r>
    </w:p>
    <w:p w14:paraId="577968C0" w14:textId="77777777" w:rsidR="00975F54" w:rsidRDefault="00975F54" w:rsidP="00975F54">
      <w:pPr>
        <w:pStyle w:val="ListParagraph"/>
        <w:rPr>
          <w:rFonts w:ascii="Verdana" w:hAnsi="Verdana"/>
        </w:rPr>
      </w:pPr>
    </w:p>
    <w:p w14:paraId="6A72F6F8" w14:textId="4C484667" w:rsidR="00975F54" w:rsidRDefault="00975F54" w:rsidP="00975F54">
      <w:pPr>
        <w:pStyle w:val="ListParagraph"/>
        <w:numPr>
          <w:ilvl w:val="0"/>
          <w:numId w:val="3"/>
        </w:numPr>
        <w:rPr>
          <w:rFonts w:ascii="Verdana" w:hAnsi="Verdana"/>
        </w:rPr>
      </w:pPr>
      <w:r>
        <w:rPr>
          <w:rFonts w:ascii="Verdana" w:hAnsi="Verdana"/>
        </w:rPr>
        <w:t xml:space="preserve">The difference in the mean is </w:t>
      </w:r>
      <w:r w:rsidR="002665AC">
        <w:rPr>
          <w:rFonts w:ascii="Verdana" w:hAnsi="Verdana"/>
        </w:rPr>
        <w:t>41.222</w:t>
      </w:r>
      <w:r w:rsidR="00CD4831">
        <w:rPr>
          <w:rFonts w:ascii="Verdana" w:hAnsi="Verdana"/>
        </w:rPr>
        <w:t>, showing that</w:t>
      </w:r>
      <w:r>
        <w:rPr>
          <w:rFonts w:ascii="Verdana" w:hAnsi="Verdana"/>
        </w:rPr>
        <w:t xml:space="preserve"> house</w:t>
      </w:r>
      <w:r w:rsidR="00CD4831">
        <w:rPr>
          <w:rFonts w:ascii="Verdana" w:hAnsi="Verdana"/>
        </w:rPr>
        <w:t>s</w:t>
      </w:r>
      <w:r>
        <w:rPr>
          <w:rFonts w:ascii="Verdana" w:hAnsi="Verdana"/>
        </w:rPr>
        <w:t xml:space="preserve"> with a swimming pool have a higher price, but it is lower than the difference from houses with a fence, and that range difference could be between </w:t>
      </w:r>
      <w:r w:rsidRPr="00975F54">
        <w:rPr>
          <w:rFonts w:ascii="Verdana" w:hAnsi="Verdana"/>
        </w:rPr>
        <w:t>7.6</w:t>
      </w:r>
      <w:r>
        <w:rPr>
          <w:rFonts w:ascii="Verdana" w:hAnsi="Verdana"/>
        </w:rPr>
        <w:t xml:space="preserve"> up to </w:t>
      </w:r>
      <w:r w:rsidRPr="00975F54">
        <w:rPr>
          <w:rFonts w:ascii="Verdana" w:hAnsi="Verdana"/>
        </w:rPr>
        <w:t>90.09997</w:t>
      </w:r>
      <w:r>
        <w:rPr>
          <w:rFonts w:ascii="Verdana" w:hAnsi="Verdana"/>
        </w:rPr>
        <w:t>.</w:t>
      </w:r>
      <w:r>
        <w:rPr>
          <w:rFonts w:ascii="Verdana" w:hAnsi="Verdana"/>
        </w:rPr>
        <w:br/>
      </w:r>
    </w:p>
    <w:p w14:paraId="784CE309" w14:textId="7E8A2359" w:rsidR="00975F54" w:rsidRDefault="00A47B45" w:rsidP="000C5908">
      <w:pPr>
        <w:pStyle w:val="ListParagraph"/>
        <w:numPr>
          <w:ilvl w:val="0"/>
          <w:numId w:val="3"/>
        </w:numPr>
        <w:rPr>
          <w:rFonts w:ascii="Verdana" w:hAnsi="Verdana"/>
        </w:rPr>
      </w:pPr>
      <w:r>
        <w:rPr>
          <w:rFonts w:ascii="Verdana" w:hAnsi="Verdana"/>
        </w:rPr>
        <w:t xml:space="preserve">The TTest shows </w:t>
      </w:r>
      <w:r w:rsidR="00B524EF">
        <w:rPr>
          <w:rFonts w:ascii="Verdana" w:hAnsi="Verdana"/>
        </w:rPr>
        <w:t xml:space="preserve">that </w:t>
      </w:r>
      <w:r>
        <w:rPr>
          <w:rFonts w:ascii="Verdana" w:hAnsi="Verdana"/>
        </w:rPr>
        <w:t xml:space="preserve">the difference in the mean is </w:t>
      </w:r>
      <w:r w:rsidRPr="00A47B45">
        <w:rPr>
          <w:rFonts w:ascii="Verdana" w:hAnsi="Verdana"/>
        </w:rPr>
        <w:t>74.75814</w:t>
      </w:r>
      <w:r w:rsidR="00135A48">
        <w:rPr>
          <w:rFonts w:ascii="Verdana" w:hAnsi="Verdana"/>
        </w:rPr>
        <w:t xml:space="preserve">, showing that </w:t>
      </w:r>
      <w:r>
        <w:rPr>
          <w:rFonts w:ascii="Verdana" w:hAnsi="Verdana"/>
        </w:rPr>
        <w:t>house</w:t>
      </w:r>
      <w:r w:rsidR="00135A48">
        <w:rPr>
          <w:rFonts w:ascii="Verdana" w:hAnsi="Verdana"/>
        </w:rPr>
        <w:t>s</w:t>
      </w:r>
      <w:r w:rsidR="000D3928">
        <w:rPr>
          <w:rFonts w:ascii="Verdana" w:hAnsi="Verdana"/>
        </w:rPr>
        <w:t xml:space="preserve"> with law-sprinkler system </w:t>
      </w:r>
      <w:r>
        <w:rPr>
          <w:rFonts w:ascii="Verdana" w:hAnsi="Verdana"/>
        </w:rPr>
        <w:t xml:space="preserve">have a higher price, but it is lower than the difference from houses with a fence, and that range difference could be between </w:t>
      </w:r>
      <w:r w:rsidR="002665AC">
        <w:rPr>
          <w:rFonts w:ascii="Verdana" w:hAnsi="Verdana"/>
        </w:rPr>
        <w:t>31.631</w:t>
      </w:r>
      <w:r>
        <w:rPr>
          <w:rFonts w:ascii="Verdana" w:hAnsi="Verdana"/>
        </w:rPr>
        <w:t xml:space="preserve"> up to </w:t>
      </w:r>
      <w:r w:rsidR="002665AC">
        <w:rPr>
          <w:rFonts w:ascii="Verdana" w:hAnsi="Verdana"/>
        </w:rPr>
        <w:t>117.886</w:t>
      </w:r>
      <w:r>
        <w:rPr>
          <w:rFonts w:ascii="Verdana" w:hAnsi="Verdana"/>
        </w:rPr>
        <w:t>.</w:t>
      </w:r>
      <w:r w:rsidR="00B524EF">
        <w:rPr>
          <w:rFonts w:ascii="Verdana" w:hAnsi="Verdana"/>
        </w:rPr>
        <w:br/>
      </w:r>
    </w:p>
    <w:p w14:paraId="2A9436FA" w14:textId="17B10FEC" w:rsidR="00B524EF" w:rsidRDefault="00B524EF" w:rsidP="000C5908">
      <w:pPr>
        <w:pStyle w:val="ListParagraph"/>
        <w:numPr>
          <w:ilvl w:val="0"/>
          <w:numId w:val="3"/>
        </w:numPr>
        <w:rPr>
          <w:rFonts w:ascii="Verdana" w:hAnsi="Verdana"/>
        </w:rPr>
      </w:pPr>
      <w:r>
        <w:rPr>
          <w:rFonts w:ascii="Verdana" w:hAnsi="Verdana"/>
        </w:rPr>
        <w:t xml:space="preserve">Again, we can see that the difference in the mean is </w:t>
      </w:r>
      <w:r w:rsidRPr="00B524EF">
        <w:rPr>
          <w:rFonts w:ascii="Verdana" w:hAnsi="Verdana"/>
        </w:rPr>
        <w:t>81.59998</w:t>
      </w:r>
      <w:r w:rsidR="00135A48">
        <w:rPr>
          <w:rFonts w:ascii="Verdana" w:hAnsi="Verdana"/>
        </w:rPr>
        <w:t xml:space="preserve">, showing that </w:t>
      </w:r>
      <w:r>
        <w:rPr>
          <w:rFonts w:ascii="Verdana" w:hAnsi="Verdana"/>
        </w:rPr>
        <w:t>houses with view have a higher price, but it is lower than the difference from houses with a fence, and that range difference could be between 43.386 up to 119.814.</w:t>
      </w:r>
      <w:r w:rsidR="00135A48">
        <w:rPr>
          <w:rFonts w:ascii="Verdana" w:hAnsi="Verdana"/>
        </w:rPr>
        <w:br/>
      </w:r>
    </w:p>
    <w:p w14:paraId="34BB16BA" w14:textId="67D7528D" w:rsidR="00135A48" w:rsidRDefault="00135A48" w:rsidP="000C5908">
      <w:pPr>
        <w:pStyle w:val="ListParagraph"/>
        <w:numPr>
          <w:ilvl w:val="0"/>
          <w:numId w:val="3"/>
        </w:numPr>
        <w:rPr>
          <w:rFonts w:ascii="Verdana" w:hAnsi="Verdana"/>
        </w:rPr>
      </w:pPr>
      <w:r>
        <w:rPr>
          <w:rFonts w:ascii="Verdana" w:hAnsi="Verdana"/>
        </w:rPr>
        <w:t xml:space="preserve">In this case we can see that the difference in the mean is 155.1926, the largest mean, showing </w:t>
      </w:r>
      <w:r w:rsidR="006B4FBB">
        <w:rPr>
          <w:rFonts w:ascii="Verdana" w:hAnsi="Verdana"/>
        </w:rPr>
        <w:t>that</w:t>
      </w:r>
      <w:r>
        <w:rPr>
          <w:rFonts w:ascii="Verdana" w:hAnsi="Verdana"/>
        </w:rPr>
        <w:t xml:space="preserve"> houses with </w:t>
      </w:r>
      <w:r w:rsidRPr="00135A48">
        <w:rPr>
          <w:rFonts w:ascii="Verdana" w:hAnsi="Verdana"/>
        </w:rPr>
        <w:t>In LaJolla</w:t>
      </w:r>
      <w:r>
        <w:rPr>
          <w:rFonts w:ascii="Verdana" w:hAnsi="Verdana"/>
        </w:rPr>
        <w:t xml:space="preserve"> have a higher price, and that range difference could be between </w:t>
      </w:r>
      <w:r w:rsidRPr="00135A48">
        <w:rPr>
          <w:rFonts w:ascii="Verdana" w:hAnsi="Verdana"/>
        </w:rPr>
        <w:t>125.746</w:t>
      </w:r>
      <w:r>
        <w:rPr>
          <w:rFonts w:ascii="Verdana" w:hAnsi="Verdana"/>
        </w:rPr>
        <w:t xml:space="preserve"> up to 184.639.</w:t>
      </w:r>
      <w:r w:rsidR="003655CA">
        <w:rPr>
          <w:rFonts w:ascii="Verdana" w:hAnsi="Verdana"/>
        </w:rPr>
        <w:br/>
      </w:r>
    </w:p>
    <w:p w14:paraId="4A86D65F" w14:textId="3BAB6CCB" w:rsidR="003655CA" w:rsidRPr="000C5908" w:rsidRDefault="00DA319B" w:rsidP="003655CA">
      <w:pPr>
        <w:pStyle w:val="ListParagraph"/>
        <w:numPr>
          <w:ilvl w:val="0"/>
          <w:numId w:val="3"/>
        </w:numPr>
        <w:rPr>
          <w:rFonts w:ascii="Verdana" w:hAnsi="Verdana"/>
        </w:rPr>
      </w:pPr>
      <w:r>
        <w:rPr>
          <w:rFonts w:ascii="Verdana" w:hAnsi="Verdana"/>
        </w:rPr>
        <w:t xml:space="preserve">Finally, </w:t>
      </w:r>
      <w:r w:rsidR="003655CA">
        <w:rPr>
          <w:rFonts w:ascii="Verdana" w:hAnsi="Verdana"/>
        </w:rPr>
        <w:t xml:space="preserve">the difference in the mean is </w:t>
      </w:r>
      <w:r>
        <w:rPr>
          <w:rFonts w:ascii="Verdana" w:hAnsi="Verdana"/>
        </w:rPr>
        <w:t>34.829</w:t>
      </w:r>
      <w:r w:rsidR="003655CA">
        <w:rPr>
          <w:rFonts w:ascii="Verdana" w:hAnsi="Verdana"/>
        </w:rPr>
        <w:t xml:space="preserve">, showing that houses </w:t>
      </w:r>
      <w:r w:rsidR="00372B4E">
        <w:rPr>
          <w:rFonts w:ascii="Verdana" w:hAnsi="Verdana"/>
        </w:rPr>
        <w:t>on the corner lot</w:t>
      </w:r>
      <w:r w:rsidR="003655CA">
        <w:rPr>
          <w:rFonts w:ascii="Verdana" w:hAnsi="Verdana"/>
        </w:rPr>
        <w:t xml:space="preserve"> have a higher price, and that range difference could be between </w:t>
      </w:r>
      <w:r w:rsidR="00372B4E">
        <w:rPr>
          <w:rFonts w:ascii="Verdana" w:hAnsi="Verdana"/>
        </w:rPr>
        <w:t xml:space="preserve">32.695 </w:t>
      </w:r>
      <w:r w:rsidR="003655CA">
        <w:rPr>
          <w:rFonts w:ascii="Verdana" w:hAnsi="Verdana"/>
        </w:rPr>
        <w:t xml:space="preserve">up to </w:t>
      </w:r>
      <w:r w:rsidR="00372B4E" w:rsidRPr="00372B4E">
        <w:rPr>
          <w:rFonts w:ascii="Verdana" w:hAnsi="Verdana"/>
        </w:rPr>
        <w:t>102.353</w:t>
      </w:r>
      <w:r w:rsidR="003655CA">
        <w:rPr>
          <w:rFonts w:ascii="Verdana" w:hAnsi="Verdana"/>
        </w:rPr>
        <w:t>.</w:t>
      </w:r>
    </w:p>
    <w:p w14:paraId="1905F782" w14:textId="77777777" w:rsidR="008316D8" w:rsidRDefault="008316D8" w:rsidP="008316D8">
      <w:pPr>
        <w:rPr>
          <w:rFonts w:ascii="Verdana" w:hAnsi="Verdana"/>
        </w:rPr>
      </w:pPr>
    </w:p>
    <w:p w14:paraId="7FEF2D2A" w14:textId="10018CB1" w:rsidR="003655CA" w:rsidRDefault="008316D8" w:rsidP="008316D8">
      <w:pPr>
        <w:rPr>
          <w:rFonts w:ascii="Verdana" w:hAnsi="Verdana"/>
        </w:rPr>
      </w:pPr>
      <w:r>
        <w:rPr>
          <w:rFonts w:ascii="Verdana" w:hAnsi="Verdana"/>
        </w:rPr>
        <w:t>One important factor that can explain why houses in La Jo</w:t>
      </w:r>
      <w:r w:rsidR="009D68D5">
        <w:rPr>
          <w:rFonts w:ascii="Verdana" w:hAnsi="Verdana"/>
        </w:rPr>
        <w:t>tta have the highest increase on</w:t>
      </w:r>
      <w:r>
        <w:rPr>
          <w:rFonts w:ascii="Verdana" w:hAnsi="Verdana"/>
        </w:rPr>
        <w:t xml:space="preserve"> price</w:t>
      </w:r>
      <w:r w:rsidR="009D68D5">
        <w:rPr>
          <w:rFonts w:ascii="Verdana" w:hAnsi="Verdana"/>
        </w:rPr>
        <w:t>s</w:t>
      </w:r>
      <w:r>
        <w:rPr>
          <w:rFonts w:ascii="Verdana" w:hAnsi="Verdana"/>
        </w:rPr>
        <w:t>, is because of the variables analyzed, this one is more correlated whit price than the other</w:t>
      </w:r>
      <w:r w:rsidR="009D68D5">
        <w:rPr>
          <w:rFonts w:ascii="Verdana" w:hAnsi="Verdana"/>
        </w:rPr>
        <w:t>s</w:t>
      </w:r>
      <w:r>
        <w:rPr>
          <w:rFonts w:ascii="Verdana" w:hAnsi="Verdana"/>
        </w:rPr>
        <w:t>. That means when you add one point in La Jotta it will affect more price than the others, 155.102 to make a point.</w:t>
      </w:r>
      <w:r w:rsidR="009D68D5">
        <w:rPr>
          <w:rFonts w:ascii="Verdana" w:hAnsi="Verdana"/>
        </w:rPr>
        <w:t xml:space="preserve"> The correlation is .67.</w:t>
      </w:r>
      <w:r w:rsidR="003655CA" w:rsidRPr="008316D8">
        <w:rPr>
          <w:rFonts w:ascii="Verdana" w:hAnsi="Verdana"/>
        </w:rPr>
        <w:br/>
      </w:r>
    </w:p>
    <w:p w14:paraId="5FE4D5A7" w14:textId="405F0F42" w:rsidR="00615D81" w:rsidRPr="008316D8" w:rsidRDefault="00615D81" w:rsidP="008316D8">
      <w:pPr>
        <w:rPr>
          <w:rFonts w:ascii="Verdana" w:hAnsi="Verdana"/>
        </w:rPr>
      </w:pPr>
      <w:r>
        <w:rPr>
          <w:rFonts w:ascii="Verdana" w:hAnsi="Verdana"/>
          <w:noProof/>
        </w:rPr>
        <w:drawing>
          <wp:inline distT="0" distB="0" distL="0" distR="0" wp14:anchorId="19D92B6C" wp14:editId="205AE916">
            <wp:extent cx="5270500" cy="1640840"/>
            <wp:effectExtent l="0" t="0" r="12700" b="1016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09-21 at 15.05.27.png"/>
                    <pic:cNvPicPr/>
                  </pic:nvPicPr>
                  <pic:blipFill>
                    <a:blip r:embed="rId10">
                      <a:extLst>
                        <a:ext uri="{28A0092B-C50C-407E-A947-70E740481C1C}">
                          <a14:useLocalDpi xmlns:a14="http://schemas.microsoft.com/office/drawing/2010/main" val="0"/>
                        </a:ext>
                      </a:extLst>
                    </a:blip>
                    <a:stretch>
                      <a:fillRect/>
                    </a:stretch>
                  </pic:blipFill>
                  <pic:spPr>
                    <a:xfrm>
                      <a:off x="0" y="0"/>
                      <a:ext cx="5270500" cy="1640840"/>
                    </a:xfrm>
                    <a:prstGeom prst="rect">
                      <a:avLst/>
                    </a:prstGeom>
                  </pic:spPr>
                </pic:pic>
              </a:graphicData>
            </a:graphic>
          </wp:inline>
        </w:drawing>
      </w:r>
    </w:p>
    <w:sectPr w:rsidR="00615D81" w:rsidRPr="008316D8" w:rsidSect="005D4747">
      <w:headerReference w:type="default" r:id="rId11"/>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7CF5665" w14:textId="77777777" w:rsidR="008316D8" w:rsidRDefault="008316D8" w:rsidP="00A15AD3">
      <w:r>
        <w:separator/>
      </w:r>
    </w:p>
  </w:endnote>
  <w:endnote w:type="continuationSeparator" w:id="0">
    <w:p w14:paraId="75113DB8" w14:textId="77777777" w:rsidR="008316D8" w:rsidRDefault="008316D8" w:rsidP="00A15A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1AE19FD" w14:textId="77777777" w:rsidR="008316D8" w:rsidRDefault="008316D8" w:rsidP="00A15AD3">
      <w:r>
        <w:separator/>
      </w:r>
    </w:p>
  </w:footnote>
  <w:footnote w:type="continuationSeparator" w:id="0">
    <w:p w14:paraId="35C47A28" w14:textId="77777777" w:rsidR="008316D8" w:rsidRDefault="008316D8" w:rsidP="00A15AD3">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6696786" w14:textId="77777777" w:rsidR="008316D8" w:rsidRDefault="008316D8">
    <w:pPr>
      <w:pStyle w:val="Header"/>
    </w:pPr>
  </w:p>
  <w:p w14:paraId="34B533FB" w14:textId="77777777" w:rsidR="008316D8" w:rsidRDefault="008316D8">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5F52B85"/>
    <w:multiLevelType w:val="multilevel"/>
    <w:tmpl w:val="851C1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7595AC6"/>
    <w:multiLevelType w:val="hybridMultilevel"/>
    <w:tmpl w:val="661487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3691240"/>
    <w:multiLevelType w:val="hybridMultilevel"/>
    <w:tmpl w:val="CD3876B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3B3A"/>
    <w:rsid w:val="000C5908"/>
    <w:rsid w:val="000D3928"/>
    <w:rsid w:val="00135A48"/>
    <w:rsid w:val="002665AC"/>
    <w:rsid w:val="003655CA"/>
    <w:rsid w:val="00372B4E"/>
    <w:rsid w:val="00374140"/>
    <w:rsid w:val="003C42B4"/>
    <w:rsid w:val="0042240F"/>
    <w:rsid w:val="005B7973"/>
    <w:rsid w:val="005D4747"/>
    <w:rsid w:val="00615D81"/>
    <w:rsid w:val="006B4FBB"/>
    <w:rsid w:val="006D6105"/>
    <w:rsid w:val="007803BF"/>
    <w:rsid w:val="007950DA"/>
    <w:rsid w:val="007C449C"/>
    <w:rsid w:val="008316D8"/>
    <w:rsid w:val="00975F54"/>
    <w:rsid w:val="009D68D5"/>
    <w:rsid w:val="00A15AD3"/>
    <w:rsid w:val="00A25E7C"/>
    <w:rsid w:val="00A47B45"/>
    <w:rsid w:val="00B524EF"/>
    <w:rsid w:val="00CA32FF"/>
    <w:rsid w:val="00CD4831"/>
    <w:rsid w:val="00DA319B"/>
    <w:rsid w:val="00E53B3A"/>
    <w:rsid w:val="00E77C1E"/>
    <w:rsid w:val="00F731C5"/>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1C16B6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pt-B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53B3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803BF"/>
    <w:pPr>
      <w:ind w:left="720"/>
      <w:contextualSpacing/>
    </w:pPr>
  </w:style>
  <w:style w:type="paragraph" w:styleId="IntenseQuote">
    <w:name w:val="Intense Quote"/>
    <w:basedOn w:val="Normal"/>
    <w:next w:val="Normal"/>
    <w:link w:val="IntenseQuoteChar"/>
    <w:uiPriority w:val="30"/>
    <w:qFormat/>
    <w:rsid w:val="00A15AD3"/>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A15AD3"/>
    <w:rPr>
      <w:b/>
      <w:bCs/>
      <w:i/>
      <w:iCs/>
      <w:color w:val="4F81BD" w:themeColor="accent1"/>
      <w:lang w:val="en-US"/>
    </w:rPr>
  </w:style>
  <w:style w:type="paragraph" w:styleId="Header">
    <w:name w:val="header"/>
    <w:basedOn w:val="Normal"/>
    <w:link w:val="HeaderChar"/>
    <w:uiPriority w:val="99"/>
    <w:unhideWhenUsed/>
    <w:rsid w:val="00A15AD3"/>
    <w:pPr>
      <w:tabs>
        <w:tab w:val="center" w:pos="4320"/>
        <w:tab w:val="right" w:pos="8640"/>
      </w:tabs>
    </w:pPr>
  </w:style>
  <w:style w:type="character" w:customStyle="1" w:styleId="HeaderChar">
    <w:name w:val="Header Char"/>
    <w:basedOn w:val="DefaultParagraphFont"/>
    <w:link w:val="Header"/>
    <w:uiPriority w:val="99"/>
    <w:rsid w:val="00A15AD3"/>
    <w:rPr>
      <w:lang w:val="en-US"/>
    </w:rPr>
  </w:style>
  <w:style w:type="paragraph" w:styleId="Footer">
    <w:name w:val="footer"/>
    <w:basedOn w:val="Normal"/>
    <w:link w:val="FooterChar"/>
    <w:uiPriority w:val="99"/>
    <w:unhideWhenUsed/>
    <w:rsid w:val="00A15AD3"/>
    <w:pPr>
      <w:tabs>
        <w:tab w:val="center" w:pos="4320"/>
        <w:tab w:val="right" w:pos="8640"/>
      </w:tabs>
    </w:pPr>
  </w:style>
  <w:style w:type="character" w:customStyle="1" w:styleId="FooterChar">
    <w:name w:val="Footer Char"/>
    <w:basedOn w:val="DefaultParagraphFont"/>
    <w:link w:val="Footer"/>
    <w:uiPriority w:val="99"/>
    <w:rsid w:val="00A15AD3"/>
    <w:rPr>
      <w:lang w:val="en-US"/>
    </w:rPr>
  </w:style>
  <w:style w:type="paragraph" w:styleId="BalloonText">
    <w:name w:val="Balloon Text"/>
    <w:basedOn w:val="Normal"/>
    <w:link w:val="BalloonTextChar"/>
    <w:uiPriority w:val="99"/>
    <w:semiHidden/>
    <w:unhideWhenUsed/>
    <w:rsid w:val="00615D8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15D81"/>
    <w:rPr>
      <w:rFonts w:ascii="Lucida Grande" w:hAnsi="Lucida Grande" w:cs="Lucida Grande"/>
      <w:sz w:val="18"/>
      <w:szCs w:val="18"/>
      <w:lang w:val="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pt-B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53B3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803BF"/>
    <w:pPr>
      <w:ind w:left="720"/>
      <w:contextualSpacing/>
    </w:pPr>
  </w:style>
  <w:style w:type="paragraph" w:styleId="IntenseQuote">
    <w:name w:val="Intense Quote"/>
    <w:basedOn w:val="Normal"/>
    <w:next w:val="Normal"/>
    <w:link w:val="IntenseQuoteChar"/>
    <w:uiPriority w:val="30"/>
    <w:qFormat/>
    <w:rsid w:val="00A15AD3"/>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A15AD3"/>
    <w:rPr>
      <w:b/>
      <w:bCs/>
      <w:i/>
      <w:iCs/>
      <w:color w:val="4F81BD" w:themeColor="accent1"/>
      <w:lang w:val="en-US"/>
    </w:rPr>
  </w:style>
  <w:style w:type="paragraph" w:styleId="Header">
    <w:name w:val="header"/>
    <w:basedOn w:val="Normal"/>
    <w:link w:val="HeaderChar"/>
    <w:uiPriority w:val="99"/>
    <w:unhideWhenUsed/>
    <w:rsid w:val="00A15AD3"/>
    <w:pPr>
      <w:tabs>
        <w:tab w:val="center" w:pos="4320"/>
        <w:tab w:val="right" w:pos="8640"/>
      </w:tabs>
    </w:pPr>
  </w:style>
  <w:style w:type="character" w:customStyle="1" w:styleId="HeaderChar">
    <w:name w:val="Header Char"/>
    <w:basedOn w:val="DefaultParagraphFont"/>
    <w:link w:val="Header"/>
    <w:uiPriority w:val="99"/>
    <w:rsid w:val="00A15AD3"/>
    <w:rPr>
      <w:lang w:val="en-US"/>
    </w:rPr>
  </w:style>
  <w:style w:type="paragraph" w:styleId="Footer">
    <w:name w:val="footer"/>
    <w:basedOn w:val="Normal"/>
    <w:link w:val="FooterChar"/>
    <w:uiPriority w:val="99"/>
    <w:unhideWhenUsed/>
    <w:rsid w:val="00A15AD3"/>
    <w:pPr>
      <w:tabs>
        <w:tab w:val="center" w:pos="4320"/>
        <w:tab w:val="right" w:pos="8640"/>
      </w:tabs>
    </w:pPr>
  </w:style>
  <w:style w:type="character" w:customStyle="1" w:styleId="FooterChar">
    <w:name w:val="Footer Char"/>
    <w:basedOn w:val="DefaultParagraphFont"/>
    <w:link w:val="Footer"/>
    <w:uiPriority w:val="99"/>
    <w:rsid w:val="00A15AD3"/>
    <w:rPr>
      <w:lang w:val="en-US"/>
    </w:rPr>
  </w:style>
  <w:style w:type="paragraph" w:styleId="BalloonText">
    <w:name w:val="Balloon Text"/>
    <w:basedOn w:val="Normal"/>
    <w:link w:val="BalloonTextChar"/>
    <w:uiPriority w:val="99"/>
    <w:semiHidden/>
    <w:unhideWhenUsed/>
    <w:rsid w:val="00615D8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15D81"/>
    <w:rPr>
      <w:rFonts w:ascii="Lucida Grande" w:hAnsi="Lucida Grande" w:cs="Lucida Grande"/>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9489513">
      <w:bodyDiv w:val="1"/>
      <w:marLeft w:val="0"/>
      <w:marRight w:val="0"/>
      <w:marTop w:val="0"/>
      <w:marBottom w:val="0"/>
      <w:divBdr>
        <w:top w:val="none" w:sz="0" w:space="0" w:color="auto"/>
        <w:left w:val="none" w:sz="0" w:space="0" w:color="auto"/>
        <w:bottom w:val="none" w:sz="0" w:space="0" w:color="auto"/>
        <w:right w:val="none" w:sz="0" w:space="0" w:color="auto"/>
      </w:divBdr>
    </w:div>
    <w:div w:id="1451973403">
      <w:bodyDiv w:val="1"/>
      <w:marLeft w:val="0"/>
      <w:marRight w:val="0"/>
      <w:marTop w:val="0"/>
      <w:marBottom w:val="0"/>
      <w:divBdr>
        <w:top w:val="none" w:sz="0" w:space="0" w:color="auto"/>
        <w:left w:val="none" w:sz="0" w:space="0" w:color="auto"/>
        <w:bottom w:val="none" w:sz="0" w:space="0" w:color="auto"/>
        <w:right w:val="none" w:sz="0" w:space="0" w:color="auto"/>
      </w:divBdr>
    </w:div>
    <w:div w:id="201013507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70</TotalTime>
  <Pages>3</Pages>
  <Words>416</Words>
  <Characters>2373</Characters>
  <Application>Microsoft Macintosh Word</Application>
  <DocSecurity>0</DocSecurity>
  <Lines>19</Lines>
  <Paragraphs>5</Paragraphs>
  <ScaleCrop>false</ScaleCrop>
  <Company/>
  <LinksUpToDate>false</LinksUpToDate>
  <CharactersWithSpaces>2784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Rafael Guimarães</dc:creator>
  <cp:keywords/>
  <dc:description/>
  <cp:lastModifiedBy>Rafael Guimarães</cp:lastModifiedBy>
  <cp:revision>21</cp:revision>
  <dcterms:created xsi:type="dcterms:W3CDTF">2016-09-21T01:58:00Z</dcterms:created>
  <dcterms:modified xsi:type="dcterms:W3CDTF">2016-09-21T19:13:00Z</dcterms:modified>
</cp:coreProperties>
</file>