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A3D53" w14:textId="58EFE61D" w:rsidR="00E91B61" w:rsidRDefault="00E91B61" w:rsidP="00E91B61">
      <w:pPr>
        <w:pStyle w:val="Heading1"/>
      </w:pPr>
      <w:bookmarkStart w:id="0" w:name="_Toc67125892"/>
      <w:r>
        <w:t>Research Design</w:t>
      </w:r>
      <w:bookmarkEnd w:id="0"/>
    </w:p>
    <w:p w14:paraId="733F813A" w14:textId="77777777" w:rsidR="00E91B61" w:rsidRPr="00C17CB4" w:rsidRDefault="00E91B61" w:rsidP="00E91B61">
      <w:r>
        <w:t xml:space="preserve">The mathematical model from the published work presented in the background reading material, “Making sustainable sourcing decisions: practical evidence from the automotive industry” authored by </w:t>
      </w:r>
      <w:r>
        <w:fldChar w:fldCharType="begin" w:fldLock="1"/>
      </w:r>
      <w:r>
        <w:instrText>ADDIN CSL_CITATION {"citationItems":[{"id":"ITEM-1","itemData":{"DOI":"10.1080/13675567.2016.1227310","ISSN":"1469848X","abstract":"Achieving environmental and sustainable performance within an organisation’s supply chain and manufacturing operations will be feasible if upstream supply partners have the same commitments in performing their operations in a sustainable manner. Given the debate above, we propose a comprehensive framework to address the sustainable supplier selection and order allocation (SSS&amp;OA) problem. The framework developed is practical, that starts by using an audition check-list specific for each sustainability dimension (environmental, economic and social), from which the weighted values of its comprised criteria are obtained. The weighted scores of the selected sustainable suppliers are utilised by a proposed bi-objective order allocation model in order to make sourcing decisions. The strength of the proposed framework is its practical applicability to provide a solution for SSS&amp;OA problems which is validated through a real-world application. Finally, research findings, theoretical and managerial insights and also directions for additional research are presented.","author":[{"dropping-particle":"","family":"Ghadimi","given":"Pezhman","non-dropping-particle":"","parse-names":false,"suffix":""},{"dropping-particle":"","family":"Dargi","given":"Ahmad","non-dropping-particle":"","parse-names":false,"suffix":""},{"dropping-particle":"","family":"Heavey","given":"Cathal","non-dropping-particle":"","parse-names":false,"suffix":""}],"container-title":"International Journal of Logistics Research and Applications","id":"ITEM-1","issue":"4","issued":{"date-parts":[["2017"]]},"page":"297-321","title":"Making sustainable sourcing decisions: practical evidence from the automotive industry","type":"article-journal","volume":"20"},"uris":["http://www.mendeley.com/documents/?uuid=c46864eb-32f6-4883-99c1-01ed25784087"]}],"mendeley":{"formattedCitation":"(Ghadimi, Dargi and Heavey, 2017)","manualFormatting":"Ghadimi, Dargi and Heavey (2017)","plainTextFormattedCitation":"(Ghadimi, Dargi and Heavey, 2017)","previouslyFormattedCitation":"(Ghadimi, Dargi and Heavey, 2017)"},"properties":{"noteIndex":0},"schema":"https://github.com/citation-style-language/schema/raw/master/csl-citation.json"}</w:instrText>
      </w:r>
      <w:r>
        <w:fldChar w:fldCharType="separate"/>
      </w:r>
      <w:r w:rsidRPr="0099023C">
        <w:rPr>
          <w:noProof/>
        </w:rPr>
        <w:t xml:space="preserve">Ghadimi, Dargi and Heavey </w:t>
      </w:r>
      <w:r>
        <w:rPr>
          <w:noProof/>
        </w:rPr>
        <w:t>(</w:t>
      </w:r>
      <w:r w:rsidRPr="0099023C">
        <w:rPr>
          <w:noProof/>
        </w:rPr>
        <w:t>2017)</w:t>
      </w:r>
      <w:r>
        <w:fldChar w:fldCharType="end"/>
      </w:r>
      <w:r>
        <w:t xml:space="preserve"> will be re-examined but using an alternative solution approach.</w:t>
      </w:r>
    </w:p>
    <w:p w14:paraId="664D735F" w14:textId="49D1D9E9" w:rsidR="00E91B61" w:rsidRDefault="00E91B61" w:rsidP="00E91B61">
      <w:pPr>
        <w:pStyle w:val="Heading2"/>
      </w:pPr>
      <w:bookmarkStart w:id="1" w:name="_Toc67125893"/>
      <w:r>
        <w:t>Multiple products, multiple sourcing order allocation model</w:t>
      </w:r>
      <w:bookmarkEnd w:id="1"/>
    </w:p>
    <w:p w14:paraId="444FF388" w14:textId="77777777" w:rsidR="00E91B61" w:rsidRDefault="00E91B61" w:rsidP="00E91B61">
      <w:r>
        <w:t>The model that is proposed has the following assumptions, indices, parameters, and decision variables.</w:t>
      </w:r>
    </w:p>
    <w:p w14:paraId="4A3E7116" w14:textId="77777777" w:rsidR="00E91B61" w:rsidRDefault="00E91B61" w:rsidP="00E91B61">
      <w:r>
        <w:t>Assumptions include:</w:t>
      </w:r>
    </w:p>
    <w:p w14:paraId="58853A2C" w14:textId="77777777" w:rsidR="00E91B61" w:rsidRPr="00A57569" w:rsidRDefault="00E91B61" w:rsidP="00E91B61">
      <w:pPr>
        <w:pStyle w:val="ListParagraph"/>
        <w:numPr>
          <w:ilvl w:val="0"/>
          <w:numId w:val="3"/>
        </w:numPr>
        <w:ind w:left="1418" w:hanging="709"/>
      </w:pPr>
      <w:r w:rsidRPr="00A57569">
        <w:t>No quantity discount policies are foreseen.</w:t>
      </w:r>
    </w:p>
    <w:p w14:paraId="0A159A61" w14:textId="77777777" w:rsidR="00E91B61" w:rsidRPr="00A57569" w:rsidRDefault="00E91B61" w:rsidP="00E91B61">
      <w:pPr>
        <w:pStyle w:val="ListParagraph"/>
        <w:numPr>
          <w:ilvl w:val="0"/>
          <w:numId w:val="3"/>
        </w:numPr>
        <w:ind w:left="1418" w:hanging="709"/>
      </w:pPr>
      <w:r w:rsidRPr="00A57569">
        <w:t>Fix ordering costs are supplier specific.</w:t>
      </w:r>
    </w:p>
    <w:p w14:paraId="79D04065" w14:textId="77777777" w:rsidR="00E91B61" w:rsidRPr="00A57569" w:rsidRDefault="00E91B61" w:rsidP="00E91B61">
      <w:pPr>
        <w:pStyle w:val="ListParagraph"/>
        <w:numPr>
          <w:ilvl w:val="0"/>
          <w:numId w:val="3"/>
        </w:numPr>
        <w:ind w:left="1418" w:hanging="709"/>
      </w:pPr>
      <w:r w:rsidRPr="00A57569">
        <w:t>Delivery lead-times are supplier specific.</w:t>
      </w:r>
    </w:p>
    <w:p w14:paraId="454355A2" w14:textId="77777777" w:rsidR="00E91B61" w:rsidRPr="00A57569" w:rsidRDefault="00E91B61" w:rsidP="00E91B61">
      <w:pPr>
        <w:pStyle w:val="ListParagraph"/>
        <w:numPr>
          <w:ilvl w:val="0"/>
          <w:numId w:val="3"/>
        </w:numPr>
        <w:ind w:left="1418" w:hanging="709"/>
      </w:pPr>
      <w:r w:rsidRPr="00A57569">
        <w:t>There is no item shortage for any suppliers.</w:t>
      </w:r>
    </w:p>
    <w:p w14:paraId="4338F3E7" w14:textId="77777777" w:rsidR="00E91B61" w:rsidRPr="00A57569" w:rsidRDefault="00E91B61" w:rsidP="00E91B61">
      <w:pPr>
        <w:pStyle w:val="ListParagraph"/>
        <w:numPr>
          <w:ilvl w:val="0"/>
          <w:numId w:val="3"/>
        </w:numPr>
        <w:ind w:left="1418" w:hanging="709"/>
      </w:pPr>
      <w:r w:rsidRPr="00A57569">
        <w:t>There are no inventories at the beginning and the end of the planning horizon.</w:t>
      </w:r>
    </w:p>
    <w:p w14:paraId="7AF1CCC4" w14:textId="77777777" w:rsidR="00E91B61" w:rsidRPr="00A57569" w:rsidRDefault="00E91B61" w:rsidP="00E91B61">
      <w:pPr>
        <w:pStyle w:val="ListParagraph"/>
        <w:numPr>
          <w:ilvl w:val="0"/>
          <w:numId w:val="3"/>
        </w:numPr>
        <w:ind w:left="1418" w:hanging="709"/>
      </w:pPr>
      <w:r w:rsidRPr="00A57569">
        <w:t>For the entire allocation period, demand is known with certainty and constant.</w:t>
      </w:r>
    </w:p>
    <w:p w14:paraId="294971F7" w14:textId="77777777" w:rsidR="00E91B61" w:rsidRDefault="00E91B61" w:rsidP="00E91B61">
      <w:pPr>
        <w:pStyle w:val="ListParagraph"/>
        <w:numPr>
          <w:ilvl w:val="0"/>
          <w:numId w:val="3"/>
        </w:numPr>
        <w:ind w:left="1418" w:hanging="709"/>
      </w:pPr>
      <w:r w:rsidRPr="00A57569">
        <w:t>Holding costs are dependent on the purchasing price.</w:t>
      </w:r>
    </w:p>
    <w:p w14:paraId="01A5E6D4" w14:textId="77777777" w:rsidR="00E91B61" w:rsidRDefault="00E91B61" w:rsidP="00E91B61">
      <w:pPr>
        <w:spacing w:before="240"/>
      </w:pPr>
      <w:r>
        <w:t>Indices:</w:t>
      </w:r>
    </w:p>
    <w:p w14:paraId="5494FB2D" w14:textId="77777777" w:rsidR="00E91B61" w:rsidRDefault="00E91B61" w:rsidP="00E91B61">
      <w:pPr>
        <w:spacing w:before="0" w:after="0"/>
        <w:ind w:firstLine="709"/>
      </w:pPr>
      <w:r>
        <w:rPr>
          <w:i/>
          <w:iCs/>
        </w:rPr>
        <w:t>n</w:t>
      </w:r>
      <w:r>
        <w:tab/>
        <w:t>number of suppliers</w:t>
      </w:r>
    </w:p>
    <w:p w14:paraId="7274D4F9" w14:textId="77777777" w:rsidR="00E91B61" w:rsidRDefault="00E91B61" w:rsidP="00E91B61">
      <w:pPr>
        <w:spacing w:before="0" w:after="0"/>
        <w:ind w:firstLine="709"/>
      </w:pPr>
      <w:r>
        <w:rPr>
          <w:i/>
          <w:iCs/>
        </w:rPr>
        <w:t>m</w:t>
      </w:r>
      <w:r>
        <w:tab/>
        <w:t>number of products</w:t>
      </w:r>
    </w:p>
    <w:p w14:paraId="071B41C8" w14:textId="77777777" w:rsidR="00E91B61" w:rsidRDefault="00E91B61" w:rsidP="00E91B61">
      <w:pPr>
        <w:spacing w:before="0" w:after="0"/>
        <w:ind w:firstLine="709"/>
      </w:pPr>
      <w:proofErr w:type="spellStart"/>
      <w:r>
        <w:rPr>
          <w:i/>
          <w:iCs/>
        </w:rPr>
        <w:t>i</w:t>
      </w:r>
      <w:proofErr w:type="spellEnd"/>
      <w:r>
        <w:rPr>
          <w:i/>
          <w:iCs/>
        </w:rPr>
        <w:tab/>
      </w:r>
      <w:r>
        <w:t>product indices</w:t>
      </w:r>
    </w:p>
    <w:p w14:paraId="3BB749BB" w14:textId="77777777" w:rsidR="00E91B61" w:rsidRDefault="00E91B61" w:rsidP="00E91B61">
      <w:pPr>
        <w:spacing w:before="0" w:after="0"/>
        <w:ind w:firstLine="709"/>
      </w:pPr>
      <w:r>
        <w:rPr>
          <w:i/>
          <w:iCs/>
        </w:rPr>
        <w:t>j</w:t>
      </w:r>
      <w:r>
        <w:tab/>
        <w:t>supplier indices</w:t>
      </w:r>
    </w:p>
    <w:p w14:paraId="01946DFE" w14:textId="77777777" w:rsidR="00E91B61" w:rsidRDefault="00E91B61" w:rsidP="00E91B61">
      <w:pPr>
        <w:spacing w:before="240"/>
      </w:pPr>
      <w:r>
        <w:t>Parameters:</w:t>
      </w:r>
    </w:p>
    <w:p w14:paraId="364C61B2" w14:textId="77777777" w:rsidR="00E91B61" w:rsidRDefault="00E91B61" w:rsidP="00E91B61">
      <w:pPr>
        <w:spacing w:before="0" w:after="0"/>
        <w:ind w:firstLine="720"/>
      </w:pPr>
      <w:proofErr w:type="spellStart"/>
      <w:r w:rsidRPr="008A3035">
        <w:rPr>
          <w:i/>
          <w:iCs/>
        </w:rPr>
        <w:t>V</w:t>
      </w:r>
      <w:r w:rsidRPr="008A3035">
        <w:rPr>
          <w:i/>
          <w:iCs/>
          <w:vertAlign w:val="subscript"/>
        </w:rPr>
        <w:t>ij</w:t>
      </w:r>
      <w:proofErr w:type="spellEnd"/>
      <w:r>
        <w:rPr>
          <w:i/>
          <w:iCs/>
        </w:rPr>
        <w:tab/>
      </w:r>
      <w:r>
        <w:t xml:space="preserve">capacity of </w:t>
      </w:r>
      <w:r>
        <w:rPr>
          <w:i/>
          <w:iCs/>
        </w:rPr>
        <w:t xml:space="preserve">j </w:t>
      </w:r>
      <w:proofErr w:type="spellStart"/>
      <w:r>
        <w:t>th</w:t>
      </w:r>
      <w:proofErr w:type="spellEnd"/>
      <w:r>
        <w:t xml:space="preserve"> supplier for </w:t>
      </w:r>
      <w:proofErr w:type="spellStart"/>
      <w:r>
        <w:rPr>
          <w:i/>
          <w:iCs/>
        </w:rPr>
        <w:t>i</w:t>
      </w:r>
      <w:proofErr w:type="spellEnd"/>
      <w:r>
        <w:rPr>
          <w:i/>
          <w:iCs/>
        </w:rPr>
        <w:t xml:space="preserve"> </w:t>
      </w:r>
      <w:proofErr w:type="spellStart"/>
      <w:r>
        <w:t>th</w:t>
      </w:r>
      <w:proofErr w:type="spellEnd"/>
      <w:r>
        <w:t xml:space="preserve"> product</w:t>
      </w:r>
    </w:p>
    <w:p w14:paraId="2B4CBAE4" w14:textId="77777777" w:rsidR="00E91B61" w:rsidRDefault="00E91B61" w:rsidP="00E91B61">
      <w:pPr>
        <w:spacing w:before="0" w:after="0"/>
        <w:ind w:firstLine="720"/>
      </w:pPr>
      <w:proofErr w:type="spellStart"/>
      <w:r w:rsidRPr="00F41A84">
        <w:rPr>
          <w:i/>
          <w:iCs/>
        </w:rPr>
        <w:t>P</w:t>
      </w:r>
      <w:r>
        <w:rPr>
          <w:i/>
          <w:iCs/>
          <w:vertAlign w:val="subscript"/>
        </w:rPr>
        <w:t>ij</w:t>
      </w:r>
      <w:proofErr w:type="spellEnd"/>
      <w:r>
        <w:rPr>
          <w:i/>
          <w:iCs/>
          <w:vertAlign w:val="subscript"/>
        </w:rPr>
        <w:tab/>
      </w:r>
      <w:r>
        <w:t xml:space="preserve">purchasing price of product </w:t>
      </w:r>
      <w:proofErr w:type="spellStart"/>
      <w:r w:rsidRPr="00F41A84">
        <w:rPr>
          <w:i/>
          <w:iCs/>
        </w:rPr>
        <w:t>i</w:t>
      </w:r>
      <w:proofErr w:type="spellEnd"/>
      <w:r>
        <w:t xml:space="preserve"> delivered by supplier</w:t>
      </w:r>
      <w:r w:rsidRPr="00F41A84">
        <w:rPr>
          <w:i/>
          <w:iCs/>
        </w:rPr>
        <w:t xml:space="preserve"> </w:t>
      </w:r>
      <w:proofErr w:type="gramStart"/>
      <w:r w:rsidRPr="00F41A84">
        <w:rPr>
          <w:i/>
          <w:iCs/>
        </w:rPr>
        <w:t>j</w:t>
      </w:r>
      <w:proofErr w:type="gramEnd"/>
    </w:p>
    <w:p w14:paraId="39AA77DF" w14:textId="77777777" w:rsidR="00E91B61" w:rsidRDefault="00E91B61" w:rsidP="00E91B61">
      <w:pPr>
        <w:spacing w:before="0" w:after="0"/>
        <w:ind w:firstLine="720"/>
      </w:pPr>
      <w:r w:rsidRPr="00F41A84">
        <w:rPr>
          <w:i/>
          <w:iCs/>
        </w:rPr>
        <w:t>d</w:t>
      </w:r>
      <w:r>
        <w:rPr>
          <w:i/>
          <w:iCs/>
          <w:vertAlign w:val="subscript"/>
        </w:rPr>
        <w:t xml:space="preserve">i </w:t>
      </w:r>
      <w:r>
        <w:tab/>
        <w:t>total demand of product</w:t>
      </w:r>
      <w:r w:rsidRPr="00F41A84">
        <w:rPr>
          <w:i/>
          <w:iCs/>
        </w:rPr>
        <w:t xml:space="preserve"> </w:t>
      </w:r>
      <w:proofErr w:type="spellStart"/>
      <w:r w:rsidRPr="00F41A84">
        <w:rPr>
          <w:i/>
          <w:iCs/>
        </w:rPr>
        <w:t>i</w:t>
      </w:r>
      <w:proofErr w:type="spellEnd"/>
    </w:p>
    <w:p w14:paraId="5BC584F2" w14:textId="77777777" w:rsidR="00E91B61" w:rsidRDefault="00E91B61" w:rsidP="00E91B61">
      <w:pPr>
        <w:spacing w:before="0" w:after="0"/>
        <w:ind w:firstLine="720"/>
      </w:pPr>
      <w:proofErr w:type="spellStart"/>
      <w:r w:rsidRPr="00F41A84">
        <w:rPr>
          <w:i/>
          <w:iCs/>
        </w:rPr>
        <w:t>T</w:t>
      </w:r>
      <w:r w:rsidRPr="00F41A84">
        <w:rPr>
          <w:i/>
          <w:iCs/>
          <w:vertAlign w:val="subscript"/>
        </w:rPr>
        <w:t>ij</w:t>
      </w:r>
      <w:proofErr w:type="spellEnd"/>
      <w:r>
        <w:tab/>
        <w:t xml:space="preserve">on-time delivery rate of product </w:t>
      </w:r>
      <w:proofErr w:type="spellStart"/>
      <w:r w:rsidRPr="00F424A4">
        <w:rPr>
          <w:i/>
          <w:iCs/>
        </w:rPr>
        <w:t>i</w:t>
      </w:r>
      <w:proofErr w:type="spellEnd"/>
      <w:r>
        <w:t xml:space="preserve"> offered by supplier </w:t>
      </w:r>
      <w:proofErr w:type="gramStart"/>
      <w:r w:rsidRPr="00F424A4">
        <w:rPr>
          <w:i/>
          <w:iCs/>
        </w:rPr>
        <w:t>j</w:t>
      </w:r>
      <w:proofErr w:type="gramEnd"/>
    </w:p>
    <w:p w14:paraId="438A1713" w14:textId="77777777" w:rsidR="00E91B61" w:rsidRDefault="00E91B61" w:rsidP="00E91B61">
      <w:pPr>
        <w:spacing w:before="0" w:after="0"/>
        <w:ind w:left="720"/>
      </w:pPr>
      <w:proofErr w:type="spellStart"/>
      <w:r w:rsidRPr="00F41A84">
        <w:rPr>
          <w:i/>
          <w:iCs/>
        </w:rPr>
        <w:t>t</w:t>
      </w:r>
      <w:r>
        <w:rPr>
          <w:i/>
          <w:iCs/>
          <w:vertAlign w:val="subscript"/>
        </w:rPr>
        <w:t>i</w:t>
      </w:r>
      <w:proofErr w:type="spellEnd"/>
      <w:r>
        <w:tab/>
        <w:t xml:space="preserve">manufacturer’s minimum acceptable on-time delivery rate of product </w:t>
      </w:r>
      <w:proofErr w:type="spellStart"/>
      <w:r w:rsidRPr="00F424A4">
        <w:rPr>
          <w:i/>
          <w:iCs/>
        </w:rPr>
        <w:t>i</w:t>
      </w:r>
      <w:proofErr w:type="spellEnd"/>
    </w:p>
    <w:p w14:paraId="23A4019B" w14:textId="77777777" w:rsidR="00E91B61" w:rsidRDefault="00E91B61" w:rsidP="00E91B61">
      <w:pPr>
        <w:spacing w:before="0" w:after="0"/>
        <w:ind w:left="720"/>
      </w:pPr>
      <w:proofErr w:type="spellStart"/>
      <w:r w:rsidRPr="00C63B88">
        <w:rPr>
          <w:rFonts w:cstheme="minorHAnsi"/>
          <w:i/>
          <w:iCs/>
        </w:rPr>
        <w:t>η</w:t>
      </w:r>
      <w:r>
        <w:rPr>
          <w:rFonts w:cstheme="minorHAnsi"/>
          <w:i/>
          <w:iCs/>
          <w:vertAlign w:val="subscript"/>
        </w:rPr>
        <w:t>ij</w:t>
      </w:r>
      <w:proofErr w:type="spellEnd"/>
      <w:r>
        <w:tab/>
        <w:t xml:space="preserve">defective rate of product </w:t>
      </w:r>
      <w:proofErr w:type="spellStart"/>
      <w:r w:rsidRPr="00F424A4">
        <w:rPr>
          <w:i/>
          <w:iCs/>
        </w:rPr>
        <w:t>i</w:t>
      </w:r>
      <w:proofErr w:type="spellEnd"/>
      <w:r w:rsidRPr="00F424A4">
        <w:rPr>
          <w:i/>
          <w:iCs/>
        </w:rPr>
        <w:t xml:space="preserve"> </w:t>
      </w:r>
      <w:r>
        <w:t xml:space="preserve">delivered by supplier </w:t>
      </w:r>
      <w:proofErr w:type="gramStart"/>
      <w:r w:rsidRPr="00F424A4">
        <w:rPr>
          <w:i/>
          <w:iCs/>
        </w:rPr>
        <w:t>j</w:t>
      </w:r>
      <w:proofErr w:type="gramEnd"/>
    </w:p>
    <w:p w14:paraId="65DE58A5" w14:textId="77777777" w:rsidR="00E91B61" w:rsidRPr="00F424A4" w:rsidRDefault="00E91B61" w:rsidP="00E91B61">
      <w:pPr>
        <w:spacing w:before="0" w:after="0"/>
        <w:ind w:left="720"/>
        <w:rPr>
          <w:i/>
          <w:iCs/>
        </w:rPr>
      </w:pPr>
      <w:proofErr w:type="spellStart"/>
      <w:r w:rsidRPr="00C63B88">
        <w:rPr>
          <w:rFonts w:cstheme="minorHAnsi"/>
          <w:i/>
          <w:iCs/>
        </w:rPr>
        <w:t>η</w:t>
      </w:r>
      <w:r w:rsidRPr="00C63B88">
        <w:rPr>
          <w:i/>
          <w:iCs/>
          <w:vertAlign w:val="subscript"/>
        </w:rPr>
        <w:t>i</w:t>
      </w:r>
      <w:proofErr w:type="spellEnd"/>
      <w:r>
        <w:tab/>
        <w:t>manufacturer’s maximum acceptable defective rate of product</w:t>
      </w:r>
      <w:r w:rsidRPr="00F424A4">
        <w:rPr>
          <w:i/>
          <w:iCs/>
        </w:rPr>
        <w:t xml:space="preserve"> </w:t>
      </w:r>
      <w:proofErr w:type="spellStart"/>
      <w:r w:rsidRPr="00F424A4">
        <w:rPr>
          <w:i/>
          <w:iCs/>
        </w:rPr>
        <w:t>i</w:t>
      </w:r>
      <w:proofErr w:type="spellEnd"/>
    </w:p>
    <w:p w14:paraId="1DFB9AC5" w14:textId="77777777" w:rsidR="00E91B61" w:rsidRDefault="00E91B61" w:rsidP="00E91B61">
      <w:pPr>
        <w:spacing w:before="0" w:after="0"/>
        <w:ind w:left="720"/>
      </w:pPr>
      <w:proofErr w:type="spellStart"/>
      <w:r w:rsidRPr="00C63B88">
        <w:rPr>
          <w:i/>
          <w:iCs/>
        </w:rPr>
        <w:lastRenderedPageBreak/>
        <w:t>o</w:t>
      </w:r>
      <w:r w:rsidRPr="00C63B88">
        <w:rPr>
          <w:i/>
          <w:iCs/>
          <w:vertAlign w:val="subscript"/>
        </w:rPr>
        <w:t>j</w:t>
      </w:r>
      <w:proofErr w:type="spellEnd"/>
      <w:r>
        <w:tab/>
        <w:t xml:space="preserve">fixed ordering cost for supplier </w:t>
      </w:r>
      <w:r w:rsidRPr="00F424A4">
        <w:rPr>
          <w:i/>
          <w:iCs/>
        </w:rPr>
        <w:t>j</w:t>
      </w:r>
    </w:p>
    <w:p w14:paraId="586D2F76" w14:textId="77777777" w:rsidR="00E91B61" w:rsidRDefault="00E91B61" w:rsidP="00E91B61">
      <w:pPr>
        <w:spacing w:before="0" w:after="0"/>
        <w:ind w:left="720"/>
      </w:pPr>
      <w:proofErr w:type="spellStart"/>
      <w:r w:rsidRPr="00F424A4">
        <w:rPr>
          <w:i/>
          <w:iCs/>
        </w:rPr>
        <w:t>o</w:t>
      </w:r>
      <w:r w:rsidRPr="00F424A4">
        <w:rPr>
          <w:i/>
          <w:iCs/>
          <w:vertAlign w:val="subscript"/>
        </w:rPr>
        <w:t>j</w:t>
      </w:r>
      <w:proofErr w:type="spellEnd"/>
      <w:r w:rsidRPr="00F424A4">
        <w:rPr>
          <w:i/>
          <w:iCs/>
          <w:vertAlign w:val="superscript"/>
        </w:rPr>
        <w:t>’</w:t>
      </w:r>
      <w:r>
        <w:tab/>
        <w:t xml:space="preserve">variable ordering cost for supplier </w:t>
      </w:r>
      <w:r w:rsidRPr="00F424A4">
        <w:rPr>
          <w:i/>
          <w:iCs/>
        </w:rPr>
        <w:t>j</w:t>
      </w:r>
    </w:p>
    <w:p w14:paraId="6FC2AF09" w14:textId="77777777" w:rsidR="00E91B61" w:rsidRDefault="00E91B61" w:rsidP="00E91B61">
      <w:pPr>
        <w:spacing w:before="0" w:after="0"/>
        <w:ind w:left="720"/>
      </w:pPr>
      <w:proofErr w:type="spellStart"/>
      <w:r w:rsidRPr="00F424A4">
        <w:rPr>
          <w:i/>
          <w:iCs/>
        </w:rPr>
        <w:t>tc</w:t>
      </w:r>
      <w:r>
        <w:rPr>
          <w:i/>
          <w:iCs/>
          <w:vertAlign w:val="subscript"/>
        </w:rPr>
        <w:t>j</w:t>
      </w:r>
      <w:proofErr w:type="spellEnd"/>
      <w:r>
        <w:tab/>
        <w:t xml:space="preserve">transportation cost of supplier </w:t>
      </w:r>
      <w:r w:rsidRPr="00F424A4">
        <w:rPr>
          <w:i/>
          <w:iCs/>
        </w:rPr>
        <w:t>j</w:t>
      </w:r>
      <w:r>
        <w:t xml:space="preserve"> per vehicle</w:t>
      </w:r>
    </w:p>
    <w:p w14:paraId="1AC1DF10" w14:textId="77777777" w:rsidR="00E91B61" w:rsidRDefault="00E91B61" w:rsidP="00E91B61">
      <w:pPr>
        <w:spacing w:before="0" w:after="0"/>
        <w:ind w:left="720"/>
      </w:pPr>
      <w:proofErr w:type="spellStart"/>
      <w:r w:rsidRPr="00F424A4">
        <w:rPr>
          <w:i/>
          <w:iCs/>
        </w:rPr>
        <w:t>n</w:t>
      </w:r>
      <w:r>
        <w:rPr>
          <w:i/>
          <w:iCs/>
          <w:vertAlign w:val="subscript"/>
        </w:rPr>
        <w:t>j</w:t>
      </w:r>
      <w:proofErr w:type="spellEnd"/>
      <w:r>
        <w:tab/>
        <w:t xml:space="preserve">number of vehicles assigned for supplier </w:t>
      </w:r>
      <w:proofErr w:type="gramStart"/>
      <w:r w:rsidRPr="00F424A4">
        <w:rPr>
          <w:i/>
          <w:iCs/>
        </w:rPr>
        <w:t>j</w:t>
      </w:r>
      <w:proofErr w:type="gramEnd"/>
    </w:p>
    <w:p w14:paraId="1A9726C8" w14:textId="77777777" w:rsidR="00E91B61" w:rsidRDefault="00E91B61" w:rsidP="00E91B61">
      <w:pPr>
        <w:spacing w:before="0" w:after="0"/>
        <w:ind w:left="720"/>
      </w:pPr>
      <w:proofErr w:type="spellStart"/>
      <w:r w:rsidRPr="00F424A4">
        <w:rPr>
          <w:i/>
          <w:iCs/>
        </w:rPr>
        <w:t>v</w:t>
      </w:r>
      <w:r>
        <w:rPr>
          <w:i/>
          <w:iCs/>
          <w:vertAlign w:val="subscript"/>
        </w:rPr>
        <w:t>j</w:t>
      </w:r>
      <w:proofErr w:type="spellEnd"/>
      <w:r>
        <w:tab/>
        <w:t xml:space="preserve">vehicle capacity for supplier </w:t>
      </w:r>
      <w:r w:rsidRPr="00F424A4">
        <w:rPr>
          <w:i/>
          <w:iCs/>
        </w:rPr>
        <w:t>j</w:t>
      </w:r>
      <w:r>
        <w:t xml:space="preserve"> in KG</w:t>
      </w:r>
    </w:p>
    <w:p w14:paraId="33B78273" w14:textId="77777777" w:rsidR="00E91B61" w:rsidRDefault="00E91B61" w:rsidP="00E91B61">
      <w:pPr>
        <w:spacing w:before="0" w:after="0"/>
        <w:ind w:left="720"/>
      </w:pPr>
      <w:proofErr w:type="spellStart"/>
      <w:r>
        <w:rPr>
          <w:rFonts w:cstheme="minorHAnsi"/>
          <w:i/>
          <w:iCs/>
        </w:rPr>
        <w:t>ψ</w:t>
      </w:r>
      <w:r>
        <w:rPr>
          <w:i/>
          <w:iCs/>
          <w:vertAlign w:val="subscript"/>
        </w:rPr>
        <w:t>i</w:t>
      </w:r>
      <w:proofErr w:type="spellEnd"/>
      <w:r>
        <w:tab/>
        <w:t xml:space="preserve">weight occupied by each unit of product </w:t>
      </w:r>
      <w:proofErr w:type="spellStart"/>
      <w:r w:rsidRPr="00F424A4">
        <w:rPr>
          <w:i/>
          <w:iCs/>
        </w:rPr>
        <w:t>i</w:t>
      </w:r>
      <w:proofErr w:type="spellEnd"/>
      <w:r>
        <w:t xml:space="preserve"> in </w:t>
      </w:r>
      <w:proofErr w:type="gramStart"/>
      <w:r>
        <w:t>KG</w:t>
      </w:r>
      <w:proofErr w:type="gramEnd"/>
    </w:p>
    <w:p w14:paraId="22144DAC" w14:textId="77777777" w:rsidR="00E91B61" w:rsidRPr="00CF2BA2" w:rsidRDefault="00E91B61" w:rsidP="00E91B61">
      <w:pPr>
        <w:spacing w:before="0" w:after="0"/>
        <w:ind w:left="720"/>
        <w:rPr>
          <w:vertAlign w:val="superscript"/>
        </w:rPr>
      </w:pPr>
      <w:proofErr w:type="spellStart"/>
      <w:r>
        <w:rPr>
          <w:i/>
          <w:iCs/>
        </w:rPr>
        <w:t>s</w:t>
      </w:r>
      <w:r>
        <w:rPr>
          <w:i/>
          <w:iCs/>
          <w:vertAlign w:val="subscript"/>
        </w:rPr>
        <w:t>i</w:t>
      </w:r>
      <w:proofErr w:type="spellEnd"/>
      <w:r>
        <w:tab/>
        <w:t xml:space="preserve">space occupied by each unit of product </w:t>
      </w:r>
      <w:proofErr w:type="spellStart"/>
      <w:r w:rsidRPr="00F424A4">
        <w:rPr>
          <w:i/>
          <w:iCs/>
        </w:rPr>
        <w:t>i</w:t>
      </w:r>
      <w:proofErr w:type="spellEnd"/>
      <w:r>
        <w:t xml:space="preserve"> in </w:t>
      </w:r>
      <w:proofErr w:type="gramStart"/>
      <w:r>
        <w:t>m</w:t>
      </w:r>
      <w:r>
        <w:rPr>
          <w:vertAlign w:val="superscript"/>
        </w:rPr>
        <w:t>3</w:t>
      </w:r>
      <w:proofErr w:type="gramEnd"/>
    </w:p>
    <w:p w14:paraId="7FF4756E" w14:textId="77777777" w:rsidR="00E91B61" w:rsidRPr="00CF2BA2" w:rsidRDefault="00E91B61" w:rsidP="00E91B61">
      <w:pPr>
        <w:spacing w:before="0" w:after="0"/>
        <w:ind w:left="720"/>
        <w:rPr>
          <w:vertAlign w:val="superscript"/>
        </w:rPr>
      </w:pPr>
      <w:r>
        <w:rPr>
          <w:i/>
          <w:iCs/>
        </w:rPr>
        <w:t>S</w:t>
      </w:r>
      <w:r>
        <w:tab/>
        <w:t>manufacturer’s total storage capacity in m</w:t>
      </w:r>
      <w:r>
        <w:rPr>
          <w:vertAlign w:val="superscript"/>
        </w:rPr>
        <w:t>3</w:t>
      </w:r>
    </w:p>
    <w:p w14:paraId="6049F4C5" w14:textId="77777777" w:rsidR="00E91B61" w:rsidRDefault="00E91B61" w:rsidP="00E91B61">
      <w:pPr>
        <w:spacing w:before="0" w:after="0"/>
        <w:ind w:left="720"/>
      </w:pPr>
      <w:proofErr w:type="gramStart"/>
      <w:r>
        <w:rPr>
          <w:i/>
          <w:iCs/>
        </w:rPr>
        <w:t>h</w:t>
      </w:r>
      <w:r>
        <w:rPr>
          <w:i/>
          <w:iCs/>
          <w:vertAlign w:val="subscript"/>
        </w:rPr>
        <w:t>i</w:t>
      </w:r>
      <w:proofErr w:type="gramEnd"/>
      <w:r>
        <w:tab/>
        <w:t xml:space="preserve">holding cost ratio of product </w:t>
      </w:r>
      <w:proofErr w:type="spellStart"/>
      <w:r w:rsidRPr="00F424A4">
        <w:rPr>
          <w:i/>
          <w:iCs/>
        </w:rPr>
        <w:t>i</w:t>
      </w:r>
      <w:proofErr w:type="spellEnd"/>
    </w:p>
    <w:p w14:paraId="1040147E" w14:textId="77777777" w:rsidR="00E91B61" w:rsidRDefault="00E91B61" w:rsidP="00E91B61">
      <w:pPr>
        <w:spacing w:before="0" w:after="0"/>
        <w:ind w:left="720"/>
      </w:pPr>
      <w:proofErr w:type="spellStart"/>
      <w:r>
        <w:rPr>
          <w:i/>
          <w:iCs/>
        </w:rPr>
        <w:t>s</w:t>
      </w:r>
      <w:r w:rsidRPr="00F424A4">
        <w:rPr>
          <w:i/>
          <w:iCs/>
        </w:rPr>
        <w:t>p</w:t>
      </w:r>
      <w:r>
        <w:rPr>
          <w:i/>
          <w:iCs/>
          <w:vertAlign w:val="subscript"/>
        </w:rPr>
        <w:t>j</w:t>
      </w:r>
      <w:proofErr w:type="spellEnd"/>
      <w:r>
        <w:tab/>
        <w:t xml:space="preserve">sustainability performance value of supplier </w:t>
      </w:r>
      <w:r w:rsidRPr="00F424A4">
        <w:rPr>
          <w:i/>
          <w:iCs/>
        </w:rPr>
        <w:t>j</w:t>
      </w:r>
    </w:p>
    <w:p w14:paraId="055EE0F8" w14:textId="77777777" w:rsidR="00E91B61" w:rsidRDefault="00E91B61" w:rsidP="00E91B61">
      <w:pPr>
        <w:spacing w:before="0" w:after="0"/>
        <w:ind w:left="720"/>
        <w:rPr>
          <w:i/>
          <w:iCs/>
        </w:rPr>
      </w:pPr>
      <w:proofErr w:type="spellStart"/>
      <w:r>
        <w:rPr>
          <w:i/>
          <w:iCs/>
        </w:rPr>
        <w:t>X</w:t>
      </w:r>
      <w:r>
        <w:rPr>
          <w:i/>
          <w:iCs/>
          <w:vertAlign w:val="subscript"/>
        </w:rPr>
        <w:t>ij</w:t>
      </w:r>
      <w:proofErr w:type="spellEnd"/>
      <w:r>
        <w:rPr>
          <w:i/>
          <w:iCs/>
        </w:rPr>
        <w:tab/>
      </w:r>
      <w:r>
        <w:t xml:space="preserve">amount of product </w:t>
      </w:r>
      <w:proofErr w:type="spellStart"/>
      <w:r w:rsidRPr="00363210">
        <w:rPr>
          <w:i/>
          <w:iCs/>
        </w:rPr>
        <w:t>i</w:t>
      </w:r>
      <w:proofErr w:type="spellEnd"/>
      <w:r>
        <w:t xml:space="preserve"> allocated to supplier</w:t>
      </w:r>
      <w:r w:rsidRPr="00363210">
        <w:rPr>
          <w:i/>
          <w:iCs/>
        </w:rPr>
        <w:t xml:space="preserve"> </w:t>
      </w:r>
      <w:proofErr w:type="gramStart"/>
      <w:r w:rsidRPr="00363210">
        <w:rPr>
          <w:i/>
          <w:iCs/>
        </w:rPr>
        <w:t>j</w:t>
      </w:r>
      <w:proofErr w:type="gramEnd"/>
    </w:p>
    <w:p w14:paraId="23E9509A" w14:textId="77777777" w:rsidR="00E91B61" w:rsidRPr="00DF1DF6" w:rsidRDefault="00E91B61" w:rsidP="00E91B61">
      <w:pPr>
        <w:spacing w:before="0"/>
        <w:ind w:left="720"/>
        <w:rPr>
          <w:rFonts w:eastAsiaTheme="minorEastAsia"/>
          <w:i/>
          <w:iCs/>
        </w:rPr>
      </w:pPr>
      <w:proofErr w:type="spellStart"/>
      <w:r>
        <w:rPr>
          <w:i/>
          <w:iCs/>
        </w:rPr>
        <w:t>Y</w:t>
      </w:r>
      <w:r>
        <w:rPr>
          <w:i/>
          <w:iCs/>
          <w:vertAlign w:val="subscript"/>
        </w:rPr>
        <w:t>j</w:t>
      </w:r>
      <w:proofErr w:type="spellEnd"/>
      <w:r>
        <w:rPr>
          <w:i/>
          <w:iCs/>
        </w:rPr>
        <w:tab/>
      </w:r>
      <m:oMath>
        <m:d>
          <m:dPr>
            <m:begChr m:val="{"/>
            <m:endChr m:val=""/>
            <m:shp m:val="match"/>
            <m:ctrlPr>
              <w:rPr>
                <w:rFonts w:ascii="Cambria Math" w:hAnsi="Cambria Math"/>
                <w:i/>
              </w:rPr>
            </m:ctrlPr>
          </m:dPr>
          <m:e>
            <m:eqArr>
              <m:eqArrPr>
                <m:ctrlPr>
                  <w:rPr>
                    <w:rFonts w:ascii="Cambria Math" w:hAnsi="Cambria Math"/>
                    <w:iCs/>
                  </w:rPr>
                </m:ctrlPr>
              </m:eqArrPr>
              <m:e>
                <w:proofErr w:type="gramStart"/>
                <m:r>
                  <m:rPr>
                    <m:nor/>
                  </m:rPr>
                  <w:rPr>
                    <w:iCs/>
                  </w:rPr>
                  <m:t>1</m:t>
                </m:r>
                <m:r>
                  <m:rPr>
                    <m:nor/>
                  </m:rPr>
                  <w:rPr>
                    <w:rFonts w:ascii="Cambria Math"/>
                    <w:iCs/>
                  </w:rPr>
                  <m:t xml:space="preserve">,   </m:t>
                </m:r>
                <w:proofErr w:type="gramEnd"/>
                <m:r>
                  <m:rPr>
                    <m:nor/>
                  </m:rPr>
                  <w:rPr>
                    <w:rFonts w:ascii="Cambria Math"/>
                    <w:iCs/>
                  </w:rPr>
                  <m:t xml:space="preserve">  </m:t>
                </m:r>
                <m:r>
                  <m:rPr>
                    <m:nor/>
                  </m:rPr>
                  <w:rPr>
                    <w:iCs/>
                  </w:rPr>
                  <m:t>if an order allocated to supplier j</m:t>
                </m:r>
              </m:e>
              <m:e>
                <m:r>
                  <m:rPr>
                    <m:nor/>
                  </m:rPr>
                  <w:rPr>
                    <w:iCs/>
                  </w:rPr>
                  <m:t>0</m:t>
                </m:r>
                <m:r>
                  <m:rPr>
                    <m:nor/>
                  </m:rPr>
                  <w:rPr>
                    <w:rFonts w:ascii="Cambria Math"/>
                    <w:iCs/>
                  </w:rPr>
                  <m:t xml:space="preserve">,     </m:t>
                </m:r>
                <m:r>
                  <m:rPr>
                    <m:nor/>
                  </m:rPr>
                  <w:rPr>
                    <w:iCs/>
                  </w:rPr>
                  <m:t xml:space="preserve">otherwise for all j </m:t>
                </m:r>
                <m:r>
                  <m:rPr>
                    <m:nor/>
                  </m:rPr>
                  <w:rPr>
                    <w:rFonts w:ascii="Cambria Math"/>
                    <w:iCs/>
                  </w:rPr>
                  <m:t xml:space="preserve">         </m:t>
                </m:r>
                <m:r>
                  <m:rPr>
                    <m:nor/>
                  </m:rPr>
                  <w:rPr>
                    <w:iCs/>
                  </w:rPr>
                  <m:t xml:space="preserve">              </m:t>
                </m:r>
              </m:e>
            </m:eqArr>
          </m:e>
        </m:d>
      </m:oMath>
    </w:p>
    <w:p w14:paraId="48C5FADD" w14:textId="12A1A434" w:rsidR="00E91B61" w:rsidRDefault="00E91B61" w:rsidP="00E91B61">
      <w:pPr>
        <w:pStyle w:val="Heading3"/>
      </w:pPr>
      <w:bookmarkStart w:id="2" w:name="_Toc67125894"/>
      <w:r>
        <w:t>Objective functions</w:t>
      </w:r>
      <w:bookmarkEnd w:id="2"/>
    </w:p>
    <w:p w14:paraId="6E35BEBC" w14:textId="77777777" w:rsidR="00E91B61" w:rsidRDefault="00E91B61" w:rsidP="00E91B61">
      <w:pPr>
        <w:pStyle w:val="Heading4"/>
      </w:pPr>
      <w:r>
        <w:t>-</w:t>
      </w:r>
      <w:r>
        <w:tab/>
        <w:t>Total purchasing cost (TPC)</w:t>
      </w:r>
    </w:p>
    <w:p w14:paraId="1EE312F5" w14:textId="77777777" w:rsidR="00E91B61" w:rsidRDefault="00E91B61" w:rsidP="00E91B61">
      <w:r>
        <w:t xml:space="preserve">The total purchasing costs is defined by the sum of the cost of the products from the suppliers, the fixed ordering costs, the variable ordering costs which is determined by the amount of products to be purchased from each supplier, the inventory and transportation costs. The transportation costs can be calculated by the number of trucks used for transporting the purchased goods, it is also assumed that different product types can be transported in the same vehicle utilising the maximum capacity per vehicle.  </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71387B41" w14:textId="77777777" w:rsidTr="00E15D8F">
        <w:tc>
          <w:tcPr>
            <w:tcW w:w="350" w:type="pct"/>
          </w:tcPr>
          <w:p w14:paraId="085B00C6" w14:textId="77777777" w:rsidR="00E91B61" w:rsidRPr="00483DA3" w:rsidRDefault="00E91B61" w:rsidP="00E15D8F">
            <w:pPr>
              <w:spacing w:before="0" w:after="0"/>
              <w:rPr>
                <w:rFonts w:cs="Times New Roman"/>
                <w:sz w:val="24"/>
                <w:szCs w:val="24"/>
              </w:rPr>
            </w:pPr>
          </w:p>
        </w:tc>
        <w:tc>
          <w:tcPr>
            <w:tcW w:w="4300" w:type="pct"/>
          </w:tcPr>
          <w:p w14:paraId="26394F26" w14:textId="77777777" w:rsidR="00E91B61" w:rsidRPr="00483DA3" w:rsidRDefault="00E91B61" w:rsidP="00E15D8F">
            <w:pPr>
              <w:spacing w:before="0" w:after="0"/>
              <w:rPr>
                <w:rFonts w:cs="Times New Roman"/>
                <w:sz w:val="24"/>
                <w:szCs w:val="24"/>
              </w:rPr>
            </w:pPr>
            <m:oMathPara>
              <m:oMath>
                <m:r>
                  <w:rPr>
                    <w:rFonts w:ascii="Cambria Math" w:hAnsi="Cambria Math" w:cs="Times New Roman"/>
                  </w:rPr>
                  <m:t xml:space="preserve">Min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o</m:t>
                            </m:r>
                          </m:e>
                          <m:sub>
                            <m:r>
                              <w:rPr>
                                <w:rFonts w:ascii="Cambria Math" w:hAnsi="Cambria Math" w:cs="Times New Roman"/>
                              </w:rPr>
                              <m:t>j</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P</m:t>
                            </m:r>
                          </m:e>
                          <m:sub>
                            <m:r>
                              <w:rPr>
                                <w:rFonts w:ascii="Cambria Math" w:hAnsi="Cambria Math" w:cs="Times New Roman"/>
                              </w:rPr>
                              <m:t>ij</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num>
                              <m:den>
                                <m:r>
                                  <w:rPr>
                                    <w:rFonts w:ascii="Cambria Math" w:hAnsi="Cambria Math" w:cs="Times New Roman"/>
                                  </w:rPr>
                                  <m:t>2</m:t>
                                </m:r>
                              </m:den>
                            </m:f>
                          </m:e>
                        </m:d>
                        <m:r>
                          <w:rPr>
                            <w:rFonts w:ascii="Cambria Math" w:hAnsi="Cambria Math" w:cs="Times New Roman"/>
                          </w:rPr>
                          <m:t>+</m:t>
                        </m:r>
                      </m:e>
                    </m:nary>
                  </m:e>
                </m:nary>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e>
                </m:nary>
              </m:oMath>
            </m:oMathPara>
          </w:p>
        </w:tc>
        <w:tc>
          <w:tcPr>
            <w:tcW w:w="350" w:type="pct"/>
            <w:vAlign w:val="center"/>
          </w:tcPr>
          <w:p w14:paraId="7F9E2683"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1</w:t>
            </w:r>
            <w:r w:rsidRPr="00402035">
              <w:rPr>
                <w:i w:val="0"/>
                <w:iCs w:val="0"/>
                <w:color w:val="auto"/>
                <w:sz w:val="22"/>
                <w:szCs w:val="24"/>
              </w:rPr>
              <w:fldChar w:fldCharType="end"/>
            </w:r>
            <w:r w:rsidRPr="00402035">
              <w:rPr>
                <w:i w:val="0"/>
                <w:iCs w:val="0"/>
                <w:color w:val="auto"/>
                <w:sz w:val="22"/>
                <w:szCs w:val="24"/>
              </w:rPr>
              <w:t>)</w:t>
            </w:r>
          </w:p>
        </w:tc>
      </w:tr>
    </w:tbl>
    <w:p w14:paraId="1EDD5CA2" w14:textId="77777777" w:rsidR="00E91B61" w:rsidRDefault="00E91B61" w:rsidP="00E91B61">
      <w:pPr>
        <w:rPr>
          <w:rFonts w:eastAsiaTheme="minorEastAsia"/>
        </w:rPr>
      </w:pPr>
      <w:proofErr w:type="gramStart"/>
      <w:r>
        <w:rPr>
          <w:rFonts w:eastAsiaTheme="minorEastAsia"/>
        </w:rPr>
        <w:t>where</w:t>
      </w:r>
      <w:proofErr w:type="gramEnd"/>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7018D4D3" w14:textId="77777777" w:rsidTr="00E15D8F">
        <w:tc>
          <w:tcPr>
            <w:tcW w:w="350" w:type="pct"/>
          </w:tcPr>
          <w:p w14:paraId="2D377B9C" w14:textId="77777777" w:rsidR="00E91B61" w:rsidRPr="00483DA3" w:rsidRDefault="00E91B61" w:rsidP="00E15D8F">
            <w:pPr>
              <w:spacing w:before="0" w:after="0"/>
              <w:rPr>
                <w:rFonts w:cs="Times New Roman"/>
                <w:sz w:val="24"/>
                <w:szCs w:val="24"/>
              </w:rPr>
            </w:pPr>
          </w:p>
        </w:tc>
        <w:tc>
          <w:tcPr>
            <w:tcW w:w="4300" w:type="pct"/>
          </w:tcPr>
          <w:p w14:paraId="448DD175" w14:textId="77777777" w:rsidR="00E91B61" w:rsidRPr="00483DA3" w:rsidRDefault="00E91B61" w:rsidP="00E15D8F">
            <w:pPr>
              <w:spacing w:before="0" w:after="0"/>
              <w:rPr>
                <w:rFonts w:cs="Times New Roman"/>
                <w:sz w:val="24"/>
                <w:szCs w:val="24"/>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cstheme="minorHAnsi"/>
                              </w:rPr>
                              <m:t>ψ</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rPr>
                        </m:ctrlPr>
                      </m:sSubPr>
                      <m:e>
                        <m:r>
                          <w:rPr>
                            <w:rFonts w:ascii="Cambria Math" w:hAnsi="Cambria Math"/>
                          </w:rPr>
                          <m:t>v</m:t>
                        </m:r>
                      </m:e>
                      <m:sub>
                        <m:r>
                          <w:rPr>
                            <w:rFonts w:ascii="Cambria Math" w:hAnsi="Cambria Math"/>
                          </w:rPr>
                          <m:t>j</m:t>
                        </m:r>
                      </m:sub>
                    </m:sSub>
                  </m:den>
                </m:f>
              </m:oMath>
            </m:oMathPara>
          </w:p>
        </w:tc>
        <w:tc>
          <w:tcPr>
            <w:tcW w:w="350" w:type="pct"/>
            <w:vAlign w:val="center"/>
          </w:tcPr>
          <w:p w14:paraId="0FA961C7"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w:t>
            </w:r>
            <w:r w:rsidRPr="00402035">
              <w:rPr>
                <w:i w:val="0"/>
                <w:iCs w:val="0"/>
                <w:color w:val="auto"/>
                <w:sz w:val="22"/>
                <w:szCs w:val="24"/>
              </w:rPr>
              <w:fldChar w:fldCharType="end"/>
            </w:r>
            <w:r w:rsidRPr="00402035">
              <w:rPr>
                <w:i w:val="0"/>
                <w:iCs w:val="0"/>
                <w:color w:val="auto"/>
                <w:sz w:val="22"/>
                <w:szCs w:val="24"/>
              </w:rPr>
              <w:t>)</w:t>
            </w:r>
          </w:p>
        </w:tc>
      </w:tr>
    </w:tbl>
    <w:p w14:paraId="03A99213" w14:textId="77777777" w:rsidR="00E91B61" w:rsidRDefault="00E91B61" w:rsidP="00E91B61">
      <w:pPr>
        <w:pStyle w:val="Heading4"/>
      </w:pPr>
      <w:r>
        <w:t>-</w:t>
      </w:r>
      <w:r>
        <w:tab/>
        <w:t>Supplier’s sustainability performance value (SSPV)</w:t>
      </w:r>
    </w:p>
    <w:p w14:paraId="1B559A47" w14:textId="77777777" w:rsidR="00E91B61" w:rsidRPr="0008457B" w:rsidRDefault="00E91B61" w:rsidP="00E91B61">
      <w:r>
        <w:t xml:space="preserve">The supplier’s sustainability performance value (SSPV) assesses the supplier regarding each sustainability dimension (economic, environmental, and social). By maximising this objective function, it ensures the optimal order allocation from suppliers that are more sustainable. When manufacturers are seeking to co-operate, co-ordinate, and collaborate with suppliers, </w:t>
      </w:r>
      <w:r>
        <w:lastRenderedPageBreak/>
        <w:t>this objective function pushes the supplier to improve their SSPV to maintain and improve their relationship with the manufacturer by boosting their profitability and competitive advantages.</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4E00DA14" w14:textId="77777777" w:rsidTr="00E15D8F">
        <w:tc>
          <w:tcPr>
            <w:tcW w:w="350" w:type="pct"/>
          </w:tcPr>
          <w:p w14:paraId="3E0C5230" w14:textId="77777777" w:rsidR="00E91B61" w:rsidRPr="00483DA3" w:rsidRDefault="00E91B61" w:rsidP="00E15D8F">
            <w:pPr>
              <w:spacing w:before="0" w:after="0"/>
              <w:rPr>
                <w:rFonts w:cs="Times New Roman"/>
                <w:sz w:val="24"/>
                <w:szCs w:val="24"/>
              </w:rPr>
            </w:pPr>
          </w:p>
        </w:tc>
        <w:tc>
          <w:tcPr>
            <w:tcW w:w="4300" w:type="pct"/>
          </w:tcPr>
          <w:p w14:paraId="79B9BE58" w14:textId="77777777" w:rsidR="00E91B61" w:rsidRPr="00483DA3" w:rsidRDefault="00E91B61" w:rsidP="00E15D8F">
            <w:pPr>
              <w:spacing w:before="0" w:after="0"/>
              <w:rPr>
                <w:rFonts w:cs="Times New Roman"/>
                <w:sz w:val="24"/>
                <w:szCs w:val="24"/>
              </w:rPr>
            </w:pPr>
            <m:oMathPara>
              <m:oMath>
                <m:r>
                  <w:rPr>
                    <w:rFonts w:ascii="Cambria Math" w:hAnsi="Cambria Math"/>
                  </w:rPr>
                  <m:t xml:space="preserve">Max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sp</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tc>
        <w:tc>
          <w:tcPr>
            <w:tcW w:w="350" w:type="pct"/>
            <w:vAlign w:val="center"/>
          </w:tcPr>
          <w:p w14:paraId="65C83E09"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3</w:t>
            </w:r>
            <w:r w:rsidRPr="00402035">
              <w:rPr>
                <w:i w:val="0"/>
                <w:iCs w:val="0"/>
                <w:color w:val="auto"/>
                <w:sz w:val="22"/>
                <w:szCs w:val="24"/>
              </w:rPr>
              <w:fldChar w:fldCharType="end"/>
            </w:r>
            <w:r w:rsidRPr="00402035">
              <w:rPr>
                <w:i w:val="0"/>
                <w:iCs w:val="0"/>
                <w:color w:val="auto"/>
                <w:sz w:val="22"/>
                <w:szCs w:val="24"/>
              </w:rPr>
              <w:t>)</w:t>
            </w:r>
          </w:p>
        </w:tc>
      </w:tr>
    </w:tbl>
    <w:p w14:paraId="11BAFFF2" w14:textId="4DDFC199" w:rsidR="00E91B61" w:rsidRDefault="00E91B61" w:rsidP="00E91B61">
      <w:pPr>
        <w:pStyle w:val="Heading3"/>
      </w:pPr>
      <w:bookmarkStart w:id="3" w:name="_Toc67125895"/>
      <w:r>
        <w:t>Constraints</w:t>
      </w:r>
      <w:bookmarkEnd w:id="3"/>
    </w:p>
    <w:p w14:paraId="4DF98FC0" w14:textId="77777777" w:rsidR="00E91B61" w:rsidRPr="00207474" w:rsidRDefault="00E91B61" w:rsidP="00E91B61">
      <w:r>
        <w:t>Important constraints for SSS&amp;OA have been discussed previously and, in this model, the constraints used are demand, supplier’s production capacity, quality, delivery and manufacturer’s storage capacity which are defined as follows.</w:t>
      </w:r>
    </w:p>
    <w:p w14:paraId="7A0C925C" w14:textId="77777777" w:rsidR="00E91B61" w:rsidRDefault="00E91B61" w:rsidP="00E91B61">
      <w:pPr>
        <w:pStyle w:val="Heading4"/>
      </w:pPr>
      <w:r>
        <w:t>-</w:t>
      </w:r>
      <w:r>
        <w:tab/>
        <w:t>Demand constraint</w:t>
      </w:r>
    </w:p>
    <w:p w14:paraId="4F57DCEA" w14:textId="77777777" w:rsidR="00E91B61" w:rsidRPr="00446935" w:rsidRDefault="00E91B61" w:rsidP="00E91B61">
      <w:r>
        <w:t>This constraint makes sure that the manufacturer’s demand is met.</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3A67D606" w14:textId="77777777" w:rsidTr="00E15D8F">
        <w:tc>
          <w:tcPr>
            <w:tcW w:w="350" w:type="pct"/>
            <w:vAlign w:val="center"/>
          </w:tcPr>
          <w:p w14:paraId="78C2E2D5" w14:textId="77777777" w:rsidR="00E91B61" w:rsidRPr="00483DA3" w:rsidRDefault="00E91B61" w:rsidP="00E15D8F">
            <w:pPr>
              <w:spacing w:before="0" w:after="0"/>
              <w:jc w:val="center"/>
              <w:rPr>
                <w:rFonts w:cs="Times New Roman"/>
                <w:sz w:val="24"/>
                <w:szCs w:val="24"/>
              </w:rPr>
            </w:pPr>
          </w:p>
        </w:tc>
        <w:tc>
          <w:tcPr>
            <w:tcW w:w="4300" w:type="pct"/>
            <w:vAlign w:val="center"/>
          </w:tcPr>
          <w:p w14:paraId="6784FFCF" w14:textId="77777777" w:rsidR="00E91B61" w:rsidRPr="00483DA3" w:rsidRDefault="00E91B61" w:rsidP="00E15D8F">
            <w:pPr>
              <w:spacing w:before="0" w:after="0"/>
              <w:jc w:val="center"/>
              <w:rPr>
                <w:rFonts w:cs="Times New Roman"/>
                <w:sz w:val="24"/>
                <w:szCs w:val="24"/>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∀i∈m.</m:t>
                </m:r>
              </m:oMath>
            </m:oMathPara>
          </w:p>
        </w:tc>
        <w:tc>
          <w:tcPr>
            <w:tcW w:w="350" w:type="pct"/>
            <w:vAlign w:val="center"/>
          </w:tcPr>
          <w:p w14:paraId="7456A0E8"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4</w:t>
            </w:r>
            <w:r w:rsidRPr="00402035">
              <w:rPr>
                <w:i w:val="0"/>
                <w:iCs w:val="0"/>
                <w:color w:val="auto"/>
                <w:sz w:val="22"/>
                <w:szCs w:val="24"/>
              </w:rPr>
              <w:fldChar w:fldCharType="end"/>
            </w:r>
            <w:r w:rsidRPr="00402035">
              <w:rPr>
                <w:i w:val="0"/>
                <w:iCs w:val="0"/>
                <w:color w:val="auto"/>
                <w:sz w:val="22"/>
                <w:szCs w:val="24"/>
              </w:rPr>
              <w:t>)</w:t>
            </w:r>
          </w:p>
        </w:tc>
      </w:tr>
    </w:tbl>
    <w:p w14:paraId="3C8A73D4" w14:textId="77777777" w:rsidR="00E91B61" w:rsidRDefault="00E91B61" w:rsidP="00E91B61">
      <w:pPr>
        <w:pStyle w:val="Heading4"/>
      </w:pPr>
      <w:r>
        <w:t>-</w:t>
      </w:r>
      <w:r>
        <w:tab/>
        <w:t>Supplier capacity constraint</w:t>
      </w:r>
    </w:p>
    <w:p w14:paraId="268A6914" w14:textId="77777777" w:rsidR="00E91B61" w:rsidRPr="00B56D3F" w:rsidRDefault="00E91B61" w:rsidP="00E91B61">
      <w:pPr>
        <w:jc w:val="left"/>
      </w:pPr>
      <w:r>
        <w:t xml:space="preserve">This constraint ensures that the total demand for each product </w:t>
      </w:r>
      <w:proofErr w:type="spellStart"/>
      <w:r>
        <w:rPr>
          <w:i/>
          <w:iCs/>
        </w:rPr>
        <w:t>i</w:t>
      </w:r>
      <w:proofErr w:type="spellEnd"/>
      <w:r>
        <w:t xml:space="preserve"> does not exceed the total production capacity of each supplier </w:t>
      </w:r>
      <w:r>
        <w:rPr>
          <w:i/>
          <w:iCs/>
        </w:rPr>
        <w:t>j</w:t>
      </w:r>
      <w:r>
        <w:t>.</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1430C05C" w14:textId="77777777" w:rsidTr="00E15D8F">
        <w:tc>
          <w:tcPr>
            <w:tcW w:w="350" w:type="pct"/>
          </w:tcPr>
          <w:p w14:paraId="26EDEEAC" w14:textId="77777777" w:rsidR="00E91B61" w:rsidRPr="00483DA3" w:rsidRDefault="00E91B61" w:rsidP="00E15D8F">
            <w:pPr>
              <w:spacing w:before="0" w:after="0"/>
              <w:rPr>
                <w:rFonts w:cs="Times New Roman"/>
                <w:sz w:val="24"/>
                <w:szCs w:val="24"/>
              </w:rPr>
            </w:pPr>
          </w:p>
        </w:tc>
        <w:tc>
          <w:tcPr>
            <w:tcW w:w="4300" w:type="pct"/>
            <w:vAlign w:val="center"/>
          </w:tcPr>
          <w:p w14:paraId="10E9FE20" w14:textId="77777777" w:rsidR="00E91B61" w:rsidRPr="00483DA3" w:rsidRDefault="00E91B61" w:rsidP="00E15D8F">
            <w:pPr>
              <w:spacing w:before="0" w:after="0"/>
              <w:jc w:val="center"/>
              <w:rPr>
                <w:rFonts w:cs="Times New Roman"/>
                <w:sz w:val="24"/>
                <w:szCs w:val="24"/>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∀i∈m, ∀j∈n .</m:t>
                </m:r>
              </m:oMath>
            </m:oMathPara>
          </w:p>
        </w:tc>
        <w:tc>
          <w:tcPr>
            <w:tcW w:w="350" w:type="pct"/>
            <w:vAlign w:val="center"/>
          </w:tcPr>
          <w:p w14:paraId="7BC6C998"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5</w:t>
            </w:r>
            <w:r w:rsidRPr="00402035">
              <w:rPr>
                <w:i w:val="0"/>
                <w:iCs w:val="0"/>
                <w:color w:val="auto"/>
                <w:sz w:val="22"/>
                <w:szCs w:val="24"/>
              </w:rPr>
              <w:fldChar w:fldCharType="end"/>
            </w:r>
            <w:r w:rsidRPr="00402035">
              <w:rPr>
                <w:i w:val="0"/>
                <w:iCs w:val="0"/>
                <w:color w:val="auto"/>
                <w:sz w:val="22"/>
                <w:szCs w:val="24"/>
              </w:rPr>
              <w:t>)</w:t>
            </w:r>
          </w:p>
        </w:tc>
      </w:tr>
    </w:tbl>
    <w:p w14:paraId="2D5051E1" w14:textId="77777777" w:rsidR="00E91B61" w:rsidRDefault="00E91B61" w:rsidP="00E91B61">
      <w:pPr>
        <w:pStyle w:val="Heading4"/>
      </w:pPr>
      <w:r>
        <w:t>-</w:t>
      </w:r>
      <w:r>
        <w:tab/>
        <w:t>Quality constraint</w:t>
      </w:r>
    </w:p>
    <w:p w14:paraId="7D61F103" w14:textId="77777777" w:rsidR="00E91B61" w:rsidRPr="00B56D3F" w:rsidRDefault="00E91B61" w:rsidP="00E91B61">
      <w:r>
        <w:t xml:space="preserve">This constraint aims to ensure that the quality of product is up to the standard of the manufacturer. The constraint is formulated by using the number of defective products in procured items </w:t>
      </w:r>
      <w:proofErr w:type="spellStart"/>
      <w:r>
        <w:rPr>
          <w:i/>
          <w:iCs/>
        </w:rPr>
        <w:t>i</w:t>
      </w:r>
      <w:proofErr w:type="spellEnd"/>
      <w:r>
        <w:t xml:space="preserve"> by each supplier </w:t>
      </w:r>
      <w:r>
        <w:rPr>
          <w:i/>
          <w:iCs/>
        </w:rPr>
        <w:t>j</w:t>
      </w:r>
      <w:r>
        <w:t xml:space="preserve"> is less than the manufacturer’s maximum acceptable defective number of product </w:t>
      </w:r>
      <w:proofErr w:type="spellStart"/>
      <w:r>
        <w:rPr>
          <w:i/>
          <w:iCs/>
        </w:rPr>
        <w:t>i</w:t>
      </w:r>
      <w:proofErr w:type="spellEnd"/>
      <w:r>
        <w:t xml:space="preserve">.  </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25D0D5A1" w14:textId="77777777" w:rsidTr="00E15D8F">
        <w:tc>
          <w:tcPr>
            <w:tcW w:w="350" w:type="pct"/>
          </w:tcPr>
          <w:p w14:paraId="3167FCD9" w14:textId="77777777" w:rsidR="00E91B61" w:rsidRPr="00483DA3" w:rsidRDefault="00E91B61" w:rsidP="00E15D8F">
            <w:pPr>
              <w:spacing w:before="0" w:after="0"/>
              <w:rPr>
                <w:rFonts w:cs="Times New Roman"/>
                <w:sz w:val="24"/>
                <w:szCs w:val="24"/>
              </w:rPr>
            </w:pPr>
          </w:p>
        </w:tc>
        <w:tc>
          <w:tcPr>
            <w:tcW w:w="4300" w:type="pct"/>
          </w:tcPr>
          <w:p w14:paraId="7D5BD4F0" w14:textId="77777777" w:rsidR="00E91B61" w:rsidRPr="00483DA3" w:rsidRDefault="00E91B61" w:rsidP="00E15D8F">
            <w:pPr>
              <w:spacing w:before="0" w:after="0"/>
              <w:rPr>
                <w:rFonts w:cs="Times New Roman"/>
                <w:sz w:val="24"/>
                <w:szCs w:val="24"/>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cstheme="minorHAnsi"/>
                          </w:rPr>
                          <m:t>η</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cstheme="minorHAnsi"/>
                      </w:rPr>
                      <m:t>η</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∀i∈m.</m:t>
                </m:r>
              </m:oMath>
            </m:oMathPara>
          </w:p>
        </w:tc>
        <w:tc>
          <w:tcPr>
            <w:tcW w:w="350" w:type="pct"/>
            <w:vAlign w:val="center"/>
          </w:tcPr>
          <w:p w14:paraId="4704FFA9"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6</w:t>
            </w:r>
            <w:r w:rsidRPr="00402035">
              <w:rPr>
                <w:i w:val="0"/>
                <w:iCs w:val="0"/>
                <w:color w:val="auto"/>
                <w:sz w:val="22"/>
                <w:szCs w:val="24"/>
              </w:rPr>
              <w:fldChar w:fldCharType="end"/>
            </w:r>
            <w:r w:rsidRPr="00402035">
              <w:rPr>
                <w:i w:val="0"/>
                <w:iCs w:val="0"/>
                <w:color w:val="auto"/>
                <w:sz w:val="22"/>
                <w:szCs w:val="24"/>
              </w:rPr>
              <w:t>)</w:t>
            </w:r>
          </w:p>
        </w:tc>
      </w:tr>
    </w:tbl>
    <w:p w14:paraId="57A05628" w14:textId="77777777" w:rsidR="00E91B61" w:rsidRDefault="00E91B61" w:rsidP="00E91B61">
      <w:pPr>
        <w:pStyle w:val="Heading4"/>
      </w:pPr>
      <w:r>
        <w:t>-</w:t>
      </w:r>
      <w:r>
        <w:tab/>
        <w:t>Delivery constraint</w:t>
      </w:r>
    </w:p>
    <w:p w14:paraId="3D16201D" w14:textId="77777777" w:rsidR="00E91B61" w:rsidRPr="00447C85" w:rsidRDefault="00E91B61" w:rsidP="00E91B61">
      <w:r>
        <w:t xml:space="preserve">This constraint ensures that the suppliers’ on-time delivered items is greater than the manufacturer’s minimum acceptable on-time delivery of purchased items. </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236A293A" w14:textId="77777777" w:rsidTr="00E15D8F">
        <w:tc>
          <w:tcPr>
            <w:tcW w:w="350" w:type="pct"/>
          </w:tcPr>
          <w:p w14:paraId="14DABB60" w14:textId="77777777" w:rsidR="00E91B61" w:rsidRPr="00483DA3" w:rsidRDefault="00E91B61" w:rsidP="00E15D8F">
            <w:pPr>
              <w:spacing w:before="0" w:after="0"/>
              <w:rPr>
                <w:rFonts w:cs="Times New Roman"/>
                <w:sz w:val="24"/>
                <w:szCs w:val="24"/>
              </w:rPr>
            </w:pPr>
          </w:p>
        </w:tc>
        <w:tc>
          <w:tcPr>
            <w:tcW w:w="4300" w:type="pct"/>
          </w:tcPr>
          <w:p w14:paraId="26530640" w14:textId="77777777" w:rsidR="00E91B61" w:rsidRPr="00483DA3" w:rsidRDefault="00E91B61" w:rsidP="00E15D8F">
            <w:pPr>
              <w:spacing w:before="0" w:after="0"/>
              <w:rPr>
                <w:rFonts w:cs="Times New Roman"/>
                <w:sz w:val="24"/>
                <w:szCs w:val="24"/>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cstheme="minorHAnsi"/>
                      </w:rPr>
                      <m:t>(1-t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∀i∈m.</m:t>
                </m:r>
              </m:oMath>
            </m:oMathPara>
          </w:p>
        </w:tc>
        <w:tc>
          <w:tcPr>
            <w:tcW w:w="350" w:type="pct"/>
            <w:vAlign w:val="center"/>
          </w:tcPr>
          <w:p w14:paraId="5A239DD0"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7</w:t>
            </w:r>
            <w:r w:rsidRPr="00402035">
              <w:rPr>
                <w:i w:val="0"/>
                <w:iCs w:val="0"/>
                <w:color w:val="auto"/>
                <w:sz w:val="22"/>
                <w:szCs w:val="24"/>
              </w:rPr>
              <w:fldChar w:fldCharType="end"/>
            </w:r>
            <w:r w:rsidRPr="00402035">
              <w:rPr>
                <w:i w:val="0"/>
                <w:iCs w:val="0"/>
                <w:color w:val="auto"/>
                <w:sz w:val="22"/>
                <w:szCs w:val="24"/>
              </w:rPr>
              <w:t>)</w:t>
            </w:r>
          </w:p>
        </w:tc>
      </w:tr>
    </w:tbl>
    <w:p w14:paraId="3ABC68CB" w14:textId="77777777" w:rsidR="00E91B61" w:rsidRDefault="00E91B61" w:rsidP="00E91B61">
      <w:pPr>
        <w:pStyle w:val="Heading4"/>
      </w:pPr>
      <w:r>
        <w:t>-</w:t>
      </w:r>
      <w:r>
        <w:tab/>
        <w:t>Manufacturer storage capacity constraint</w:t>
      </w:r>
    </w:p>
    <w:p w14:paraId="690CFB9A" w14:textId="77777777" w:rsidR="00E91B61" w:rsidRPr="000A5AD6" w:rsidRDefault="00E91B61" w:rsidP="00E91B61">
      <w:pPr>
        <w:jc w:val="left"/>
      </w:pPr>
      <w:r>
        <w:t xml:space="preserve">This constraint means that there is a limit on the number of products that can be stored in each planning period as the manufacturer has a limited storage capacity </w:t>
      </w:r>
      <w:r>
        <w:rPr>
          <w:i/>
          <w:iCs/>
        </w:rPr>
        <w:t>S</w:t>
      </w:r>
      <w:r>
        <w:t xml:space="preserve"> where each procured product </w:t>
      </w:r>
      <w:proofErr w:type="spellStart"/>
      <w:r>
        <w:rPr>
          <w:i/>
          <w:iCs/>
        </w:rPr>
        <w:t>i</w:t>
      </w:r>
      <w:proofErr w:type="spellEnd"/>
      <w:r>
        <w:t xml:space="preserve"> from each supplier </w:t>
      </w:r>
      <w:r>
        <w:rPr>
          <w:i/>
          <w:iCs/>
        </w:rPr>
        <w:t>j</w:t>
      </w:r>
      <w:r>
        <w:t xml:space="preserve"> occupies </w:t>
      </w:r>
      <w:proofErr w:type="spellStart"/>
      <w:r>
        <w:rPr>
          <w:i/>
          <w:iCs/>
        </w:rPr>
        <w:t>s</w:t>
      </w:r>
      <w:r>
        <w:rPr>
          <w:i/>
          <w:iCs/>
          <w:vertAlign w:val="subscript"/>
        </w:rPr>
        <w:t>i</w:t>
      </w:r>
      <w:proofErr w:type="spellEnd"/>
      <w:r>
        <w:rPr>
          <w:i/>
          <w:iCs/>
        </w:rPr>
        <w:t xml:space="preserve"> space.</w:t>
      </w:r>
      <w:r>
        <w:t xml:space="preserve"> </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7B69D799" w14:textId="77777777" w:rsidTr="00E15D8F">
        <w:tc>
          <w:tcPr>
            <w:tcW w:w="350" w:type="pct"/>
          </w:tcPr>
          <w:p w14:paraId="321D2434" w14:textId="77777777" w:rsidR="00E91B61" w:rsidRPr="00483DA3" w:rsidRDefault="00E91B61" w:rsidP="00E15D8F">
            <w:pPr>
              <w:spacing w:before="0" w:after="0"/>
              <w:rPr>
                <w:rFonts w:cs="Times New Roman"/>
                <w:sz w:val="24"/>
                <w:szCs w:val="24"/>
              </w:rPr>
            </w:pPr>
          </w:p>
        </w:tc>
        <w:tc>
          <w:tcPr>
            <w:tcW w:w="4300" w:type="pct"/>
          </w:tcPr>
          <w:p w14:paraId="2302AFE4" w14:textId="77777777" w:rsidR="00E91B61" w:rsidRPr="00483DA3" w:rsidRDefault="00E91B61" w:rsidP="00E15D8F">
            <w:pPr>
              <w:spacing w:before="0" w:after="0"/>
              <w:rPr>
                <w:rFonts w:cs="Times New Roman"/>
                <w:sz w:val="24"/>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e>
                          <m:sub>
                            <m:r>
                              <w:rPr>
                                <w:rFonts w:ascii="Cambria Math" w:hAnsi="Cambria Math"/>
                              </w:rPr>
                              <m:t>ij</m:t>
                            </m:r>
                          </m:sub>
                        </m:sSub>
                      </m:e>
                    </m:nary>
                  </m:e>
                </m:nary>
                <m:r>
                  <w:rPr>
                    <w:rFonts w:ascii="Cambria Math" w:hAnsi="Cambria Math"/>
                  </w:rPr>
                  <m:t>≤S.</m:t>
                </m:r>
              </m:oMath>
            </m:oMathPara>
          </w:p>
        </w:tc>
        <w:tc>
          <w:tcPr>
            <w:tcW w:w="350" w:type="pct"/>
            <w:vAlign w:val="center"/>
          </w:tcPr>
          <w:p w14:paraId="39227EDE" w14:textId="77777777" w:rsidR="00E91B61" w:rsidRPr="00402035" w:rsidRDefault="00E91B61" w:rsidP="00E15D8F">
            <w:pPr>
              <w:pStyle w:val="Caption"/>
              <w:spacing w:before="0"/>
              <w:jc w:val="center"/>
              <w:rPr>
                <w:rFonts w:cs="Times New Roman"/>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8</w:t>
            </w:r>
            <w:r w:rsidRPr="00402035">
              <w:rPr>
                <w:i w:val="0"/>
                <w:iCs w:val="0"/>
                <w:color w:val="auto"/>
                <w:sz w:val="22"/>
                <w:szCs w:val="24"/>
              </w:rPr>
              <w:fldChar w:fldCharType="end"/>
            </w:r>
            <w:r w:rsidRPr="00402035">
              <w:rPr>
                <w:i w:val="0"/>
                <w:iCs w:val="0"/>
                <w:color w:val="auto"/>
                <w:sz w:val="22"/>
                <w:szCs w:val="24"/>
              </w:rPr>
              <w:t>)</w:t>
            </w:r>
          </w:p>
        </w:tc>
      </w:tr>
    </w:tbl>
    <w:p w14:paraId="2680F754" w14:textId="77777777" w:rsidR="00E91B61" w:rsidRDefault="00E91B61" w:rsidP="00E91B61">
      <w:pPr>
        <w:pStyle w:val="Heading4"/>
      </w:pPr>
      <w:r>
        <w:t>-</w:t>
      </w:r>
      <w:r>
        <w:tab/>
        <w:t>Binary and non-negativity constraints</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4E09F54D" w14:textId="77777777" w:rsidTr="00E15D8F">
        <w:tc>
          <w:tcPr>
            <w:tcW w:w="350" w:type="pct"/>
          </w:tcPr>
          <w:p w14:paraId="3C9D16FA" w14:textId="77777777" w:rsidR="00E91B61" w:rsidRPr="00483DA3" w:rsidRDefault="00E91B61" w:rsidP="00E15D8F">
            <w:pPr>
              <w:spacing w:before="0"/>
              <w:rPr>
                <w:rFonts w:ascii="Times New Roman" w:hAnsi="Times New Roman"/>
                <w:sz w:val="24"/>
                <w:szCs w:val="24"/>
              </w:rPr>
            </w:pPr>
          </w:p>
        </w:tc>
        <w:tc>
          <w:tcPr>
            <w:tcW w:w="4300" w:type="pct"/>
          </w:tcPr>
          <w:p w14:paraId="718736E8" w14:textId="77777777" w:rsidR="00E91B61" w:rsidRPr="00483DA3" w:rsidRDefault="00E91B61" w:rsidP="00E15D8F">
            <w:pPr>
              <w:spacing w:before="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=0, 1</m:t>
                </m:r>
              </m:oMath>
            </m:oMathPara>
          </w:p>
        </w:tc>
        <w:tc>
          <w:tcPr>
            <w:tcW w:w="350" w:type="pct"/>
            <w:vAlign w:val="center"/>
          </w:tcPr>
          <w:p w14:paraId="6B52440F" w14:textId="77777777" w:rsidR="00E91B61" w:rsidRPr="00402035" w:rsidRDefault="00E91B61" w:rsidP="00E15D8F">
            <w:pPr>
              <w:pStyle w:val="Caption"/>
              <w:spacing w:before="0"/>
              <w:jc w:val="center"/>
              <w:rPr>
                <w:rFonts w:ascii="Times New Roman" w:hAnsi="Times New Roman"/>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9</w:t>
            </w:r>
            <w:r w:rsidRPr="00402035">
              <w:rPr>
                <w:i w:val="0"/>
                <w:iCs w:val="0"/>
                <w:color w:val="auto"/>
                <w:sz w:val="22"/>
                <w:szCs w:val="24"/>
              </w:rPr>
              <w:fldChar w:fldCharType="end"/>
            </w:r>
            <w:r w:rsidRPr="00402035">
              <w:rPr>
                <w:i w:val="0"/>
                <w:iCs w:val="0"/>
                <w:color w:val="auto"/>
                <w:sz w:val="22"/>
                <w:szCs w:val="24"/>
              </w:rPr>
              <w:t>)</w:t>
            </w:r>
          </w:p>
        </w:tc>
      </w:tr>
    </w:tbl>
    <w:p w14:paraId="16610A37" w14:textId="1C5BCEB3" w:rsidR="00E91B61" w:rsidRDefault="00E91B61" w:rsidP="00E91B61">
      <w:pPr>
        <w:pStyle w:val="Heading3"/>
      </w:pPr>
      <w:bookmarkStart w:id="4" w:name="_Toc67125899"/>
      <w:r>
        <w:t xml:space="preserve">The </w:t>
      </w:r>
      <w:r>
        <w:rPr>
          <w:rFonts w:cstheme="majorHAnsi"/>
        </w:rPr>
        <w:t>ε</w:t>
      </w:r>
      <w:r>
        <w:t>-constraint method</w:t>
      </w:r>
      <w:bookmarkEnd w:id="4"/>
    </w:p>
    <w:p w14:paraId="23D1928F" w14:textId="77777777" w:rsidR="00E91B61" w:rsidRDefault="00E91B61" w:rsidP="00E91B61">
      <w:r>
        <w:t xml:space="preserve">In the </w:t>
      </w:r>
      <w:r>
        <w:rPr>
          <w:rFonts w:cstheme="minorHAnsi"/>
        </w:rPr>
        <w:t>ε</w:t>
      </w:r>
      <w:r>
        <w:t xml:space="preserve">-constraint method, the most important objective is selected as the main objective function while the other objective functions appear as new model constraints. Considering the multi-objective model presented in Equation </w:t>
      </w:r>
      <w:r>
        <w:fldChar w:fldCharType="begin"/>
      </w:r>
      <w:r>
        <w:instrText xml:space="preserve"> REF _Ref66179032 \h </w:instrText>
      </w:r>
      <w:r>
        <w:fldChar w:fldCharType="separate"/>
      </w:r>
      <w:r w:rsidRPr="00402035">
        <w:rPr>
          <w:szCs w:val="24"/>
        </w:rPr>
        <w:t>(</w:t>
      </w:r>
      <w:r>
        <w:rPr>
          <w:i/>
          <w:iCs/>
          <w:noProof/>
          <w:szCs w:val="24"/>
        </w:rPr>
        <w:t>10</w:t>
      </w:r>
      <w:r w:rsidRPr="00402035">
        <w:rPr>
          <w:szCs w:val="24"/>
        </w:rPr>
        <w:t>)</w:t>
      </w:r>
      <w:r>
        <w:fldChar w:fldCharType="end"/>
      </w:r>
      <w:r>
        <w:t xml:space="preserve">, the method is shown below </w:t>
      </w:r>
      <w:r>
        <w:fldChar w:fldCharType="begin" w:fldLock="1"/>
      </w:r>
      <w:r>
        <w:instrText>ADDIN CSL_CITATION {"citationItems":[{"id":"ITEM-1","itemData":{"abstract":"We propose a novel control method for lower-limb assist that produces a virtual modification of the mechanical impedance of the human limbs. This effect is accomplished by making the exoskeleton display active impedance properties. Active impedance control emphasizes control of the exoskeleton's dynamics and regulation of the transfer of energy between the exoskeleton and the user. Its goal is improving the dynamic response of the human limbs without sacrificing the user's control authority. The proposed method is an alternative to myoelectrical exoskeleton control, which is based on estimating muscle torques from electromyographical (EMG) activity. Implementation of an EMG-based controller is a complex task that involves modeling the user's","author":[{"dropping-particle":"","family":"Chankong","given":"V","non-dropping-particle":"","parse-names":false,"suffix":""},{"dropping-particle":"","family":"Haimes","given":"Y. Y.","non-dropping-particle":"","parse-names":false,"suffix":""}],"container-title":"Multiobjective Decision Making Theory and Methodology.","id":"ITEM-1","issued":{"date-parts":[["1983"]]},"title":"Multiobjective Decision Making Theory and Methodology.","type":"article-journal"},"uris":["http://www.mendeley.com/documents/?uuid=d0190e19-0aee-4301-9771-db57f02693ea"]}],"mendeley":{"formattedCitation":"(Chankong and Haimes, 1983)","plainTextFormattedCitation":"(Chankong and Haimes, 1983)","previouslyFormattedCitation":"(Chankong and Haimes, 1983)"},"properties":{"noteIndex":0},"schema":"https://github.com/citation-style-language/schema/raw/master/csl-citation.json"}</w:instrText>
      </w:r>
      <w:r>
        <w:fldChar w:fldCharType="separate"/>
      </w:r>
      <w:r w:rsidRPr="00944679">
        <w:rPr>
          <w:noProof/>
        </w:rPr>
        <w:t>(Chankong and Haimes, 1983)</w:t>
      </w:r>
      <w:r>
        <w:fldChar w:fldCharType="end"/>
      </w:r>
      <w:r>
        <w:t xml:space="preserve">. </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0257ABCB" w14:textId="77777777" w:rsidTr="00E15D8F">
        <w:trPr>
          <w:trHeight w:val="157"/>
        </w:trPr>
        <w:tc>
          <w:tcPr>
            <w:tcW w:w="350" w:type="pct"/>
          </w:tcPr>
          <w:p w14:paraId="39F042BA" w14:textId="77777777" w:rsidR="00E91B61" w:rsidRPr="00483DA3" w:rsidRDefault="00E91B61" w:rsidP="00E15D8F">
            <w:pPr>
              <w:spacing w:before="0" w:after="0"/>
              <w:rPr>
                <w:rFonts w:cs="Times New Roman"/>
                <w:sz w:val="24"/>
                <w:szCs w:val="24"/>
              </w:rPr>
            </w:pPr>
          </w:p>
        </w:tc>
        <w:tc>
          <w:tcPr>
            <w:tcW w:w="4300" w:type="pct"/>
            <w:vAlign w:val="center"/>
          </w:tcPr>
          <w:p w14:paraId="513CBE0C" w14:textId="77777777" w:rsidR="00E91B61" w:rsidRPr="00483DA3" w:rsidRDefault="00E91B61" w:rsidP="00E15D8F">
            <w:pPr>
              <w:spacing w:before="0" w:after="0"/>
              <w:jc w:val="center"/>
              <w:rPr>
                <w:rFonts w:cs="Times New Roman"/>
                <w:sz w:val="24"/>
                <w:szCs w:val="24"/>
              </w:rPr>
            </w:pPr>
            <m:oMathPara>
              <m:oMath>
                <m:r>
                  <w:rPr>
                    <w:rFonts w:ascii="Cambria Math" w:hAnsi="Cambria Math" w:cs="Times New Roman"/>
                  </w:rPr>
                  <m:t xml:space="preserve">Max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(x)</m:t>
                </m:r>
              </m:oMath>
            </m:oMathPara>
          </w:p>
        </w:tc>
        <w:tc>
          <w:tcPr>
            <w:tcW w:w="350" w:type="pct"/>
            <w:vAlign w:val="center"/>
          </w:tcPr>
          <w:p w14:paraId="2253C274" w14:textId="77777777" w:rsidR="00E91B61" w:rsidRPr="00402035" w:rsidRDefault="00E91B61" w:rsidP="00E15D8F">
            <w:pPr>
              <w:pStyle w:val="Caption"/>
              <w:spacing w:before="0"/>
              <w:jc w:val="center"/>
              <w:rPr>
                <w:rFonts w:cs="Times New Roman"/>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22</w:t>
            </w:r>
            <w:r w:rsidRPr="00402035">
              <w:rPr>
                <w:i w:val="0"/>
                <w:iCs w:val="0"/>
                <w:color w:val="auto"/>
                <w:sz w:val="22"/>
                <w:szCs w:val="24"/>
              </w:rPr>
              <w:fldChar w:fldCharType="end"/>
            </w:r>
            <w:r w:rsidRPr="00402035">
              <w:rPr>
                <w:i w:val="0"/>
                <w:iCs w:val="0"/>
                <w:color w:val="auto"/>
                <w:sz w:val="22"/>
                <w:szCs w:val="24"/>
              </w:rPr>
              <w:t>)</w:t>
            </w:r>
          </w:p>
        </w:tc>
      </w:tr>
      <w:tr w:rsidR="00E91B61" w:rsidRPr="00483DA3" w14:paraId="1707EBBB" w14:textId="77777777" w:rsidTr="00E15D8F">
        <w:trPr>
          <w:trHeight w:val="221"/>
        </w:trPr>
        <w:tc>
          <w:tcPr>
            <w:tcW w:w="350" w:type="pct"/>
          </w:tcPr>
          <w:p w14:paraId="78664171" w14:textId="77777777" w:rsidR="00E91B61" w:rsidRPr="00483DA3" w:rsidRDefault="00E91B61" w:rsidP="00E15D8F">
            <w:pPr>
              <w:spacing w:before="0" w:after="0"/>
              <w:rPr>
                <w:rFonts w:cs="Times New Roman"/>
                <w:sz w:val="24"/>
                <w:szCs w:val="24"/>
              </w:rPr>
            </w:pPr>
          </w:p>
        </w:tc>
        <w:tc>
          <w:tcPr>
            <w:tcW w:w="4300" w:type="pct"/>
            <w:vAlign w:val="center"/>
          </w:tcPr>
          <w:p w14:paraId="05E97CD3" w14:textId="77777777" w:rsidR="00E91B61" w:rsidRPr="00AA66FB" w:rsidRDefault="00E91B61" w:rsidP="00E15D8F">
            <w:pPr>
              <w:spacing w:before="0"/>
              <w:jc w:val="left"/>
              <w:rPr>
                <w:rFonts w:asciiTheme="minorHAnsi" w:eastAsia="Times New Roman" w:hAnsiTheme="minorHAnsi" w:cstheme="minorHAnsi"/>
              </w:rPr>
            </w:pPr>
            <w:r w:rsidRPr="00AA66FB">
              <w:rPr>
                <w:rFonts w:asciiTheme="minorHAnsi" w:eastAsia="Times New Roman" w:hAnsiTheme="minorHAnsi" w:cstheme="minorHAnsi"/>
              </w:rPr>
              <w:t>Subject to</w:t>
            </w:r>
            <w:r>
              <w:rPr>
                <w:rFonts w:asciiTheme="minorHAnsi" w:eastAsia="Times New Roman" w:hAnsiTheme="minorHAnsi" w:cstheme="minorHAnsi"/>
              </w:rPr>
              <w:t>:</w:t>
            </w:r>
          </w:p>
        </w:tc>
        <w:tc>
          <w:tcPr>
            <w:tcW w:w="350" w:type="pct"/>
            <w:vAlign w:val="center"/>
          </w:tcPr>
          <w:p w14:paraId="69665CED" w14:textId="77777777" w:rsidR="00E91B61" w:rsidRPr="00402035" w:rsidRDefault="00E91B61" w:rsidP="00E15D8F">
            <w:pPr>
              <w:pStyle w:val="Caption"/>
              <w:spacing w:before="0"/>
              <w:jc w:val="center"/>
              <w:rPr>
                <w:i w:val="0"/>
                <w:iCs w:val="0"/>
                <w:color w:val="auto"/>
                <w:sz w:val="22"/>
                <w:szCs w:val="24"/>
              </w:rPr>
            </w:pPr>
          </w:p>
        </w:tc>
      </w:tr>
      <w:tr w:rsidR="00E91B61" w:rsidRPr="00483DA3" w14:paraId="734B270D" w14:textId="77777777" w:rsidTr="00E15D8F">
        <w:tc>
          <w:tcPr>
            <w:tcW w:w="350" w:type="pct"/>
            <w:vAlign w:val="center"/>
          </w:tcPr>
          <w:p w14:paraId="25EB3389" w14:textId="77777777" w:rsidR="00E91B61" w:rsidRPr="00483DA3" w:rsidRDefault="00E91B61" w:rsidP="00E15D8F">
            <w:pPr>
              <w:spacing w:before="0" w:after="0"/>
              <w:jc w:val="center"/>
              <w:rPr>
                <w:rFonts w:cs="Times New Roman"/>
                <w:sz w:val="24"/>
                <w:szCs w:val="24"/>
              </w:rPr>
            </w:pPr>
          </w:p>
        </w:tc>
        <w:tc>
          <w:tcPr>
            <w:tcW w:w="4300" w:type="pct"/>
            <w:vAlign w:val="center"/>
          </w:tcPr>
          <w:p w14:paraId="4B24D700" w14:textId="77777777" w:rsidR="00E91B61" w:rsidRPr="00AA66FB" w:rsidRDefault="00E91B61" w:rsidP="00E15D8F">
            <w:pPr>
              <w:spacing w:before="0" w:after="0"/>
              <w:jc w:val="center"/>
              <w:rPr>
                <w:rFonts w:eastAsia="Times New Roman" w:cstheme="minorHAnsi"/>
              </w:rPr>
            </w:pPr>
            <m:oMathPara>
              <m:oMath>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i</m:t>
                    </m:r>
                  </m:sub>
                </m:sSub>
                <m:d>
                  <m:dPr>
                    <m:ctrlPr>
                      <w:rPr>
                        <w:rFonts w:ascii="Cambria Math" w:eastAsia="Times New Roman" w:hAnsi="Cambria Math" w:cstheme="minorHAnsi"/>
                        <w:i/>
                      </w:rPr>
                    </m:ctrlPr>
                  </m:dPr>
                  <m:e>
                    <m:r>
                      <w:rPr>
                        <w:rFonts w:ascii="Cambria Math" w:eastAsia="Times New Roman" w:hAnsi="Cambria Math" w:cstheme="minorHAnsi"/>
                      </w:rPr>
                      <m:t>x</m:t>
                    </m:r>
                  </m:e>
                </m:d>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i</m:t>
                    </m:r>
                  </m:sub>
                </m:sSub>
                <m:r>
                  <w:rPr>
                    <w:rFonts w:ascii="Cambria Math" w:eastAsia="Times New Roman" w:hAnsi="Cambria Math" w:cstheme="minorHAnsi"/>
                  </w:rPr>
                  <m:t>,  i∈</m:t>
                </m:r>
                <m:d>
                  <m:dPr>
                    <m:begChr m:val="["/>
                    <m:endChr m:val="]"/>
                    <m:ctrlPr>
                      <w:rPr>
                        <w:rFonts w:ascii="Cambria Math" w:eastAsia="Times New Roman" w:hAnsi="Cambria Math" w:cstheme="minorHAnsi"/>
                        <w:i/>
                      </w:rPr>
                    </m:ctrlPr>
                  </m:dPr>
                  <m:e>
                    <m:r>
                      <w:rPr>
                        <w:rFonts w:ascii="Cambria Math" w:eastAsia="Times New Roman" w:hAnsi="Cambria Math" w:cstheme="minorHAnsi"/>
                      </w:rPr>
                      <m:t>2, n</m:t>
                    </m:r>
                  </m:e>
                </m:d>
                <m:r>
                  <w:rPr>
                    <w:rFonts w:ascii="Cambria Math" w:eastAsia="Times New Roman" w:hAnsi="Cambria Math" w:cstheme="minorHAnsi"/>
                  </w:rPr>
                  <m:t>,  x∈S</m:t>
                </m:r>
              </m:oMath>
            </m:oMathPara>
          </w:p>
        </w:tc>
        <w:tc>
          <w:tcPr>
            <w:tcW w:w="350" w:type="pct"/>
            <w:vAlign w:val="center"/>
          </w:tcPr>
          <w:p w14:paraId="5F58F8BC" w14:textId="77777777" w:rsidR="00E91B61" w:rsidRPr="00402035" w:rsidRDefault="00E91B61" w:rsidP="00E15D8F">
            <w:pPr>
              <w:pStyle w:val="Caption"/>
              <w:spacing w:before="0"/>
              <w:jc w:val="center"/>
              <w:rPr>
                <w:i w:val="0"/>
                <w:iCs w:val="0"/>
                <w:color w:val="auto"/>
                <w:sz w:val="22"/>
                <w:szCs w:val="24"/>
              </w:rPr>
            </w:pPr>
            <w:r>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23</w:t>
            </w:r>
            <w:r w:rsidRPr="00402035">
              <w:rPr>
                <w:i w:val="0"/>
                <w:iCs w:val="0"/>
                <w:color w:val="auto"/>
                <w:sz w:val="22"/>
                <w:szCs w:val="24"/>
              </w:rPr>
              <w:fldChar w:fldCharType="end"/>
            </w:r>
            <w:r>
              <w:rPr>
                <w:i w:val="0"/>
                <w:iCs w:val="0"/>
                <w:color w:val="auto"/>
                <w:sz w:val="22"/>
                <w:szCs w:val="24"/>
              </w:rPr>
              <w:t>)</w:t>
            </w:r>
          </w:p>
        </w:tc>
      </w:tr>
    </w:tbl>
    <w:p w14:paraId="25260700" w14:textId="77777777" w:rsidR="00E91B61" w:rsidRDefault="00E91B61" w:rsidP="00E91B61">
      <w:r>
        <w:t>By parametrical variation of the RHS of the constrained objective functions (</w:t>
      </w:r>
      <w:proofErr w:type="spellStart"/>
      <w:r w:rsidRPr="00300ADD">
        <w:rPr>
          <w:i/>
          <w:iCs/>
        </w:rPr>
        <w:t>e</w:t>
      </w:r>
      <w:r w:rsidRPr="00300ADD">
        <w:rPr>
          <w:i/>
          <w:iCs/>
          <w:vertAlign w:val="subscript"/>
        </w:rPr>
        <w:t>i</w:t>
      </w:r>
      <w:proofErr w:type="spellEnd"/>
      <w:r>
        <w:t>) the optimal solutions of the model are found.</w:t>
      </w:r>
    </w:p>
    <w:p w14:paraId="3EE7466B" w14:textId="77777777" w:rsidR="00E91B61" w:rsidRDefault="00E91B61" w:rsidP="00E91B61">
      <w:pPr>
        <w:pStyle w:val="Heading4"/>
      </w:pPr>
      <w:r>
        <w:t xml:space="preserve">- </w:t>
      </w:r>
      <w:r>
        <w:tab/>
        <w:t xml:space="preserve">The augmented </w:t>
      </w:r>
      <w:r w:rsidRPr="001A7A85">
        <w:t>ε-constraint method</w:t>
      </w:r>
      <w:r>
        <w:t xml:space="preserve"> (AUGMECON)</w:t>
      </w:r>
    </w:p>
    <w:p w14:paraId="49855249" w14:textId="77777777" w:rsidR="00E91B61" w:rsidRDefault="00E91B61" w:rsidP="00E91B61">
      <w:r>
        <w:t xml:space="preserve">The AUGMECON method addresses the shortcomings of the </w:t>
      </w:r>
      <w:r w:rsidRPr="00467D46">
        <w:t>ε-constraint method</w:t>
      </w:r>
      <w:r>
        <w:t xml:space="preserve"> which are: (a) </w:t>
      </w:r>
      <w:r w:rsidRPr="00F06926">
        <w:t>the calculation of the range of the objective functions over the efficient set, (b) the guarantee of efficiency of the obtained solution and (c) the increased solution time for problems with several (more than two) objective functions.</w:t>
      </w:r>
      <w:r>
        <w:t xml:space="preserve"> It also can be used to guide the </w:t>
      </w:r>
      <w:proofErr w:type="gramStart"/>
      <w:r>
        <w:t>DM’s</w:t>
      </w:r>
      <w:proofErr w:type="gramEnd"/>
      <w:r>
        <w:t xml:space="preserve"> to their most preferred Pareto optimal solution through an iterative procedure. Once again, considering the multi-objective function presented in Equation </w:t>
      </w:r>
      <w:r w:rsidRPr="00402035">
        <w:rPr>
          <w:i/>
          <w:iCs/>
          <w:szCs w:val="24"/>
        </w:rPr>
        <w:t>(</w:t>
      </w:r>
      <w:r>
        <w:rPr>
          <w:i/>
          <w:iCs/>
          <w:noProof/>
          <w:szCs w:val="24"/>
        </w:rPr>
        <w:t>9)</w:t>
      </w:r>
      <w:r>
        <w:rPr>
          <w:noProof/>
          <w:szCs w:val="24"/>
        </w:rPr>
        <w:t>,</w:t>
      </w:r>
      <w:r>
        <w:rPr>
          <w:i/>
          <w:iCs/>
          <w:noProof/>
          <w:szCs w:val="24"/>
        </w:rPr>
        <w:t xml:space="preserve"> </w:t>
      </w:r>
      <w:r>
        <w:rPr>
          <w:noProof/>
          <w:szCs w:val="24"/>
        </w:rPr>
        <w:t>t</w:t>
      </w:r>
      <w:r>
        <w:t xml:space="preserve">he AUGMECON model can be shown as follows </w:t>
      </w:r>
      <w:r>
        <w:fldChar w:fldCharType="begin" w:fldLock="1"/>
      </w:r>
      <w:r>
        <w:instrText>ADDIN CSL_CITATION {"citationItems":[{"id":"ITEM-1","itemData":{"DOI":"10.1016/j.amc.2009.03.037","ISSN":"00963003","abstract":"As indicated by the most widely accepted classification, the Multi-Objective Mathematical Programming (MOMP) methods can be classified as a priori, interactive and a posteriori, according to the decision stage in which the decision maker expresses his/her preferences. Although the a priori methods are the most popular, the interactive and the a posteriori methods convey much more information to the decision maker. Especially, the a posteriori (or generation) methods give the whole picture (i.e. the Pareto set) to the decision maker, before his/her final choice, reinforcing thus, his/her confidence to the final decision. However, the generation methods are the less popular due to their computational effort and the lack of widely available software. The present work is an effort to effectively implement the ε-constraint method for producing the Pareto optimal solutions in a MOMP. We propose a novel version of the method (augmented ε-constraint method - AUGMECON) that avoids the production of weakly Pareto optimal solutions and accelerates the whole process by avoiding redundant iterations. The method AUGMECON has been implemented in GAMS, a widely used modelling language, and has already been used in some applications. Finally, an interactive approach that is based on AUGMECON and eventually results in the most preferred Pareto optimal solution is also proposed in the paper. © 2009 Elsevier Inc. All rights reserved.","author":[{"dropping-particle":"","family":"Mavrotas","given":"George","non-dropping-particle":"","parse-names":false,"suffix":""}],"container-title":"Applied Mathematics and Computation","id":"ITEM-1","issue":"2","issued":{"date-parts":[["2009"]]},"page":"455-465","publisher":"Elsevier Inc.","title":"Effective implementation of the ε-constraint method in Multi-Objective Mathematical Programming problems","type":"article-journal","volume":"213"},"uris":["http://www.mendeley.com/documents/?uuid=d7b60e8c-852b-43c1-8438-2a3bd2f9dad4"]}],"mendeley":{"formattedCitation":"(Mavrotas, 2009)","plainTextFormattedCitation":"(Mavrotas, 2009)","previouslyFormattedCitation":"(Mavrotas, 2009)"},"properties":{"noteIndex":0},"schema":"https://github.com/citation-style-language/schema/raw/master/csl-citation.json"}</w:instrText>
      </w:r>
      <w:r>
        <w:fldChar w:fldCharType="separate"/>
      </w:r>
      <w:r w:rsidRPr="003B04F5">
        <w:rPr>
          <w:noProof/>
        </w:rPr>
        <w:t>(Mavrotas, 2009)</w:t>
      </w:r>
      <w:r>
        <w:fldChar w:fldCharType="end"/>
      </w:r>
      <w:r>
        <w:t>:</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56961808" w14:textId="77777777" w:rsidTr="00E15D8F">
        <w:tc>
          <w:tcPr>
            <w:tcW w:w="350" w:type="pct"/>
          </w:tcPr>
          <w:p w14:paraId="1AB28513" w14:textId="77777777" w:rsidR="00E91B61" w:rsidRPr="00483DA3" w:rsidRDefault="00E91B61" w:rsidP="00E15D8F">
            <w:pPr>
              <w:spacing w:before="0" w:after="0"/>
              <w:rPr>
                <w:rFonts w:cs="Times New Roman"/>
                <w:sz w:val="24"/>
                <w:szCs w:val="24"/>
              </w:rPr>
            </w:pPr>
          </w:p>
        </w:tc>
        <w:tc>
          <w:tcPr>
            <w:tcW w:w="4300" w:type="pct"/>
            <w:vAlign w:val="center"/>
          </w:tcPr>
          <w:p w14:paraId="4DA7F97A" w14:textId="77777777" w:rsidR="00E91B61" w:rsidRPr="005A3457" w:rsidRDefault="00E91B61" w:rsidP="00E15D8F">
            <w:pPr>
              <w:spacing w:before="0" w:after="0"/>
              <w:jc w:val="center"/>
              <w:rPr>
                <w:rFonts w:cs="Times New Roman"/>
                <w:sz w:val="24"/>
                <w:szCs w:val="24"/>
              </w:rPr>
            </w:pPr>
            <m:oMathPara>
              <m:oMath>
                <m:r>
                  <w:rPr>
                    <w:rFonts w:ascii="Cambria Math" w:hAnsi="Cambria Math" w:cs="Times New Roman"/>
                  </w:rPr>
                  <m:t xml:space="preserve">Max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dir</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den>
                        </m:f>
                      </m:e>
                    </m:d>
                  </m:e>
                </m:d>
              </m:oMath>
            </m:oMathPara>
          </w:p>
        </w:tc>
        <w:tc>
          <w:tcPr>
            <w:tcW w:w="350" w:type="pct"/>
            <w:vAlign w:val="center"/>
          </w:tcPr>
          <w:p w14:paraId="401A936A" w14:textId="77777777" w:rsidR="00E91B61" w:rsidRPr="00402035" w:rsidRDefault="00E91B61" w:rsidP="00E15D8F">
            <w:pPr>
              <w:pStyle w:val="Caption"/>
              <w:spacing w:before="0"/>
              <w:jc w:val="center"/>
              <w:rPr>
                <w:rFonts w:cs="Times New Roman"/>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24</w:t>
            </w:r>
            <w:r w:rsidRPr="00402035">
              <w:rPr>
                <w:i w:val="0"/>
                <w:iCs w:val="0"/>
                <w:color w:val="auto"/>
                <w:sz w:val="22"/>
                <w:szCs w:val="24"/>
              </w:rPr>
              <w:fldChar w:fldCharType="end"/>
            </w:r>
            <w:r w:rsidRPr="00402035">
              <w:rPr>
                <w:i w:val="0"/>
                <w:iCs w:val="0"/>
                <w:color w:val="auto"/>
                <w:sz w:val="22"/>
                <w:szCs w:val="24"/>
              </w:rPr>
              <w:t>)</w:t>
            </w:r>
          </w:p>
        </w:tc>
      </w:tr>
      <w:tr w:rsidR="00E91B61" w:rsidRPr="00483DA3" w14:paraId="3FE0F0A4" w14:textId="77777777" w:rsidTr="00E15D8F">
        <w:tc>
          <w:tcPr>
            <w:tcW w:w="350" w:type="pct"/>
          </w:tcPr>
          <w:p w14:paraId="5724D288" w14:textId="77777777" w:rsidR="00E91B61" w:rsidRPr="00483DA3" w:rsidRDefault="00E91B61" w:rsidP="00E15D8F">
            <w:pPr>
              <w:spacing w:before="0" w:after="0"/>
              <w:rPr>
                <w:rFonts w:cs="Times New Roman"/>
                <w:sz w:val="24"/>
                <w:szCs w:val="24"/>
              </w:rPr>
            </w:pPr>
          </w:p>
        </w:tc>
        <w:tc>
          <w:tcPr>
            <w:tcW w:w="4300" w:type="pct"/>
            <w:vAlign w:val="center"/>
          </w:tcPr>
          <w:p w14:paraId="3AAD8D43" w14:textId="77777777" w:rsidR="00E91B61" w:rsidRPr="005A3457" w:rsidRDefault="00E91B61" w:rsidP="00E15D8F">
            <w:pPr>
              <w:spacing w:before="0"/>
              <w:jc w:val="left"/>
              <w:rPr>
                <w:rFonts w:asciiTheme="minorHAnsi" w:eastAsia="Times New Roman" w:hAnsiTheme="minorHAnsi" w:cstheme="minorHAnsi"/>
                <w:sz w:val="24"/>
                <w:szCs w:val="24"/>
              </w:rPr>
            </w:pPr>
            <w:r w:rsidRPr="005A3457">
              <w:rPr>
                <w:rFonts w:asciiTheme="minorHAnsi" w:eastAsia="Times New Roman" w:hAnsiTheme="minorHAnsi" w:cstheme="minorHAnsi"/>
              </w:rPr>
              <w:t>Subject to</w:t>
            </w:r>
            <w:r>
              <w:rPr>
                <w:rFonts w:asciiTheme="minorHAnsi" w:eastAsia="Times New Roman" w:hAnsiTheme="minorHAnsi" w:cstheme="minorHAnsi"/>
              </w:rPr>
              <w:t>:</w:t>
            </w:r>
          </w:p>
        </w:tc>
        <w:tc>
          <w:tcPr>
            <w:tcW w:w="350" w:type="pct"/>
            <w:vAlign w:val="center"/>
          </w:tcPr>
          <w:p w14:paraId="2F1125B9" w14:textId="77777777" w:rsidR="00E91B61" w:rsidRPr="00402035" w:rsidRDefault="00E91B61" w:rsidP="00E15D8F">
            <w:pPr>
              <w:pStyle w:val="Caption"/>
              <w:spacing w:before="0"/>
              <w:jc w:val="center"/>
              <w:rPr>
                <w:i w:val="0"/>
                <w:iCs w:val="0"/>
                <w:color w:val="auto"/>
                <w:sz w:val="22"/>
                <w:szCs w:val="24"/>
              </w:rPr>
            </w:pPr>
          </w:p>
        </w:tc>
      </w:tr>
      <w:tr w:rsidR="00E91B61" w:rsidRPr="00483DA3" w14:paraId="426F8BED" w14:textId="77777777" w:rsidTr="00E15D8F">
        <w:tc>
          <w:tcPr>
            <w:tcW w:w="350" w:type="pct"/>
          </w:tcPr>
          <w:p w14:paraId="337C9387" w14:textId="77777777" w:rsidR="00E91B61" w:rsidRPr="00483DA3" w:rsidRDefault="00E91B61" w:rsidP="00E15D8F">
            <w:pPr>
              <w:spacing w:before="0" w:after="0"/>
              <w:rPr>
                <w:rFonts w:cs="Times New Roman"/>
                <w:sz w:val="24"/>
                <w:szCs w:val="24"/>
              </w:rPr>
            </w:pPr>
          </w:p>
        </w:tc>
        <w:tc>
          <w:tcPr>
            <w:tcW w:w="4300" w:type="pct"/>
            <w:vAlign w:val="center"/>
          </w:tcPr>
          <w:p w14:paraId="4D34749D" w14:textId="77777777" w:rsidR="00E91B61" w:rsidRPr="005A3457" w:rsidRDefault="00E91B61" w:rsidP="00E15D8F">
            <w:pPr>
              <w:spacing w:before="0" w:after="0"/>
              <w:jc w:val="center"/>
              <w:rPr>
                <w:rFonts w:eastAsia="Times New Roman" w:cstheme="minorHAnsi"/>
              </w:rPr>
            </w:pPr>
            <m:oMathPara>
              <m:oMath>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i</m:t>
                    </m:r>
                  </m:sub>
                </m:sSub>
                <m:d>
                  <m:dPr>
                    <m:ctrlPr>
                      <w:rPr>
                        <w:rFonts w:ascii="Cambria Math" w:eastAsia="Times New Roman" w:hAnsi="Cambria Math" w:cstheme="minorHAnsi"/>
                        <w:i/>
                      </w:rPr>
                    </m:ctrlPr>
                  </m:dPr>
                  <m:e>
                    <m:r>
                      <w:rPr>
                        <w:rFonts w:ascii="Cambria Math" w:eastAsia="Times New Roman" w:hAnsi="Cambria Math" w:cstheme="minorHAnsi"/>
                      </w:rPr>
                      <m:t>x</m:t>
                    </m:r>
                  </m:e>
                </m:d>
                <m:r>
                  <w:rPr>
                    <w:rFonts w:ascii="Cambria Math" w:eastAsia="Times New Roman" w:hAnsi="Cambria Math" w:cstheme="minorHAnsi"/>
                  </w:rPr>
                  <m:t xml:space="preserve">- </m:t>
                </m:r>
                <m:sSub>
                  <m:sSubPr>
                    <m:ctrlPr>
                      <w:rPr>
                        <w:rFonts w:ascii="Cambria Math" w:eastAsia="Times New Roman" w:hAnsi="Cambria Math" w:cstheme="minorHAnsi"/>
                        <w:i/>
                      </w:rPr>
                    </m:ctrlPr>
                  </m:sSubPr>
                  <m:e>
                    <m:r>
                      <w:rPr>
                        <w:rFonts w:ascii="Cambria Math" w:eastAsia="Times New Roman" w:hAnsi="Cambria Math" w:cstheme="minorHAnsi"/>
                      </w:rPr>
                      <m:t>dir</m:t>
                    </m:r>
                  </m:e>
                  <m:sub>
                    <m:r>
                      <w:rPr>
                        <w:rFonts w:ascii="Cambria Math" w:eastAsia="Times New Roman" w:hAnsi="Cambria Math" w:cstheme="minorHAnsi"/>
                      </w:rPr>
                      <m:t>i</m:t>
                    </m:r>
                  </m:sub>
                </m:sSub>
                <m:sSub>
                  <m:sSubPr>
                    <m:ctrlPr>
                      <w:rPr>
                        <w:rFonts w:ascii="Cambria Math" w:eastAsia="Times New Roman" w:hAnsi="Cambria Math" w:cstheme="minorHAnsi"/>
                        <w:i/>
                      </w:rPr>
                    </m:ctrlPr>
                  </m:sSubPr>
                  <m:e>
                    <m:r>
                      <w:rPr>
                        <w:rFonts w:ascii="Cambria Math" w:eastAsia="Times New Roman" w:hAnsi="Cambria Math" w:cstheme="minorHAnsi"/>
                      </w:rPr>
                      <m:t>s</m:t>
                    </m:r>
                  </m:e>
                  <m:sub>
                    <m:r>
                      <w:rPr>
                        <w:rFonts w:ascii="Cambria Math" w:eastAsia="Times New Roman" w:hAnsi="Cambria Math" w:cstheme="minorHAnsi"/>
                      </w:rPr>
                      <m:t>i</m:t>
                    </m:r>
                  </m:sub>
                </m:sSub>
                <m:r>
                  <w:rPr>
                    <w:rFonts w:ascii="Cambria Math" w:eastAsia="Times New Roman" w:hAnsi="Cambria Math" w:cstheme="minorHAnsi"/>
                  </w:rPr>
                  <m:t xml:space="preserve">= </m:t>
                </m:r>
                <m:sSub>
                  <m:sSubPr>
                    <m:ctrlPr>
                      <w:rPr>
                        <w:rFonts w:ascii="Cambria Math" w:eastAsia="Times New Roman" w:hAnsi="Cambria Math" w:cstheme="minorHAnsi"/>
                        <w:i/>
                      </w:rPr>
                    </m:ctrlPr>
                  </m:sSubPr>
                  <m:e>
                    <m:r>
                      <w:rPr>
                        <w:rFonts w:ascii="Cambria Math" w:eastAsia="Times New Roman" w:hAnsi="Cambria Math" w:cstheme="minorHAnsi"/>
                      </w:rPr>
                      <m:t>ε</m:t>
                    </m:r>
                  </m:e>
                  <m:sub>
                    <m:r>
                      <w:rPr>
                        <w:rFonts w:ascii="Cambria Math" w:eastAsia="Times New Roman" w:hAnsi="Cambria Math" w:cstheme="minorHAnsi"/>
                      </w:rPr>
                      <m:t>i</m:t>
                    </m:r>
                  </m:sub>
                </m:sSub>
                <m:r>
                  <w:rPr>
                    <w:rFonts w:ascii="Cambria Math" w:eastAsia="Times New Roman" w:hAnsi="Cambria Math" w:cstheme="minorHAnsi"/>
                  </w:rPr>
                  <m:t>,  i∈</m:t>
                </m:r>
                <m:d>
                  <m:dPr>
                    <m:begChr m:val="["/>
                    <m:endChr m:val="]"/>
                    <m:ctrlPr>
                      <w:rPr>
                        <w:rFonts w:ascii="Cambria Math" w:eastAsia="Times New Roman" w:hAnsi="Cambria Math" w:cstheme="minorHAnsi"/>
                        <w:i/>
                      </w:rPr>
                    </m:ctrlPr>
                  </m:dPr>
                  <m:e>
                    <m:r>
                      <w:rPr>
                        <w:rFonts w:ascii="Cambria Math" w:eastAsia="Times New Roman" w:hAnsi="Cambria Math" w:cstheme="minorHAnsi"/>
                      </w:rPr>
                      <m:t>2,n</m:t>
                    </m:r>
                  </m:e>
                </m:d>
                <m:r>
                  <w:rPr>
                    <w:rFonts w:ascii="Cambria Math" w:eastAsia="Times New Roman" w:hAnsi="Cambria Math" w:cstheme="minorHAnsi"/>
                  </w:rPr>
                  <m:t xml:space="preserve">,  </m:t>
                </m:r>
                <m:sSub>
                  <m:sSubPr>
                    <m:ctrlPr>
                      <w:rPr>
                        <w:rFonts w:ascii="Cambria Math" w:eastAsia="Times New Roman" w:hAnsi="Cambria Math" w:cstheme="minorHAnsi"/>
                        <w:i/>
                      </w:rPr>
                    </m:ctrlPr>
                  </m:sSubPr>
                  <m:e>
                    <m:r>
                      <w:rPr>
                        <w:rFonts w:ascii="Cambria Math" w:eastAsia="Times New Roman" w:hAnsi="Cambria Math" w:cstheme="minorHAnsi"/>
                      </w:rPr>
                      <m:t>s</m:t>
                    </m:r>
                  </m:e>
                  <m:sub>
                    <m:r>
                      <w:rPr>
                        <w:rFonts w:ascii="Cambria Math" w:eastAsia="Times New Roman" w:hAnsi="Cambria Math" w:cstheme="minorHAnsi"/>
                      </w:rPr>
                      <m:t>i</m:t>
                    </m:r>
                  </m:sub>
                </m:sSub>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R</m:t>
                    </m:r>
                  </m:e>
                  <m:sup>
                    <m:r>
                      <w:rPr>
                        <w:rFonts w:ascii="Cambria Math" w:eastAsia="Times New Roman" w:hAnsi="Cambria Math" w:cstheme="minorHAnsi"/>
                      </w:rPr>
                      <m:t>+</m:t>
                    </m:r>
                  </m:sup>
                </m:sSup>
              </m:oMath>
            </m:oMathPara>
          </w:p>
        </w:tc>
        <w:tc>
          <w:tcPr>
            <w:tcW w:w="350" w:type="pct"/>
            <w:vAlign w:val="center"/>
          </w:tcPr>
          <w:p w14:paraId="706A8B51" w14:textId="77777777" w:rsidR="00E91B61" w:rsidRPr="00402035" w:rsidRDefault="00E91B61" w:rsidP="00E15D8F">
            <w:pPr>
              <w:pStyle w:val="Caption"/>
              <w:spacing w:before="0"/>
              <w:jc w:val="center"/>
              <w:rPr>
                <w:i w:val="0"/>
                <w:iCs w:val="0"/>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25</w:t>
            </w:r>
            <w:r w:rsidRPr="00402035">
              <w:rPr>
                <w:i w:val="0"/>
                <w:iCs w:val="0"/>
                <w:color w:val="auto"/>
                <w:sz w:val="22"/>
                <w:szCs w:val="24"/>
              </w:rPr>
              <w:fldChar w:fldCharType="end"/>
            </w:r>
            <w:r w:rsidRPr="00402035">
              <w:rPr>
                <w:i w:val="0"/>
                <w:iCs w:val="0"/>
                <w:color w:val="auto"/>
                <w:sz w:val="22"/>
                <w:szCs w:val="24"/>
              </w:rPr>
              <w:t>)</w:t>
            </w:r>
          </w:p>
        </w:tc>
      </w:tr>
    </w:tbl>
    <w:p w14:paraId="4C57D358" w14:textId="77777777" w:rsidR="00E91B61" w:rsidRDefault="00E91B61" w:rsidP="00E91B61">
      <w:r>
        <w:t>By parametrical variation of the RHS of the constrained objective functions (</w:t>
      </w:r>
      <w:proofErr w:type="spellStart"/>
      <w:r w:rsidRPr="00A45071">
        <w:rPr>
          <w:i/>
          <w:iCs/>
        </w:rPr>
        <w:t>e</w:t>
      </w:r>
      <w:r w:rsidRPr="00A45071">
        <w:rPr>
          <w:i/>
          <w:iCs/>
          <w:vertAlign w:val="subscript"/>
        </w:rPr>
        <w:t>i</w:t>
      </w:r>
      <w:proofErr w:type="spellEnd"/>
      <w:r>
        <w:t xml:space="preserve">) the Pareto-optimal solutions of the model are found, where </w:t>
      </w:r>
      <w:proofErr w:type="spellStart"/>
      <w:r>
        <w:rPr>
          <w:i/>
          <w:iCs/>
        </w:rPr>
        <w:t>r</w:t>
      </w:r>
      <w:r>
        <w:rPr>
          <w:i/>
          <w:iCs/>
          <w:vertAlign w:val="subscript"/>
        </w:rPr>
        <w:t>i</w:t>
      </w:r>
      <w:proofErr w:type="spellEnd"/>
      <w:r>
        <w:t xml:space="preserve"> is the range of the </w:t>
      </w:r>
      <w:proofErr w:type="spellStart"/>
      <w:r>
        <w:rPr>
          <w:i/>
          <w:iCs/>
        </w:rPr>
        <w:t>i</w:t>
      </w:r>
      <w:proofErr w:type="spellEnd"/>
      <w:r>
        <w:rPr>
          <w:i/>
          <w:iCs/>
        </w:rPr>
        <w:t xml:space="preserve"> </w:t>
      </w:r>
      <w:proofErr w:type="spellStart"/>
      <w:r>
        <w:t>th</w:t>
      </w:r>
      <w:proofErr w:type="spellEnd"/>
      <w:r>
        <w:t xml:space="preserve"> objective function, </w:t>
      </w:r>
      <w:r>
        <w:rPr>
          <w:rFonts w:cstheme="minorHAnsi"/>
        </w:rPr>
        <w:t>∂</w:t>
      </w:r>
      <w:r>
        <w:t xml:space="preserve"> is a small number (usually between 10</w:t>
      </w:r>
      <w:r>
        <w:rPr>
          <w:vertAlign w:val="superscript"/>
        </w:rPr>
        <w:t>-3</w:t>
      </w:r>
      <w:r>
        <w:t xml:space="preserve"> and 10</w:t>
      </w:r>
      <w:r>
        <w:rPr>
          <w:vertAlign w:val="superscript"/>
        </w:rPr>
        <w:t>-6</w:t>
      </w:r>
      <w:r>
        <w:t xml:space="preserve">), </w:t>
      </w:r>
      <w:proofErr w:type="spellStart"/>
      <w:r>
        <w:rPr>
          <w:i/>
          <w:iCs/>
        </w:rPr>
        <w:t>s</w:t>
      </w:r>
      <w:r>
        <w:rPr>
          <w:i/>
          <w:iCs/>
          <w:vertAlign w:val="subscript"/>
        </w:rPr>
        <w:t>i</w:t>
      </w:r>
      <w:proofErr w:type="spellEnd"/>
      <w:r>
        <w:t xml:space="preserve"> is a non-negative slack variable, and </w:t>
      </w:r>
      <w:proofErr w:type="spellStart"/>
      <w:r>
        <w:rPr>
          <w:i/>
          <w:iCs/>
        </w:rPr>
        <w:t>dir</w:t>
      </w:r>
      <w:r>
        <w:rPr>
          <w:i/>
          <w:iCs/>
          <w:vertAlign w:val="subscript"/>
        </w:rPr>
        <w:t>i</w:t>
      </w:r>
      <w:proofErr w:type="spellEnd"/>
      <w:r>
        <w:rPr>
          <w:i/>
          <w:iCs/>
        </w:rPr>
        <w:t xml:space="preserve"> </w:t>
      </w:r>
      <w:r w:rsidRPr="002A7E8C">
        <w:t>is the direction of the</w:t>
      </w:r>
      <w:r>
        <w:rPr>
          <w:i/>
          <w:iCs/>
        </w:rPr>
        <w:t xml:space="preserve"> </w:t>
      </w:r>
      <w:proofErr w:type="spellStart"/>
      <w:r>
        <w:rPr>
          <w:i/>
          <w:iCs/>
        </w:rPr>
        <w:t>i</w:t>
      </w:r>
      <w:proofErr w:type="spellEnd"/>
      <w:r>
        <w:rPr>
          <w:i/>
          <w:iCs/>
        </w:rPr>
        <w:t xml:space="preserve"> </w:t>
      </w:r>
      <w:proofErr w:type="spellStart"/>
      <w:r>
        <w:t>th</w:t>
      </w:r>
      <w:proofErr w:type="spellEnd"/>
      <w:r>
        <w:t xml:space="preserve"> objective function, that is equal to -1 when the </w:t>
      </w:r>
      <w:proofErr w:type="spellStart"/>
      <w:r>
        <w:rPr>
          <w:i/>
          <w:iCs/>
        </w:rPr>
        <w:t>i</w:t>
      </w:r>
      <w:proofErr w:type="spellEnd"/>
      <w:r>
        <w:rPr>
          <w:i/>
          <w:iCs/>
        </w:rPr>
        <w:t xml:space="preserve"> </w:t>
      </w:r>
      <w:proofErr w:type="spellStart"/>
      <w:r>
        <w:t>th</w:t>
      </w:r>
      <w:proofErr w:type="spellEnd"/>
      <w:r>
        <w:t xml:space="preserve"> objective function should be minimised, and equal to +1 when the </w:t>
      </w:r>
      <w:proofErr w:type="spellStart"/>
      <w:r>
        <w:rPr>
          <w:i/>
          <w:iCs/>
        </w:rPr>
        <w:t>i</w:t>
      </w:r>
      <w:proofErr w:type="spellEnd"/>
      <w:r>
        <w:rPr>
          <w:i/>
          <w:iCs/>
        </w:rPr>
        <w:t xml:space="preserve"> </w:t>
      </w:r>
      <w:proofErr w:type="spellStart"/>
      <w:r>
        <w:t>th</w:t>
      </w:r>
      <w:proofErr w:type="spellEnd"/>
      <w:r>
        <w:t xml:space="preserve"> objective function should be maximised. The</w:t>
      </w:r>
      <w:r w:rsidRPr="00F727EC">
        <w:rPr>
          <w:i/>
          <w:iCs/>
        </w:rPr>
        <w:t xml:space="preserve"> </w:t>
      </w:r>
      <w:proofErr w:type="spellStart"/>
      <w:r w:rsidRPr="00F727EC">
        <w:rPr>
          <w:i/>
          <w:iCs/>
        </w:rPr>
        <w:t>NIS</w:t>
      </w:r>
      <w:r w:rsidRPr="00F727EC">
        <w:rPr>
          <w:i/>
          <w:iCs/>
          <w:vertAlign w:val="subscript"/>
        </w:rPr>
        <w:t>fi</w:t>
      </w:r>
      <w:proofErr w:type="spellEnd"/>
      <w:r>
        <w:t xml:space="preserve"> and </w:t>
      </w:r>
      <w:proofErr w:type="spellStart"/>
      <w:r w:rsidRPr="00F727EC">
        <w:rPr>
          <w:i/>
          <w:iCs/>
        </w:rPr>
        <w:t>PIS</w:t>
      </w:r>
      <w:r w:rsidRPr="00F727EC">
        <w:rPr>
          <w:i/>
          <w:iCs/>
          <w:vertAlign w:val="subscript"/>
        </w:rPr>
        <w:t>fi</w:t>
      </w:r>
      <w:proofErr w:type="spellEnd"/>
      <w:r>
        <w:t xml:space="preserve"> for each objective function are calculated and then the range of the </w:t>
      </w:r>
      <w:proofErr w:type="spellStart"/>
      <w:r>
        <w:rPr>
          <w:i/>
          <w:iCs/>
        </w:rPr>
        <w:t>i</w:t>
      </w:r>
      <w:proofErr w:type="spellEnd"/>
      <w:r>
        <w:rPr>
          <w:i/>
          <w:iCs/>
        </w:rPr>
        <w:t xml:space="preserve"> </w:t>
      </w:r>
      <w:proofErr w:type="spellStart"/>
      <w:r>
        <w:t>th</w:t>
      </w:r>
      <w:proofErr w:type="spellEnd"/>
      <w:r>
        <w:t xml:space="preserve"> objective function is calculated by:</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13888F68" w14:textId="77777777" w:rsidTr="00E15D8F">
        <w:tc>
          <w:tcPr>
            <w:tcW w:w="350" w:type="pct"/>
          </w:tcPr>
          <w:p w14:paraId="6053C569" w14:textId="77777777" w:rsidR="00E91B61" w:rsidRPr="00483DA3" w:rsidRDefault="00E91B61" w:rsidP="00E15D8F">
            <w:pPr>
              <w:spacing w:before="0" w:after="0"/>
              <w:rPr>
                <w:rFonts w:cs="Times New Roman"/>
                <w:sz w:val="24"/>
                <w:szCs w:val="24"/>
              </w:rPr>
            </w:pPr>
          </w:p>
        </w:tc>
        <w:tc>
          <w:tcPr>
            <w:tcW w:w="4300" w:type="pct"/>
            <w:vAlign w:val="center"/>
          </w:tcPr>
          <w:p w14:paraId="08C9434F" w14:textId="77777777" w:rsidR="00E91B61" w:rsidRPr="00483DA3" w:rsidRDefault="00E91B61" w:rsidP="00E15D8F">
            <w:pPr>
              <w:spacing w:before="0" w:after="0"/>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PIS</m:t>
                    </m:r>
                  </m:e>
                  <m:sub>
                    <m:r>
                      <w:rPr>
                        <w:rFonts w:ascii="Cambria Math" w:hAnsi="Cambria Math" w:cs="Times New Roman"/>
                        <w:sz w:val="24"/>
                        <w:szCs w:val="24"/>
                      </w:rPr>
                      <m:t>fi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NIS</m:t>
                    </m:r>
                  </m:e>
                  <m:sub>
                    <m:r>
                      <w:rPr>
                        <w:rFonts w:ascii="Cambria Math" w:hAnsi="Cambria Math" w:cs="Times New Roman"/>
                        <w:sz w:val="24"/>
                        <w:szCs w:val="24"/>
                      </w:rPr>
                      <m:t>fi</m:t>
                    </m:r>
                  </m:sub>
                </m:sSub>
              </m:oMath>
            </m:oMathPara>
          </w:p>
        </w:tc>
        <w:tc>
          <w:tcPr>
            <w:tcW w:w="350" w:type="pct"/>
            <w:vAlign w:val="center"/>
          </w:tcPr>
          <w:p w14:paraId="2C27F256" w14:textId="77777777" w:rsidR="00E91B61" w:rsidRPr="00402035" w:rsidRDefault="00E91B61" w:rsidP="00E15D8F">
            <w:pPr>
              <w:pStyle w:val="Caption"/>
              <w:spacing w:before="0"/>
              <w:jc w:val="center"/>
              <w:rPr>
                <w:rFonts w:cs="Times New Roman"/>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26</w:t>
            </w:r>
            <w:r w:rsidRPr="00402035">
              <w:rPr>
                <w:i w:val="0"/>
                <w:iCs w:val="0"/>
                <w:color w:val="auto"/>
                <w:sz w:val="22"/>
                <w:szCs w:val="24"/>
              </w:rPr>
              <w:fldChar w:fldCharType="end"/>
            </w:r>
            <w:r w:rsidRPr="00402035">
              <w:rPr>
                <w:i w:val="0"/>
                <w:iCs w:val="0"/>
                <w:color w:val="auto"/>
                <w:sz w:val="22"/>
                <w:szCs w:val="24"/>
              </w:rPr>
              <w:t>)</w:t>
            </w:r>
          </w:p>
        </w:tc>
      </w:tr>
    </w:tbl>
    <w:p w14:paraId="78F24B2A" w14:textId="77777777" w:rsidR="00E91B61" w:rsidRDefault="00E91B61" w:rsidP="00E91B61">
      <w:r>
        <w:t xml:space="preserve">Next, </w:t>
      </w:r>
      <w:proofErr w:type="spellStart"/>
      <w:r>
        <w:rPr>
          <w:i/>
          <w:iCs/>
        </w:rPr>
        <w:t>r</w:t>
      </w:r>
      <w:r>
        <w:rPr>
          <w:i/>
          <w:iCs/>
          <w:vertAlign w:val="subscript"/>
        </w:rPr>
        <w:t>i</w:t>
      </w:r>
      <w:proofErr w:type="spellEnd"/>
      <w:r>
        <w:t xml:space="preserve"> is divided into </w:t>
      </w:r>
      <w:r>
        <w:rPr>
          <w:i/>
          <w:iCs/>
        </w:rPr>
        <w:t>l</w:t>
      </w:r>
      <w:r>
        <w:rPr>
          <w:i/>
          <w:iCs/>
          <w:vertAlign w:val="subscript"/>
        </w:rPr>
        <w:t>i</w:t>
      </w:r>
      <w:r>
        <w:t xml:space="preserve"> equal intervals. Subsequently, </w:t>
      </w:r>
      <w:r>
        <w:rPr>
          <w:i/>
          <w:iCs/>
        </w:rPr>
        <w:t>l</w:t>
      </w:r>
      <w:r>
        <w:rPr>
          <w:i/>
          <w:iCs/>
          <w:vertAlign w:val="subscript"/>
        </w:rPr>
        <w:t>i</w:t>
      </w:r>
      <w:r>
        <w:t xml:space="preserve"> + 1 grip point are achieved by the following equation which are set as the values of </w:t>
      </w:r>
      <w:proofErr w:type="spellStart"/>
      <w:r>
        <w:rPr>
          <w:rFonts w:cstheme="minorHAnsi"/>
          <w:i/>
          <w:iCs/>
        </w:rPr>
        <w:t>ε</w:t>
      </w:r>
      <w:r>
        <w:rPr>
          <w:i/>
          <w:iCs/>
          <w:vertAlign w:val="subscript"/>
        </w:rPr>
        <w:t>i</w:t>
      </w:r>
      <w:proofErr w:type="spellEnd"/>
      <w:r>
        <w:t>.</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42E3F9E8" w14:textId="77777777" w:rsidTr="00E15D8F">
        <w:tc>
          <w:tcPr>
            <w:tcW w:w="350" w:type="pct"/>
          </w:tcPr>
          <w:p w14:paraId="023A87EB" w14:textId="77777777" w:rsidR="00E91B61" w:rsidRPr="00483DA3" w:rsidRDefault="00E91B61" w:rsidP="00E15D8F">
            <w:pPr>
              <w:spacing w:before="0" w:after="0"/>
              <w:rPr>
                <w:rFonts w:cs="Times New Roman"/>
                <w:sz w:val="24"/>
                <w:szCs w:val="24"/>
              </w:rPr>
            </w:pPr>
          </w:p>
        </w:tc>
        <w:tc>
          <w:tcPr>
            <w:tcW w:w="4300" w:type="pct"/>
            <w:vAlign w:val="center"/>
          </w:tcPr>
          <w:p w14:paraId="1A7CE703" w14:textId="77777777" w:rsidR="00E91B61" w:rsidRPr="00483DA3" w:rsidRDefault="00E91B61" w:rsidP="00E15D8F">
            <w:pPr>
              <w:spacing w:before="0" w:after="0"/>
              <w:jc w:val="center"/>
              <w:rPr>
                <w:rFonts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η</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NIS</m:t>
                    </m:r>
                  </m:e>
                  <m:sub>
                    <m:r>
                      <w:rPr>
                        <w:rFonts w:ascii="Cambria Math" w:hAnsi="Cambria Math" w:cs="Times New Roman"/>
                        <w:sz w:val="24"/>
                        <w:szCs w:val="24"/>
                      </w:rPr>
                      <m:t>fi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r>
                  <w:rPr>
                    <w:rFonts w:ascii="Cambria Math" w:hAnsi="Cambria Math" w:cs="Times New Roman"/>
                    <w:sz w:val="24"/>
                    <w:szCs w:val="24"/>
                  </w:rPr>
                  <m:t>*η</m:t>
                </m:r>
              </m:oMath>
            </m:oMathPara>
          </w:p>
        </w:tc>
        <w:tc>
          <w:tcPr>
            <w:tcW w:w="350" w:type="pct"/>
            <w:vAlign w:val="center"/>
          </w:tcPr>
          <w:p w14:paraId="44B7311D" w14:textId="77777777" w:rsidR="00E91B61" w:rsidRPr="00402035" w:rsidRDefault="00E91B61" w:rsidP="00E15D8F">
            <w:pPr>
              <w:pStyle w:val="Caption"/>
              <w:spacing w:before="0"/>
              <w:jc w:val="center"/>
              <w:rPr>
                <w:rFonts w:cs="Times New Roman"/>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27</w:t>
            </w:r>
            <w:r w:rsidRPr="00402035">
              <w:rPr>
                <w:i w:val="0"/>
                <w:iCs w:val="0"/>
                <w:color w:val="auto"/>
                <w:sz w:val="22"/>
                <w:szCs w:val="24"/>
              </w:rPr>
              <w:fldChar w:fldCharType="end"/>
            </w:r>
            <w:r w:rsidRPr="00402035">
              <w:rPr>
                <w:i w:val="0"/>
                <w:iCs w:val="0"/>
                <w:color w:val="auto"/>
                <w:sz w:val="22"/>
                <w:szCs w:val="24"/>
              </w:rPr>
              <w:t>)</w:t>
            </w:r>
          </w:p>
        </w:tc>
      </w:tr>
    </w:tbl>
    <w:p w14:paraId="3EF700FD" w14:textId="77777777" w:rsidR="00E91B61" w:rsidRDefault="00E91B61" w:rsidP="00E91B61">
      <w:pPr>
        <w:rPr>
          <w:rFonts w:eastAsiaTheme="minorEastAsia"/>
        </w:rPr>
      </w:pPr>
      <w:r>
        <w:t xml:space="preserve">where </w:t>
      </w:r>
      <w:r>
        <w:rPr>
          <w:rFonts w:cstheme="minorHAnsi"/>
        </w:rPr>
        <w:t>η</w:t>
      </w:r>
      <w:r>
        <w:t xml:space="preserve"> is the number of grid points. The model should be solved for each vector of </w:t>
      </w:r>
      <w:r>
        <w:rPr>
          <w:rFonts w:cstheme="minorHAnsi"/>
        </w:rPr>
        <w:t>ε</w:t>
      </w:r>
      <w:r>
        <w:t xml:space="preserve">, therefore, </w:t>
      </w:r>
      <m:oMath>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e>
        </m:nary>
      </m:oMath>
      <w:r>
        <w:rPr>
          <w:rFonts w:eastAsiaTheme="minorEastAsia"/>
        </w:rPr>
        <w:t xml:space="preserve"> optimisation sub-problems should be solved.</w:t>
      </w:r>
    </w:p>
    <w:p w14:paraId="24EDBD3B" w14:textId="77777777" w:rsidR="00E91B61" w:rsidRDefault="00E91B61" w:rsidP="00E91B61">
      <w:pPr>
        <w:rPr>
          <w:rFonts w:eastAsiaTheme="minorEastAsia"/>
        </w:rPr>
      </w:pPr>
      <w:r>
        <w:rPr>
          <w:rFonts w:eastAsiaTheme="minorEastAsia"/>
        </w:rPr>
        <w:t xml:space="preserve">In order to help the decision maker selection process for the most preferred Pareto-optimal solutions among all of the solutions, a fuzzy approach can be used as follows </w:t>
      </w:r>
      <w:r>
        <w:rPr>
          <w:rFonts w:eastAsiaTheme="minorEastAsia"/>
        </w:rPr>
        <w:fldChar w:fldCharType="begin" w:fldLock="1"/>
      </w:r>
      <w:r>
        <w:rPr>
          <w:rFonts w:eastAsiaTheme="minorEastAsia"/>
        </w:rPr>
        <w:instrText>ADDIN CSL_CITATION {"citationItems":[{"id":"ITEM-1","itemData":{"DOI":"10.1016/j.asoc.2011.02.022","ISSN":"15684946","abstract":"In this paper, a new multi-objective model for electricity market clearing, considering both voltage and dynamic security aspects of the power system, is proposed. The objective functions of the proposed model include offer cost, voltage stability margin (VSM) and corrected transient energy margin (CTEM). A new solution method incorporating the lexicographic optimization and augmented ε-constraint method is proposed to solve the multi-objective optimization problem. The New England test system is used to demonstrate the performance of the proposed method. The proposed strategy is also compared with the conventional ε-constraint technique. © 2011 Published by Elsevier B.V. All rights reserved.","author":[{"dropping-particle":"","family":"Aghaei","given":"J.","non-dropping-particle":"","parse-names":false,"suffix":""},{"dropping-particle":"","family":"Amjady","given":"N.","non-dropping-particle":"","parse-names":false,"suffix":""},{"dropping-particle":"","family":"Shayanfar","given":"H. A.","non-dropping-particle":"","parse-names":false,"suffix":""}],"container-title":"Applied Soft Computing Journal","id":"ITEM-1","issue":"4","issued":{"date-parts":[["2011"]]},"page":"3846–3858","title":"Multi-objective electricity market clearing considering dynamic security by lexicographic optimization and augmented epsilon constraint method","type":"article-journal","volume":"11"},"uris":["http://www.mendeley.com/documents/?uuid=8bf33c43-3dfb-4768-b21f-73900751b812"]},{"id":"ITEM-2","itemData":{"DOI":"10.1016/j.desal.2013.10.028","ISSN":"00119164","abstract":"This study proposes a multi-objective optimization (MOO) of reverse osmosis (RO) networks for seawater desalination. The membrane transport model takes into consideration of the longitudinal variation of the velocity, the pressure, and the concentration in the membrane modules. The RO network with three type energy recovery device options (pressure exchanger (PX), Hydraulic Turbocharger, and turbine) is introduced. Lexicographic optimization (for calculation of a more effective payoff table) and augmented ε-constraint method (to avoid inefficient Pareto solutions) are proposed to solve the MOO problem. A fuzzy decision maker is introduced to derive the most efficient solution among Pareto-optimal solutions. Firstly, different energy recovery option studies show that using PX is seen to be the most profitable option. Exergy analysis is used to evaluate the contribution of the equipments in energy degradation. Secondly, the proposed multi-objective framework simultaneously optimizes the total annualized cost (TAC) and energy consumption. With the increases of weighting for the main objective function: TAC, the most efficient solution moves to lower TAC direction. Finally, system recovery rate is added as the third objective function. It is reasonable to stay at the appropriate system recovery rather than to increase up to its limit and generating high energetic losses. © 2013 Elsevier B.V.","author":[{"dropping-particle":"","family":"Du","given":"Yawei","non-dropping-particle":"","parse-names":false,"suffix":""},{"dropping-particle":"","family":"Xie","given":"Lixin","non-dropping-particle":"","parse-names":false,"suffix":""},{"dropping-particle":"","family":"Liu","given":"Jie","non-dropping-particle":"","parse-names":false,"suffix":""},{"dropping-particle":"","family":"Wang","given":"Yuxin","non-dropping-particle":"","parse-names":false,"suffix":""},{"dropping-particle":"","family":"Xu","given":"Yingjun","non-dropping-particle":"","parse-names":false,"suffix":""},{"dropping-particle":"","family":"Wang","given":"Shichang","non-dropping-particle":"","parse-names":false,"suffix":""}],"container-title":"Desalination","id":"ITEM-2","issue":"1","issued":{"date-parts":[["2014"]]},"page":"66 - 81","title":"Multi-objective optimization of reverse osmosis networks by lexicographic optimization and augmented epsilon constraint method","type":"article-journal","volume":"333"},"uris":["http://www.mendeley.com/documents/?uuid=8c9bb3d1-5e18-4b5d-a221-ba3165402206"]}],"mendeley":{"formattedCitation":"(Aghaei, Amjady and Shayanfar, 2011; Du &lt;i&gt;et al.&lt;/i&gt;, 2014)","plainTextFormattedCitation":"(Aghaei, Amjady and Shayanfar, 2011; Du et al., 2014)","previouslyFormattedCitation":"(Aghaei, Amjady and Shayanfar, 2011; Du &lt;i&gt;et al.&lt;/i&gt;, 2014)"},"properties":{"noteIndex":0},"schema":"https://github.com/citation-style-language/schema/raw/master/csl-citation.json"}</w:instrText>
      </w:r>
      <w:r>
        <w:rPr>
          <w:rFonts w:eastAsiaTheme="minorEastAsia"/>
        </w:rPr>
        <w:fldChar w:fldCharType="separate"/>
      </w:r>
      <w:r w:rsidRPr="00C24A98">
        <w:rPr>
          <w:rFonts w:eastAsiaTheme="minorEastAsia"/>
          <w:noProof/>
        </w:rPr>
        <w:t xml:space="preserve">(Aghaei, Amjady and Shayanfar, 2011; Du </w:t>
      </w:r>
      <w:r w:rsidRPr="00C24A98">
        <w:rPr>
          <w:rFonts w:eastAsiaTheme="minorEastAsia"/>
          <w:i/>
          <w:noProof/>
        </w:rPr>
        <w:t>et al.</w:t>
      </w:r>
      <w:r w:rsidRPr="00C24A98">
        <w:rPr>
          <w:rFonts w:eastAsiaTheme="minorEastAsia"/>
          <w:noProof/>
        </w:rPr>
        <w:t>, 2014)</w:t>
      </w:r>
      <w:r>
        <w:rPr>
          <w:rFonts w:eastAsiaTheme="minorEastAsia"/>
        </w:rPr>
        <w:fldChar w:fldCharType="end"/>
      </w:r>
      <w:r>
        <w:rPr>
          <w:rFonts w:eastAsiaTheme="minorEastAsia"/>
        </w:rPr>
        <w:t>:</w:t>
      </w:r>
    </w:p>
    <w:tbl>
      <w:tblPr>
        <w:tblStyle w:val="TableGrid"/>
        <w:tblW w:w="5000" w:type="pct"/>
        <w:tblInd w:w="0" w:type="dxa"/>
        <w:tblLook w:val="04A0" w:firstRow="1" w:lastRow="0" w:firstColumn="1" w:lastColumn="0" w:noHBand="0" w:noVBand="1"/>
      </w:tblPr>
      <w:tblGrid>
        <w:gridCol w:w="795"/>
        <w:gridCol w:w="7439"/>
        <w:gridCol w:w="792"/>
      </w:tblGrid>
      <w:tr w:rsidR="00E91B61" w:rsidRPr="00483DA3" w14:paraId="078A2D59" w14:textId="77777777" w:rsidTr="00E15D8F">
        <w:tc>
          <w:tcPr>
            <w:tcW w:w="440" w:type="pct"/>
          </w:tcPr>
          <w:p w14:paraId="4F8159AC" w14:textId="77777777" w:rsidR="00E91B61" w:rsidRPr="00483DA3" w:rsidRDefault="00E91B61" w:rsidP="00E15D8F">
            <w:pPr>
              <w:spacing w:before="0" w:after="0"/>
              <w:rPr>
                <w:sz w:val="24"/>
                <w:szCs w:val="24"/>
              </w:rPr>
            </w:pPr>
          </w:p>
        </w:tc>
        <w:tc>
          <w:tcPr>
            <w:tcW w:w="4121" w:type="pct"/>
            <w:vAlign w:val="center"/>
          </w:tcPr>
          <w:p w14:paraId="305A0223" w14:textId="77777777" w:rsidR="00E91B61" w:rsidRPr="008A7F6C" w:rsidRDefault="00E91B61" w:rsidP="00E15D8F">
            <w:pPr>
              <w:spacing w:before="0" w:after="0"/>
              <w:jc w:val="center"/>
              <w:rPr>
                <w:sz w:val="24"/>
                <w:szCs w:val="24"/>
              </w:rPr>
            </w:pPr>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l</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e>
                      <m:e>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num>
                          <m:den>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den>
                        </m:f>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 xml:space="preserve">        </m:t>
                        </m:r>
                      </m:e>
                      <m:e>
                        <m:r>
                          <w:rPr>
                            <w:rFonts w:ascii="Cambria Math" w:hAnsi="Cambria Math"/>
                          </w:rPr>
                          <m:t xml:space="preserve">0,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e>
                    </m:eqArr>
                    <m:r>
                      <w:rPr>
                        <w:rFonts w:ascii="Cambria Math" w:hAnsi="Cambria Math"/>
                      </w:rPr>
                      <m:t xml:space="preserve"> for minimization</m:t>
                    </m:r>
                  </m:e>
                </m:d>
              </m:oMath>
            </m:oMathPara>
          </w:p>
        </w:tc>
        <w:tc>
          <w:tcPr>
            <w:tcW w:w="439" w:type="pct"/>
            <w:vAlign w:val="center"/>
          </w:tcPr>
          <w:p w14:paraId="0810CCB7" w14:textId="77777777" w:rsidR="00E91B61" w:rsidRPr="009A3BBB" w:rsidRDefault="00E91B61" w:rsidP="00E15D8F">
            <w:pPr>
              <w:pStyle w:val="Caption"/>
              <w:spacing w:before="0"/>
              <w:jc w:val="center"/>
              <w:rPr>
                <w:i w:val="0"/>
                <w:iCs w:val="0"/>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28</w:t>
            </w:r>
            <w:r w:rsidRPr="00402035">
              <w:rPr>
                <w:i w:val="0"/>
                <w:iCs w:val="0"/>
                <w:color w:val="auto"/>
                <w:sz w:val="22"/>
                <w:szCs w:val="24"/>
              </w:rPr>
              <w:fldChar w:fldCharType="end"/>
            </w:r>
            <w:r w:rsidRPr="00402035">
              <w:rPr>
                <w:i w:val="0"/>
                <w:iCs w:val="0"/>
                <w:color w:val="auto"/>
                <w:sz w:val="22"/>
                <w:szCs w:val="24"/>
              </w:rPr>
              <w:t>)</w:t>
            </w:r>
          </w:p>
        </w:tc>
      </w:tr>
      <w:tr w:rsidR="00E91B61" w:rsidRPr="00483DA3" w14:paraId="4AEAC7C3" w14:textId="77777777" w:rsidTr="00E15D8F">
        <w:tc>
          <w:tcPr>
            <w:tcW w:w="440" w:type="pct"/>
          </w:tcPr>
          <w:p w14:paraId="5AFA70E5" w14:textId="77777777" w:rsidR="00E91B61" w:rsidRPr="00483DA3" w:rsidRDefault="00E91B61" w:rsidP="00E15D8F">
            <w:pPr>
              <w:spacing w:after="0"/>
              <w:rPr>
                <w:sz w:val="24"/>
                <w:szCs w:val="24"/>
              </w:rPr>
            </w:pPr>
          </w:p>
        </w:tc>
        <w:tc>
          <w:tcPr>
            <w:tcW w:w="4121" w:type="pct"/>
            <w:vAlign w:val="center"/>
          </w:tcPr>
          <w:p w14:paraId="54C9D88F" w14:textId="77777777" w:rsidR="00E91B61" w:rsidRPr="008A7F6C" w:rsidRDefault="00E91B61" w:rsidP="00E15D8F">
            <w:pPr>
              <w:spacing w:after="0"/>
              <w:jc w:val="center"/>
              <w:rPr>
                <w:sz w:val="24"/>
                <w:szCs w:val="24"/>
              </w:rPr>
            </w:pPr>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l</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e>
                      <m:e>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num>
                          <m:den>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den>
                        </m:f>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 xml:space="preserve">         </m:t>
                        </m:r>
                      </m:e>
                      <m:e>
                        <m:r>
                          <w:rPr>
                            <w:rFonts w:ascii="Cambria Math" w:hAnsi="Cambria Math"/>
                          </w:rPr>
                          <m:t xml:space="preserve">1,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e>
                    </m:eqArr>
                  </m:e>
                </m:d>
                <m:r>
                  <w:rPr>
                    <w:rFonts w:ascii="Cambria Math" w:hAnsi="Cambria Math"/>
                  </w:rPr>
                  <m:t xml:space="preserve"> for maximization</m:t>
                </m:r>
              </m:oMath>
            </m:oMathPara>
          </w:p>
        </w:tc>
        <w:tc>
          <w:tcPr>
            <w:tcW w:w="439" w:type="pct"/>
            <w:vAlign w:val="center"/>
          </w:tcPr>
          <w:p w14:paraId="5E85B7D8" w14:textId="77777777" w:rsidR="00E91B61" w:rsidRPr="009A3BBB" w:rsidRDefault="00E91B61" w:rsidP="00E15D8F">
            <w:pPr>
              <w:pStyle w:val="Caption"/>
              <w:spacing w:before="200"/>
              <w:jc w:val="center"/>
              <w:rPr>
                <w:i w:val="0"/>
                <w:iCs w:val="0"/>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29</w:t>
            </w:r>
            <w:r w:rsidRPr="00402035">
              <w:rPr>
                <w:i w:val="0"/>
                <w:iCs w:val="0"/>
                <w:color w:val="auto"/>
                <w:sz w:val="22"/>
                <w:szCs w:val="24"/>
              </w:rPr>
              <w:fldChar w:fldCharType="end"/>
            </w:r>
            <w:r w:rsidRPr="00402035">
              <w:rPr>
                <w:i w:val="0"/>
                <w:iCs w:val="0"/>
                <w:color w:val="auto"/>
                <w:sz w:val="22"/>
                <w:szCs w:val="24"/>
              </w:rPr>
              <w:t>)</w:t>
            </w:r>
          </w:p>
        </w:tc>
      </w:tr>
    </w:tbl>
    <w:p w14:paraId="2BFE6C11" w14:textId="77777777" w:rsidR="00E91B61" w:rsidRDefault="00E91B61" w:rsidP="00E91B61">
      <w:pPr>
        <w:rPr>
          <w:rFonts w:eastAsiaTheme="minorEastAsia"/>
          <w:lang w:eastAsia="en-IE"/>
        </w:rPr>
      </w:pPr>
      <w:r>
        <w:t xml:space="preserve">where </w:t>
      </w:r>
      <m:oMath>
        <m:sSubSup>
          <m:sSubSupPr>
            <m:ctrlPr>
              <w:rPr>
                <w:rFonts w:ascii="Cambria Math" w:eastAsiaTheme="minorEastAsia" w:hAnsi="Cambria Math"/>
                <w:i/>
                <w:lang w:eastAsia="en-IE"/>
              </w:rPr>
            </m:ctrlPr>
          </m:sSubSupPr>
          <m:e>
            <m:r>
              <w:rPr>
                <w:rFonts w:ascii="Cambria Math" w:hAnsi="Cambria Math"/>
              </w:rPr>
              <m:t>f</m:t>
            </m:r>
          </m:e>
          <m:sub>
            <m:r>
              <w:rPr>
                <w:rFonts w:ascii="Cambria Math" w:hAnsi="Cambria Math"/>
              </w:rPr>
              <m:t>i</m:t>
            </m:r>
          </m:sub>
          <m:sup>
            <m:r>
              <w:rPr>
                <w:rFonts w:ascii="Cambria Math" w:hAnsi="Cambria Math"/>
              </w:rPr>
              <m:t>l</m:t>
            </m:r>
          </m:sup>
        </m:sSubSup>
      </m:oMath>
      <w:r>
        <w:rPr>
          <w:rFonts w:eastAsiaTheme="minorEastAsia"/>
          <w:lang w:eastAsia="en-IE"/>
        </w:rPr>
        <w:t xml:space="preserve"> shows the value of </w:t>
      </w:r>
      <w:proofErr w:type="spellStart"/>
      <w:r>
        <w:rPr>
          <w:rFonts w:eastAsiaTheme="minorEastAsia"/>
          <w:i/>
          <w:iCs/>
          <w:lang w:eastAsia="en-IE"/>
        </w:rPr>
        <w:t>i</w:t>
      </w:r>
      <w:proofErr w:type="spellEnd"/>
      <w:r>
        <w:rPr>
          <w:rFonts w:eastAsiaTheme="minorEastAsia"/>
          <w:i/>
          <w:iCs/>
          <w:lang w:eastAsia="en-IE"/>
        </w:rPr>
        <w:t xml:space="preserve"> </w:t>
      </w:r>
      <w:proofErr w:type="spellStart"/>
      <w:r>
        <w:rPr>
          <w:rFonts w:eastAsiaTheme="minorEastAsia"/>
          <w:lang w:eastAsia="en-IE"/>
        </w:rPr>
        <w:t>th</w:t>
      </w:r>
      <w:proofErr w:type="spellEnd"/>
      <w:r>
        <w:rPr>
          <w:rFonts w:eastAsiaTheme="minorEastAsia"/>
          <w:lang w:eastAsia="en-IE"/>
        </w:rPr>
        <w:t xml:space="preserve"> objective function in </w:t>
      </w:r>
      <w:r w:rsidRPr="008C51C0">
        <w:rPr>
          <w:rFonts w:ascii="Cambria Math" w:eastAsiaTheme="minorEastAsia" w:hAnsi="Cambria Math"/>
          <w:i/>
          <w:iCs/>
          <w:lang w:eastAsia="en-IE"/>
        </w:rPr>
        <w:t xml:space="preserve">l </w:t>
      </w:r>
      <w:proofErr w:type="spellStart"/>
      <w:r w:rsidRPr="008C51C0">
        <w:rPr>
          <w:rFonts w:eastAsiaTheme="minorEastAsia" w:cs="Tahoma"/>
          <w:lang w:eastAsia="en-IE"/>
        </w:rPr>
        <w:t>th</w:t>
      </w:r>
      <w:proofErr w:type="spellEnd"/>
      <w:r>
        <w:rPr>
          <w:rFonts w:eastAsiaTheme="minorEastAsia"/>
          <w:lang w:eastAsia="en-IE"/>
        </w:rPr>
        <w:t xml:space="preserve"> Pareto-optimal solution. </w:t>
      </w:r>
      <m:oMath>
        <m:sSubSup>
          <m:sSubSupPr>
            <m:ctrlPr>
              <w:rPr>
                <w:rFonts w:ascii="Cambria Math" w:eastAsiaTheme="minorEastAsia" w:hAnsi="Cambria Math"/>
                <w:i/>
                <w:lang w:eastAsia="en-IE"/>
              </w:rPr>
            </m:ctrlPr>
          </m:sSubSupPr>
          <m:e>
            <m:r>
              <w:rPr>
                <w:rFonts w:ascii="Cambria Math" w:hAnsi="Cambria Math"/>
              </w:rPr>
              <m:t>α</m:t>
            </m:r>
          </m:e>
          <m:sub>
            <m:r>
              <w:rPr>
                <w:rFonts w:ascii="Cambria Math" w:hAnsi="Cambria Math"/>
              </w:rPr>
              <m:t>i</m:t>
            </m:r>
          </m:sub>
          <m:sup>
            <m:r>
              <w:rPr>
                <w:rFonts w:ascii="Cambria Math" w:hAnsi="Cambria Math"/>
              </w:rPr>
              <m:t>l</m:t>
            </m:r>
          </m:sup>
        </m:sSubSup>
      </m:oMath>
      <w:r>
        <w:rPr>
          <w:rFonts w:eastAsiaTheme="minorEastAsia"/>
          <w:lang w:eastAsia="en-IE"/>
        </w:rPr>
        <w:t xml:space="preserve"> represents the value of membership function of </w:t>
      </w:r>
      <m:oMath>
        <m:sSubSup>
          <m:sSubSupPr>
            <m:ctrlPr>
              <w:rPr>
                <w:rFonts w:ascii="Cambria Math" w:eastAsiaTheme="minorEastAsia" w:hAnsi="Cambria Math"/>
                <w:i/>
                <w:lang w:eastAsia="en-IE"/>
              </w:rPr>
            </m:ctrlPr>
          </m:sSubSupPr>
          <m:e>
            <m:r>
              <w:rPr>
                <w:rFonts w:ascii="Cambria Math" w:hAnsi="Cambria Math"/>
              </w:rPr>
              <m:t>f</m:t>
            </m:r>
          </m:e>
          <m:sub>
            <m:r>
              <w:rPr>
                <w:rFonts w:ascii="Cambria Math" w:hAnsi="Cambria Math"/>
              </w:rPr>
              <m:t>i</m:t>
            </m:r>
          </m:sub>
          <m:sup>
            <m:r>
              <w:rPr>
                <w:rFonts w:ascii="Cambria Math" w:hAnsi="Cambria Math"/>
              </w:rPr>
              <m:t>l</m:t>
            </m:r>
          </m:sup>
        </m:sSubSup>
      </m:oMath>
      <w:r>
        <w:rPr>
          <w:rFonts w:eastAsiaTheme="minorEastAsia"/>
          <w:lang w:eastAsia="en-IE"/>
        </w:rPr>
        <w:t xml:space="preserve">. The overall membership function (overall </w:t>
      </w:r>
      <w:r>
        <w:rPr>
          <w:rFonts w:eastAsiaTheme="minorEastAsia"/>
          <w:lang w:eastAsia="en-IE"/>
        </w:rPr>
        <w:lastRenderedPageBreak/>
        <w:t xml:space="preserve">degree of optimality) for </w:t>
      </w:r>
      <w:r w:rsidRPr="008C51C0">
        <w:rPr>
          <w:rFonts w:ascii="Cambria Math" w:eastAsiaTheme="minorEastAsia" w:hAnsi="Cambria Math"/>
          <w:i/>
          <w:iCs/>
          <w:lang w:eastAsia="en-IE"/>
        </w:rPr>
        <w:t xml:space="preserve">l </w:t>
      </w:r>
      <w:proofErr w:type="spellStart"/>
      <w:r w:rsidRPr="008C51C0">
        <w:rPr>
          <w:rFonts w:eastAsiaTheme="minorEastAsia" w:cs="Tahoma"/>
          <w:lang w:eastAsia="en-IE"/>
        </w:rPr>
        <w:t>th</w:t>
      </w:r>
      <w:proofErr w:type="spellEnd"/>
      <w:r>
        <w:rPr>
          <w:rFonts w:eastAsiaTheme="minorEastAsia"/>
          <w:lang w:eastAsia="en-IE"/>
        </w:rPr>
        <w:t xml:space="preserve"> Pareto-optimal solution was defined as the total value of sustainable purchasing (TVSP) is calculated by:</w:t>
      </w:r>
    </w:p>
    <w:tbl>
      <w:tblPr>
        <w:tblStyle w:val="TableGrid"/>
        <w:tblW w:w="5000" w:type="pct"/>
        <w:tblInd w:w="5" w:type="dxa"/>
        <w:tblLook w:val="04A0" w:firstRow="1" w:lastRow="0" w:firstColumn="1" w:lastColumn="0" w:noHBand="0" w:noVBand="1"/>
      </w:tblPr>
      <w:tblGrid>
        <w:gridCol w:w="632"/>
        <w:gridCol w:w="7762"/>
        <w:gridCol w:w="632"/>
      </w:tblGrid>
      <w:tr w:rsidR="00E91B61" w:rsidRPr="00483DA3" w14:paraId="0B9AA521" w14:textId="77777777" w:rsidTr="00E15D8F">
        <w:tc>
          <w:tcPr>
            <w:tcW w:w="350" w:type="pct"/>
          </w:tcPr>
          <w:p w14:paraId="5A84950D" w14:textId="77777777" w:rsidR="00E91B61" w:rsidRPr="00483DA3" w:rsidRDefault="00E91B61" w:rsidP="00E15D8F">
            <w:pPr>
              <w:spacing w:before="0"/>
              <w:rPr>
                <w:sz w:val="24"/>
                <w:szCs w:val="24"/>
              </w:rPr>
            </w:pPr>
          </w:p>
        </w:tc>
        <w:tc>
          <w:tcPr>
            <w:tcW w:w="4300" w:type="pct"/>
          </w:tcPr>
          <w:p w14:paraId="2B56FB80" w14:textId="77777777" w:rsidR="00E91B61" w:rsidRPr="00483DA3" w:rsidRDefault="00E91B61" w:rsidP="00E15D8F">
            <w:pPr>
              <w:spacing w:before="0"/>
              <w:rPr>
                <w:sz w:val="24"/>
                <w:szCs w:val="24"/>
              </w:rPr>
            </w:pPr>
            <m:oMathPara>
              <m:oMath>
                <m:sSup>
                  <m:sSupPr>
                    <m:ctrlPr>
                      <w:rPr>
                        <w:rFonts w:ascii="Cambria Math" w:hAnsi="Cambria Math"/>
                        <w:i/>
                      </w:rPr>
                    </m:ctrlPr>
                  </m:sSupPr>
                  <m:e>
                    <m:r>
                      <w:rPr>
                        <w:rFonts w:ascii="Cambria Math" w:hAnsi="Cambria Math"/>
                      </w:rPr>
                      <m:t>TVSP</m:t>
                    </m:r>
                  </m:e>
                  <m:sup>
                    <m:r>
                      <w:rPr>
                        <w:rFonts w:ascii="Cambria Math" w:hAnsi="Cambria Math"/>
                      </w:rPr>
                      <m:t>l</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l</m:t>
                        </m:r>
                      </m:sup>
                    </m:sSubSup>
                  </m:e>
                </m:nary>
                <m:r>
                  <w:rPr>
                    <w:rFonts w:ascii="Cambria Math" w:hAnsi="Cambria Math"/>
                  </w:rPr>
                  <m:t xml:space="preserve"> </m:t>
                </m:r>
              </m:oMath>
            </m:oMathPara>
          </w:p>
        </w:tc>
        <w:tc>
          <w:tcPr>
            <w:tcW w:w="350" w:type="pct"/>
            <w:vAlign w:val="center"/>
          </w:tcPr>
          <w:p w14:paraId="42FB26EE" w14:textId="77777777" w:rsidR="00E91B61" w:rsidRPr="00402035" w:rsidRDefault="00E91B61" w:rsidP="00E15D8F">
            <w:pPr>
              <w:pStyle w:val="Caption"/>
              <w:spacing w:before="0"/>
              <w:jc w:val="center"/>
              <w:rPr>
                <w:i w:val="0"/>
                <w:iCs w:val="0"/>
                <w:color w:val="auto"/>
                <w:sz w:val="22"/>
                <w:szCs w:val="24"/>
              </w:rPr>
            </w:pPr>
            <w:r w:rsidRPr="00402035">
              <w:rPr>
                <w:i w:val="0"/>
                <w:iCs w:val="0"/>
                <w:color w:val="auto"/>
                <w:sz w:val="22"/>
                <w:szCs w:val="24"/>
              </w:rPr>
              <w:t>(</w:t>
            </w:r>
            <w:r w:rsidRPr="00402035">
              <w:rPr>
                <w:i w:val="0"/>
                <w:iCs w:val="0"/>
                <w:color w:val="auto"/>
                <w:sz w:val="22"/>
                <w:szCs w:val="24"/>
              </w:rPr>
              <w:fldChar w:fldCharType="begin"/>
            </w:r>
            <w:r w:rsidRPr="00402035">
              <w:rPr>
                <w:i w:val="0"/>
                <w:iCs w:val="0"/>
                <w:color w:val="auto"/>
                <w:sz w:val="22"/>
                <w:szCs w:val="24"/>
              </w:rPr>
              <w:instrText xml:space="preserve"> SEQ Equation \* ARABIC </w:instrText>
            </w:r>
            <w:r w:rsidRPr="00402035">
              <w:rPr>
                <w:i w:val="0"/>
                <w:iCs w:val="0"/>
                <w:color w:val="auto"/>
                <w:sz w:val="22"/>
                <w:szCs w:val="24"/>
              </w:rPr>
              <w:fldChar w:fldCharType="separate"/>
            </w:r>
            <w:r>
              <w:rPr>
                <w:i w:val="0"/>
                <w:iCs w:val="0"/>
                <w:noProof/>
                <w:color w:val="auto"/>
                <w:sz w:val="22"/>
                <w:szCs w:val="24"/>
              </w:rPr>
              <w:t>30</w:t>
            </w:r>
            <w:r w:rsidRPr="00402035">
              <w:rPr>
                <w:i w:val="0"/>
                <w:iCs w:val="0"/>
                <w:color w:val="auto"/>
                <w:sz w:val="22"/>
                <w:szCs w:val="24"/>
              </w:rPr>
              <w:fldChar w:fldCharType="end"/>
            </w:r>
            <w:r w:rsidRPr="00402035">
              <w:rPr>
                <w:i w:val="0"/>
                <w:iCs w:val="0"/>
                <w:color w:val="auto"/>
                <w:sz w:val="22"/>
                <w:szCs w:val="24"/>
              </w:rPr>
              <w:t>)</w:t>
            </w:r>
          </w:p>
          <w:p w14:paraId="3811529A" w14:textId="77777777" w:rsidR="00E91B61" w:rsidRPr="00402035" w:rsidRDefault="00E91B61" w:rsidP="00E15D8F">
            <w:pPr>
              <w:spacing w:before="0"/>
              <w:jc w:val="center"/>
              <w:rPr>
                <w:szCs w:val="24"/>
              </w:rPr>
            </w:pPr>
          </w:p>
        </w:tc>
      </w:tr>
    </w:tbl>
    <w:p w14:paraId="46BDABE5" w14:textId="77777777" w:rsidR="00E91B61" w:rsidRDefault="00E91B61" w:rsidP="00E91B61">
      <w:r>
        <w:t>The most preferred solution refers to the Pareto solution with the highest value of TVSP.</w:t>
      </w:r>
    </w:p>
    <w:p w14:paraId="5B50A184" w14:textId="77777777" w:rsidR="00701E95" w:rsidRDefault="00701E95"/>
    <w:sectPr w:rsidR="00701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1327"/>
    <w:multiLevelType w:val="singleLevel"/>
    <w:tmpl w:val="A42E2744"/>
    <w:lvl w:ilvl="0">
      <w:start w:val="1"/>
      <w:numFmt w:val="bullet"/>
      <w:pStyle w:val="ListParagraph"/>
      <w:lvlText w:val=""/>
      <w:lvlJc w:val="left"/>
      <w:pPr>
        <w:ind w:left="360" w:hanging="360"/>
      </w:pPr>
      <w:rPr>
        <w:rFonts w:ascii="Wingdings" w:hAnsi="Wingdings" w:hint="default"/>
        <w:color w:val="auto"/>
      </w:rPr>
    </w:lvl>
  </w:abstractNum>
  <w:abstractNum w:abstractNumId="1" w15:restartNumberingAfterBreak="0">
    <w:nsid w:val="32AE087F"/>
    <w:multiLevelType w:val="multilevel"/>
    <w:tmpl w:val="1809001D"/>
    <w:styleLink w:val="Bullets-Sentence"/>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0694056"/>
    <w:multiLevelType w:val="hybridMultilevel"/>
    <w:tmpl w:val="AF6A0E52"/>
    <w:lvl w:ilvl="0" w:tplc="CAF48634">
      <w:start w:val="2"/>
      <w:numFmt w:val="lowerRoman"/>
      <w:lvlText w:val="(%1)"/>
      <w:lvlJc w:val="left"/>
      <w:pPr>
        <w:ind w:left="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5F6828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3F410C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8A41E3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A347FA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D6E82F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C74D61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E7E7C0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DC06A0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F3E7419"/>
    <w:multiLevelType w:val="hybridMultilevel"/>
    <w:tmpl w:val="4678EAA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61"/>
    <w:rsid w:val="005A5D28"/>
    <w:rsid w:val="00613748"/>
    <w:rsid w:val="00701E95"/>
    <w:rsid w:val="007529EA"/>
    <w:rsid w:val="007945BA"/>
    <w:rsid w:val="00BB340F"/>
    <w:rsid w:val="00E9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9371"/>
  <w15:chartTrackingRefBased/>
  <w15:docId w15:val="{8248A3B8-C318-4189-A8B6-1FF46AF5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61"/>
    <w:pPr>
      <w:spacing w:before="200" w:after="200" w:line="360" w:lineRule="auto"/>
      <w:jc w:val="both"/>
    </w:pPr>
    <w:rPr>
      <w:rFonts w:ascii="Tahoma" w:hAnsi="Tahoma"/>
    </w:rPr>
  </w:style>
  <w:style w:type="paragraph" w:styleId="Heading1">
    <w:name w:val="heading 1"/>
    <w:basedOn w:val="Normal"/>
    <w:next w:val="Normal"/>
    <w:link w:val="Heading1Char"/>
    <w:uiPriority w:val="9"/>
    <w:qFormat/>
    <w:rsid w:val="00E91B61"/>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1B61"/>
    <w:pPr>
      <w:keepNext/>
      <w:keepLines/>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91B61"/>
    <w:pPr>
      <w:keepNext/>
      <w:keepLines/>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91B61"/>
    <w:pPr>
      <w:keepNext/>
      <w:keepLines/>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s-Sentence">
    <w:name w:val="Bullets-Sentence"/>
    <w:basedOn w:val="NoList"/>
    <w:uiPriority w:val="99"/>
    <w:rsid w:val="00613748"/>
    <w:pPr>
      <w:numPr>
        <w:numId w:val="1"/>
      </w:numPr>
    </w:pPr>
  </w:style>
  <w:style w:type="character" w:customStyle="1" w:styleId="Heading1Char">
    <w:name w:val="Heading 1 Char"/>
    <w:basedOn w:val="DefaultParagraphFont"/>
    <w:link w:val="Heading1"/>
    <w:uiPriority w:val="9"/>
    <w:rsid w:val="00E91B61"/>
    <w:rPr>
      <w:rFonts w:ascii="Tahoma" w:eastAsiaTheme="majorEastAsia" w:hAnsi="Tahoma" w:cstheme="majorBidi"/>
      <w:b/>
      <w:sz w:val="32"/>
      <w:szCs w:val="32"/>
    </w:rPr>
  </w:style>
  <w:style w:type="character" w:customStyle="1" w:styleId="Heading2Char">
    <w:name w:val="Heading 2 Char"/>
    <w:basedOn w:val="DefaultParagraphFont"/>
    <w:link w:val="Heading2"/>
    <w:uiPriority w:val="9"/>
    <w:rsid w:val="00E91B61"/>
    <w:rPr>
      <w:rFonts w:ascii="Tahoma" w:eastAsiaTheme="majorEastAsia" w:hAnsi="Tahoma" w:cstheme="majorBidi"/>
      <w:b/>
      <w:sz w:val="26"/>
      <w:szCs w:val="26"/>
    </w:rPr>
  </w:style>
  <w:style w:type="character" w:customStyle="1" w:styleId="Heading3Char">
    <w:name w:val="Heading 3 Char"/>
    <w:basedOn w:val="DefaultParagraphFont"/>
    <w:link w:val="Heading3"/>
    <w:uiPriority w:val="9"/>
    <w:rsid w:val="00E91B61"/>
    <w:rPr>
      <w:rFonts w:ascii="Tahoma" w:eastAsiaTheme="majorEastAsia" w:hAnsi="Tahoma" w:cstheme="majorBidi"/>
      <w:b/>
      <w:sz w:val="24"/>
      <w:szCs w:val="24"/>
    </w:rPr>
  </w:style>
  <w:style w:type="character" w:customStyle="1" w:styleId="Heading4Char">
    <w:name w:val="Heading 4 Char"/>
    <w:basedOn w:val="DefaultParagraphFont"/>
    <w:link w:val="Heading4"/>
    <w:uiPriority w:val="9"/>
    <w:rsid w:val="00E91B61"/>
    <w:rPr>
      <w:rFonts w:ascii="Tahoma" w:eastAsiaTheme="majorEastAsia" w:hAnsi="Tahoma" w:cstheme="majorBidi"/>
      <w:b/>
      <w:i/>
      <w:iCs/>
    </w:rPr>
  </w:style>
  <w:style w:type="table" w:customStyle="1" w:styleId="TableGrid">
    <w:name w:val="TableGrid"/>
    <w:rsid w:val="00E91B61"/>
    <w:pPr>
      <w:spacing w:after="0" w:line="240" w:lineRule="auto"/>
    </w:pPr>
    <w:rPr>
      <w:rFonts w:eastAsiaTheme="minorEastAsia"/>
      <w:lang w:eastAsia="en-IE"/>
    </w:rPr>
    <w:tblPr>
      <w:tblCellMar>
        <w:top w:w="0" w:type="dxa"/>
        <w:left w:w="0" w:type="dxa"/>
        <w:bottom w:w="0" w:type="dxa"/>
        <w:right w:w="0" w:type="dxa"/>
      </w:tblCellMar>
    </w:tblPr>
  </w:style>
  <w:style w:type="paragraph" w:styleId="Caption">
    <w:name w:val="caption"/>
    <w:basedOn w:val="Normal"/>
    <w:next w:val="Normal"/>
    <w:uiPriority w:val="35"/>
    <w:unhideWhenUsed/>
    <w:qFormat/>
    <w:rsid w:val="00E91B61"/>
    <w:pPr>
      <w:keepNext/>
      <w:spacing w:before="240" w:after="0" w:line="240" w:lineRule="auto"/>
    </w:pPr>
    <w:rPr>
      <w:i/>
      <w:iCs/>
      <w:color w:val="44546A" w:themeColor="text2"/>
      <w:sz w:val="16"/>
      <w:szCs w:val="18"/>
    </w:rPr>
  </w:style>
  <w:style w:type="paragraph" w:styleId="ListParagraph">
    <w:name w:val="List Paragraph"/>
    <w:basedOn w:val="Normal"/>
    <w:uiPriority w:val="34"/>
    <w:qFormat/>
    <w:rsid w:val="00E91B61"/>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3003</Words>
  <Characters>17118</Characters>
  <Application>Microsoft Office Word</Application>
  <DocSecurity>0</DocSecurity>
  <Lines>142</Lines>
  <Paragraphs>40</Paragraphs>
  <ScaleCrop>false</ScaleCrop>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Ruadhan Fanning</dc:creator>
  <cp:keywords/>
  <dc:description/>
  <cp:lastModifiedBy>Ruadhan Fanning</cp:lastModifiedBy>
  <cp:revision>1</cp:revision>
  <dcterms:created xsi:type="dcterms:W3CDTF">2021-03-29T12:28:00Z</dcterms:created>
  <dcterms:modified xsi:type="dcterms:W3CDTF">2021-03-29T12:29:00Z</dcterms:modified>
</cp:coreProperties>
</file>