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49D3" w:rsidRDefault="00056F44">
      <w:pPr>
        <w:tabs>
          <w:tab w:val="left" w:pos="284"/>
        </w:tabs>
        <w:jc w:val="center"/>
      </w:pPr>
      <w:r>
        <w:rPr>
          <w:b/>
        </w:rPr>
        <w:t>Aplicando a teoria do valor extremo no cálculo de risco de</w:t>
      </w:r>
      <w:r w:rsidR="00834139">
        <w:rPr>
          <w:b/>
        </w:rPr>
        <w:t xml:space="preserve"> </w:t>
      </w:r>
      <w:r>
        <w:rPr>
          <w:b/>
        </w:rPr>
        <w:t>índices setoriais da Bovespa</w:t>
      </w:r>
    </w:p>
    <w:p w:rsidR="000749D3" w:rsidRDefault="000749D3">
      <w:pPr>
        <w:rPr>
          <w:color w:val="FF0000"/>
          <w:sz w:val="20"/>
        </w:rPr>
      </w:pPr>
    </w:p>
    <w:p w:rsidR="000749D3" w:rsidRDefault="00056F44">
      <w:pPr>
        <w:pStyle w:val="Padro"/>
        <w:jc w:val="center"/>
      </w:pPr>
      <w:r>
        <w:rPr>
          <w:sz w:val="22"/>
          <w:szCs w:val="22"/>
        </w:rPr>
        <w:t>Rafael Felipe Bressan</w:t>
      </w:r>
      <w:r>
        <w:rPr>
          <w:sz w:val="22"/>
          <w:szCs w:val="22"/>
          <w:vertAlign w:val="superscript"/>
        </w:rPr>
        <w:t xml:space="preserve"> 1</w:t>
      </w:r>
      <w:r>
        <w:rPr>
          <w:sz w:val="22"/>
          <w:szCs w:val="22"/>
        </w:rPr>
        <w:t>, Adriano de Amarante,</w:t>
      </w:r>
      <w:r>
        <w:rPr>
          <w:sz w:val="22"/>
          <w:szCs w:val="22"/>
          <w:vertAlign w:val="superscript"/>
        </w:rPr>
        <w:t>2</w:t>
      </w:r>
      <w:r>
        <w:rPr>
          <w:sz w:val="22"/>
          <w:szCs w:val="22"/>
        </w:rPr>
        <w:t xml:space="preserve"> Daniel Augusto de Souza</w:t>
      </w:r>
      <w:r>
        <w:rPr>
          <w:sz w:val="22"/>
          <w:szCs w:val="22"/>
          <w:vertAlign w:val="superscript"/>
        </w:rPr>
        <w:t>3</w:t>
      </w:r>
    </w:p>
    <w:p w:rsidR="000749D3" w:rsidRDefault="000749D3">
      <w:pPr>
        <w:rPr>
          <w:color w:val="FF0000"/>
        </w:rPr>
      </w:pPr>
    </w:p>
    <w:p w:rsidR="000749D3" w:rsidRDefault="000749D3">
      <w:pPr>
        <w:rPr>
          <w:color w:val="FF0000"/>
        </w:rPr>
      </w:pPr>
    </w:p>
    <w:p w:rsidR="000749D3" w:rsidRDefault="00056F44">
      <w:pPr>
        <w:pStyle w:val="Textodenotaderodap"/>
        <w:ind w:left="1134"/>
      </w:pPr>
      <w:r>
        <w:rPr>
          <w:rStyle w:val="Caracteresdenotaderodap"/>
        </w:rPr>
        <w:t>1</w:t>
      </w:r>
      <w:r>
        <w:t xml:space="preserve"> </w:t>
      </w:r>
      <w:r>
        <w:rPr>
          <w:color w:val="000000"/>
        </w:rPr>
        <w:t xml:space="preserve">Acadêmico do Curso de </w:t>
      </w:r>
      <w:r w:rsidR="00834139">
        <w:rPr>
          <w:color w:val="000000"/>
        </w:rPr>
        <w:t>Ciências</w:t>
      </w:r>
      <w:r>
        <w:rPr>
          <w:color w:val="000000"/>
        </w:rPr>
        <w:t xml:space="preserve"> Econômicas - ESAG</w:t>
      </w:r>
      <w:r>
        <w:rPr>
          <w:color w:val="3366FF"/>
        </w:rPr>
        <w:t xml:space="preserve"> </w:t>
      </w:r>
      <w:r w:rsidR="00834139">
        <w:rPr>
          <w:color w:val="3366FF"/>
        </w:rPr>
        <w:t>–</w:t>
      </w:r>
      <w:r w:rsidR="00834139">
        <w:rPr>
          <w:color w:val="000000"/>
        </w:rPr>
        <w:t xml:space="preserve"> bolsista</w:t>
      </w:r>
      <w:r w:rsidR="009E3A44">
        <w:rPr>
          <w:color w:val="000000"/>
        </w:rPr>
        <w:t xml:space="preserve"> PIVIC/UDESC</w:t>
      </w:r>
    </w:p>
    <w:p w:rsidR="000749D3" w:rsidRDefault="00056F44">
      <w:pPr>
        <w:pStyle w:val="Textodenotadefim"/>
        <w:ind w:left="1134"/>
      </w:pPr>
      <w:r>
        <w:rPr>
          <w:rStyle w:val="Caracteresdenotaderodap"/>
        </w:rPr>
        <w:t>2</w:t>
      </w:r>
      <w:r>
        <w:t xml:space="preserve"> </w:t>
      </w:r>
      <w:proofErr w:type="spellStart"/>
      <w:r>
        <w:t>Co-orientador</w:t>
      </w:r>
      <w:proofErr w:type="spellEnd"/>
      <w:r>
        <w:t>, Departamento de</w:t>
      </w:r>
      <w:r>
        <w:rPr>
          <w:color w:val="000000"/>
        </w:rPr>
        <w:t xml:space="preserve"> Ciências Econômicas – </w:t>
      </w:r>
      <w:r>
        <w:t>ESAG</w:t>
      </w:r>
      <w:r w:rsidR="00834139">
        <w:t xml:space="preserve"> – diamarante0@gmail.com</w:t>
      </w:r>
    </w:p>
    <w:p w:rsidR="000749D3" w:rsidRDefault="00056F44">
      <w:pPr>
        <w:pStyle w:val="Textodenotadefim"/>
        <w:ind w:left="1134"/>
      </w:pPr>
      <w:r>
        <w:rPr>
          <w:rStyle w:val="Caracteresdenotaderodap"/>
        </w:rPr>
        <w:t>3</w:t>
      </w:r>
      <w:r>
        <w:t xml:space="preserve"> Orientador, Departamento de </w:t>
      </w:r>
      <w:r>
        <w:rPr>
          <w:color w:val="000000"/>
        </w:rPr>
        <w:t xml:space="preserve">Ciências Econômicas – </w:t>
      </w:r>
      <w:r>
        <w:t xml:space="preserve">ESAG – </w:t>
      </w:r>
      <w:r w:rsidR="00834139">
        <w:t>daniel.souza@udesc.br</w:t>
      </w:r>
    </w:p>
    <w:p w:rsidR="000749D3" w:rsidRDefault="000749D3">
      <w:pPr>
        <w:pStyle w:val="Textodenotaderodap"/>
        <w:ind w:left="1134"/>
        <w:rPr>
          <w:color w:val="3366FF"/>
        </w:rPr>
      </w:pPr>
    </w:p>
    <w:p w:rsidR="000749D3" w:rsidRDefault="00056F44">
      <w:r>
        <w:rPr>
          <w:sz w:val="22"/>
          <w:szCs w:val="22"/>
        </w:rPr>
        <w:t xml:space="preserve">Palavras-chave: Valor em risco, teoria do valor extremo, modelos </w:t>
      </w:r>
      <w:proofErr w:type="spellStart"/>
      <w:r>
        <w:rPr>
          <w:sz w:val="22"/>
          <w:szCs w:val="22"/>
        </w:rPr>
        <w:t>garch</w:t>
      </w:r>
      <w:proofErr w:type="spellEnd"/>
    </w:p>
    <w:p w:rsidR="000749D3" w:rsidRDefault="000749D3"/>
    <w:p w:rsidR="000749D3" w:rsidRDefault="00274818">
      <w:pPr>
        <w:tabs>
          <w:tab w:val="left" w:pos="284"/>
        </w:tabs>
        <w:jc w:val="both"/>
      </w:pPr>
      <w:r>
        <w:t>O objetivo de</w:t>
      </w:r>
      <w:r w:rsidR="00056F44">
        <w:t xml:space="preserve">ste trabalho </w:t>
      </w:r>
      <w:r>
        <w:t xml:space="preserve">é </w:t>
      </w:r>
      <w:r w:rsidR="00056F44">
        <w:t>faz</w:t>
      </w:r>
      <w:r>
        <w:t>er</w:t>
      </w:r>
      <w:r w:rsidR="00056F44">
        <w:t xml:space="preserve"> um comparativo entre dois modelos univariados de estimação de valor em risco para seis índices setoriais de ações calculados na Bovespa. Os modelos testados são do tipo condicional e um período fora da amostra com mais de 3 anos de observações diárias é utilizado. A partir de dois procedimentos de avaliação, cobertura incondicional e teste de independência de violações, os melhores resultados são apresentados pelo modelo que une a teoria do valor extremo e modelagem condicional de variâncias heterocedásticas, o qual leva em conta o regime variável nas volatilidades das perdas assim como excesso de curtose. Em seguida uma comparação entre os níveis médios de risco entre os índices é </w:t>
      </w:r>
      <w:proofErr w:type="gramStart"/>
      <w:r w:rsidR="00056F44">
        <w:t>analisado</w:t>
      </w:r>
      <w:proofErr w:type="gramEnd"/>
      <w:r w:rsidR="00056F44">
        <w:t xml:space="preserve"> com o intuito de auferir quais índices se mostram os mais arriscados para o investidor.</w:t>
      </w:r>
    </w:p>
    <w:p w:rsidR="00274818" w:rsidRDefault="00274818">
      <w:pPr>
        <w:tabs>
          <w:tab w:val="left" w:pos="284"/>
        </w:tabs>
        <w:jc w:val="both"/>
      </w:pPr>
    </w:p>
    <w:p w:rsidR="00274818" w:rsidRDefault="00274818" w:rsidP="00274818">
      <w:pPr>
        <w:jc w:val="both"/>
      </w:pPr>
      <w:r>
        <w:t>O tema de pesquisa justifica-se pois, n</w:t>
      </w:r>
      <w:r>
        <w:t xml:space="preserve">o setor financeiro, o tipo de risco mais conhecido é provavelmente o </w:t>
      </w:r>
      <w:r>
        <w:rPr>
          <w:i/>
        </w:rPr>
        <w:t>risco de mercado</w:t>
      </w:r>
      <w:r>
        <w:t xml:space="preserve">, o risco de mudança no valor de uma posição financeira de um portfólio devido a mudanças no valor subjacente dos componentes que essa posição depende, tais como preços de ações e títulos, taxas de câmbio, preços de </w:t>
      </w:r>
      <w:r w:rsidRPr="004E285A">
        <w:rPr>
          <w:i/>
        </w:rPr>
        <w:t>commodities</w:t>
      </w:r>
      <w:r>
        <w:t>, etc.</w:t>
      </w:r>
      <w:r>
        <w:t xml:space="preserve"> </w:t>
      </w:r>
      <w:r>
        <w:t>Estimar o risco de mercado dos portfólios de investimento é uma busca constante dos investidores bem como por parte dos reguladores do Sistema Financeiro Nacional. No âmbito internacional, Instituições financeiras – IF,</w:t>
      </w:r>
      <w:r w:rsidRPr="007C60D7">
        <w:t xml:space="preserve"> </w:t>
      </w:r>
      <w:r>
        <w:t>são obrigadas a provisionar um percentual de seu capital afim de suportar a volatilidade do mercado, e assim, minimizar o seu risco de insolvência tendo como base as legislações locais e princípios de Basileia (</w:t>
      </w:r>
      <w:r>
        <w:rPr>
          <w:i/>
        </w:rPr>
        <w:t xml:space="preserve">Basel </w:t>
      </w:r>
      <w:proofErr w:type="spellStart"/>
      <w:r>
        <w:rPr>
          <w:i/>
        </w:rPr>
        <w:t>Comittee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on</w:t>
      </w:r>
      <w:proofErr w:type="spellEnd"/>
      <w:r>
        <w:rPr>
          <w:i/>
        </w:rPr>
        <w:t xml:space="preserve"> Banking </w:t>
      </w:r>
      <w:proofErr w:type="spellStart"/>
      <w:r>
        <w:rPr>
          <w:i/>
        </w:rPr>
        <w:t>Supervision</w:t>
      </w:r>
      <w:proofErr w:type="spellEnd"/>
      <w:r>
        <w:rPr>
          <w:i/>
        </w:rPr>
        <w:t xml:space="preserve"> </w:t>
      </w:r>
      <w:r>
        <w:t>-  BCBS do Banco de Compensações Internacionais - BIS).</w:t>
      </w:r>
    </w:p>
    <w:p w:rsidR="00274818" w:rsidRDefault="00274818" w:rsidP="00274818">
      <w:pPr>
        <w:jc w:val="both"/>
      </w:pPr>
    </w:p>
    <w:p w:rsidR="00274818" w:rsidRDefault="00274818" w:rsidP="00274818">
      <w:pPr>
        <w:tabs>
          <w:tab w:val="center" w:pos="2565"/>
          <w:tab w:val="right" w:pos="9760"/>
        </w:tabs>
        <w:jc w:val="both"/>
      </w:pPr>
      <w:r>
        <w:t xml:space="preserve">A alta volatilidade dos retornos dos ativos financeiros observada em séries históricas é uma característica inerente. Tal volatilidade não segue uma distribuição normal e nem é constante ao longo do tempo. Perdas extremas são frequentes e não devem ser ignoradas ou tratadas como </w:t>
      </w:r>
      <w:r w:rsidRPr="001F013B">
        <w:rPr>
          <w:i/>
        </w:rPr>
        <w:t>outliers</w:t>
      </w:r>
      <w:r>
        <w:t xml:space="preserve">, neste artigo são observadas com mais atenção as perdas de magnitude anormais, as quais impactam nos portfólios dos investidores e chamam atenção dos reguladores do mercado financeiro. </w:t>
      </w:r>
    </w:p>
    <w:p w:rsidR="0033397F" w:rsidRDefault="0033397F" w:rsidP="00274818">
      <w:pPr>
        <w:tabs>
          <w:tab w:val="center" w:pos="2565"/>
          <w:tab w:val="right" w:pos="9760"/>
        </w:tabs>
        <w:jc w:val="both"/>
      </w:pPr>
    </w:p>
    <w:p w:rsidR="0033397F" w:rsidRDefault="0033397F" w:rsidP="00FF7227">
      <w:pPr>
        <w:tabs>
          <w:tab w:val="center" w:pos="2565"/>
          <w:tab w:val="right" w:pos="9760"/>
        </w:tabs>
        <w:jc w:val="both"/>
      </w:pPr>
      <w:r>
        <w:t>A</w:t>
      </w:r>
      <w:r>
        <w:t xml:space="preserve"> aplicação da Teoria dos Valores Extremos - EVT </w:t>
      </w:r>
      <w:r>
        <w:t xml:space="preserve">surge justamente </w:t>
      </w:r>
      <w:r>
        <w:t>para modelar as distribuições de retornos com caudas longas. Por esta característica, consegue-se modelar eventos que se distanciam muito da tendência central, média ou mediana, por exemplo. Esse comportamento assintótico se ajusta bem para fatos estilizados sobre os retornos de ativos financeiros. N</w:t>
      </w:r>
      <w:r w:rsidRPr="00056F7E">
        <w:t>a prática</w:t>
      </w:r>
      <w:r>
        <w:t>, a EVT parte do pressuposto de que os eventos</w:t>
      </w:r>
      <w:r w:rsidRPr="00056F7E">
        <w:t xml:space="preserve"> extremos</w:t>
      </w:r>
      <w:r>
        <w:t xml:space="preserve"> ou raros</w:t>
      </w:r>
      <w:r w:rsidRPr="00056F7E">
        <w:t xml:space="preserve"> têm muito mais probabilidade de ocorrer do que seria previsto pela distribuição</w:t>
      </w:r>
      <w:r>
        <w:t xml:space="preserve"> </w:t>
      </w:r>
      <w:r w:rsidRPr="00056F7E">
        <w:t>normal simétrica de cauda mais</w:t>
      </w:r>
      <w:r>
        <w:t xml:space="preserve"> </w:t>
      </w:r>
      <w:r w:rsidR="00FF7227">
        <w:t xml:space="preserve">curta, o que torna os números de valor em risco – </w:t>
      </w:r>
      <w:proofErr w:type="spellStart"/>
      <w:r w:rsidR="00FF7227">
        <w:t>VaR</w:t>
      </w:r>
      <w:proofErr w:type="spellEnd"/>
      <w:r w:rsidR="00FF7227">
        <w:t xml:space="preserve">, </w:t>
      </w:r>
      <w:r w:rsidRPr="00056F7E">
        <w:t xml:space="preserve">baseados em normalidade </w:t>
      </w:r>
      <w:r>
        <w:t xml:space="preserve">em </w:t>
      </w:r>
      <w:r w:rsidRPr="00056F7E">
        <w:t>medidas inadequadas do risco</w:t>
      </w:r>
    </w:p>
    <w:p w:rsidR="0033397F" w:rsidRDefault="0033397F" w:rsidP="00274818">
      <w:pPr>
        <w:tabs>
          <w:tab w:val="center" w:pos="2565"/>
          <w:tab w:val="right" w:pos="9760"/>
        </w:tabs>
        <w:jc w:val="both"/>
      </w:pPr>
    </w:p>
    <w:p w:rsidR="0033397F" w:rsidRDefault="00056F44">
      <w:pPr>
        <w:tabs>
          <w:tab w:val="left" w:pos="284"/>
        </w:tabs>
        <w:jc w:val="both"/>
      </w:pPr>
      <w:r>
        <w:t>Os modelos EVT condicional (</w:t>
      </w:r>
      <w:proofErr w:type="spellStart"/>
      <w:r>
        <w:t>cevt</w:t>
      </w:r>
      <w:proofErr w:type="spellEnd"/>
      <w:r>
        <w:t>)</w:t>
      </w:r>
      <w:r w:rsidR="00274818">
        <w:t>,</w:t>
      </w:r>
      <w:r>
        <w:t xml:space="preserve"> </w:t>
      </w:r>
      <w:r w:rsidR="00274818">
        <w:t xml:space="preserve">proposto primeiramente por </w:t>
      </w:r>
      <w:proofErr w:type="spellStart"/>
      <w:r w:rsidR="00274818">
        <w:t>McNeil</w:t>
      </w:r>
      <w:proofErr w:type="spellEnd"/>
      <w:r w:rsidR="00274818">
        <w:t xml:space="preserve"> e Frey (2000)</w:t>
      </w:r>
      <w:r w:rsidR="00274818">
        <w:t xml:space="preserve"> </w:t>
      </w:r>
      <w:r>
        <w:t xml:space="preserve">e </w:t>
      </w:r>
      <w:proofErr w:type="spellStart"/>
      <w:r w:rsidRPr="00834139">
        <w:t>Riskmetrics</w:t>
      </w:r>
      <w:proofErr w:type="spellEnd"/>
      <w:r>
        <w:t xml:space="preserve"> </w:t>
      </w:r>
      <w:r w:rsidR="00274818">
        <w:t xml:space="preserve">do banco JP Morgan </w:t>
      </w:r>
      <w:r w:rsidR="0033397F">
        <w:t>(</w:t>
      </w:r>
      <w:r w:rsidR="0033397F">
        <w:t xml:space="preserve">ver </w:t>
      </w:r>
      <w:r w:rsidR="0033397F" w:rsidRPr="00632289">
        <w:t>RISKMETRICS</w:t>
      </w:r>
      <w:r w:rsidR="0033397F">
        <w:t>,</w:t>
      </w:r>
      <w:r w:rsidR="0033397F" w:rsidRPr="00632289">
        <w:t xml:space="preserve"> 1995)</w:t>
      </w:r>
      <w:r w:rsidR="0033397F">
        <w:t xml:space="preserve"> </w:t>
      </w:r>
      <w:r>
        <w:t xml:space="preserve">foram estudados e comparados com base em dois tipos </w:t>
      </w:r>
      <w:r>
        <w:lastRenderedPageBreak/>
        <w:t>diferentes de testes. Especial ênfase foi dada ao modelo EVT condicional o qual se utiliza d</w:t>
      </w:r>
      <w:r w:rsidR="0033397F">
        <w:t>o embasamento teórico providenciado pela</w:t>
      </w:r>
      <w:r>
        <w:t xml:space="preserve"> teoria do valor extremo para chegar ao resultado da medida de risco. </w:t>
      </w:r>
    </w:p>
    <w:p w:rsidR="0033397F" w:rsidRDefault="0033397F">
      <w:pPr>
        <w:tabs>
          <w:tab w:val="left" w:pos="284"/>
        </w:tabs>
        <w:jc w:val="both"/>
      </w:pPr>
    </w:p>
    <w:p w:rsidR="000749D3" w:rsidRDefault="00056F44">
      <w:pPr>
        <w:tabs>
          <w:tab w:val="left" w:pos="284"/>
        </w:tabs>
        <w:jc w:val="both"/>
      </w:pPr>
      <w:r>
        <w:t xml:space="preserve">Este é o principal modelo analisado e descrito em detalhe. A medida de risco é calcula diariamente utilizando-se o método </w:t>
      </w:r>
      <w:proofErr w:type="spellStart"/>
      <w:r w:rsidRPr="00834139">
        <w:rPr>
          <w:i/>
        </w:rPr>
        <w:t>Peaks</w:t>
      </w:r>
      <w:proofErr w:type="spellEnd"/>
      <w:r w:rsidRPr="00834139">
        <w:rPr>
          <w:i/>
        </w:rPr>
        <w:t xml:space="preserve"> Over </w:t>
      </w:r>
      <w:proofErr w:type="spellStart"/>
      <w:r w:rsidRPr="00834139">
        <w:rPr>
          <w:i/>
        </w:rPr>
        <w:t>Threshold</w:t>
      </w:r>
      <w:proofErr w:type="spellEnd"/>
      <w:r>
        <w:t xml:space="preserve"> - POT após a filtragem dos dados através de um modelo </w:t>
      </w:r>
      <w:proofErr w:type="gramStart"/>
      <w:r>
        <w:t>AR(</w:t>
      </w:r>
      <w:proofErr w:type="gramEnd"/>
      <w:r>
        <w:t>1)-GARCH(1,1). As previsões de média, μ</w:t>
      </w:r>
      <w:r>
        <w:rPr>
          <w:vertAlign w:val="subscript"/>
        </w:rPr>
        <w:t>t+1</w:t>
      </w:r>
      <w:r>
        <w:t xml:space="preserve"> e desvio padrão condicional, σ</w:t>
      </w:r>
      <w:r>
        <w:rPr>
          <w:vertAlign w:val="subscript"/>
        </w:rPr>
        <w:t>t+1</w:t>
      </w:r>
      <w:r>
        <w:t xml:space="preserve"> do modelo GARCH são utilizados para calcular </w:t>
      </w:r>
      <w:proofErr w:type="spellStart"/>
      <w:r>
        <w:t>VaR</w:t>
      </w:r>
      <w:proofErr w:type="spellEnd"/>
      <w:r>
        <w:rPr>
          <w:vertAlign w:val="subscript"/>
        </w:rPr>
        <w:t>α</w:t>
      </w:r>
      <w:r>
        <w:rPr>
          <w:vertAlign w:val="superscript"/>
        </w:rPr>
        <w:t>t</w:t>
      </w:r>
      <w:r>
        <w:t xml:space="preserve">. O </w:t>
      </w:r>
      <w:proofErr w:type="spellStart"/>
      <w:r>
        <w:t>quantil</w:t>
      </w:r>
      <w:proofErr w:type="spellEnd"/>
      <w:r>
        <w:t xml:space="preserve"> z</w:t>
      </w:r>
      <w:r>
        <w:rPr>
          <w:vertAlign w:val="subscript"/>
        </w:rPr>
        <w:t>α</w:t>
      </w:r>
      <w:r>
        <w:t xml:space="preserve"> é aquele determinado pelo valor de α após a aplicação do método POT para parametrização da cauda da distribuição das inovações. Já o modelo </w:t>
      </w:r>
      <w:proofErr w:type="spellStart"/>
      <w:r>
        <w:t>Riskmetrics</w:t>
      </w:r>
      <w:proofErr w:type="spellEnd"/>
      <w:r>
        <w:t xml:space="preserve"> (</w:t>
      </w:r>
      <w:proofErr w:type="spellStart"/>
      <w:r>
        <w:t>riskmetrics</w:t>
      </w:r>
      <w:proofErr w:type="spellEnd"/>
      <w:r>
        <w:t xml:space="preserve">) é aquele encontrado em </w:t>
      </w:r>
      <w:proofErr w:type="spellStart"/>
      <w:r w:rsidRPr="00834139">
        <w:t>RiskMetrics</w:t>
      </w:r>
      <w:proofErr w:type="spellEnd"/>
      <w:r>
        <w:t xml:space="preserve"> (1995), com parâmetros μ = 0 e λ = 0, 94, pois utiliza-se dados diários.</w:t>
      </w:r>
    </w:p>
    <w:p w:rsidR="000749D3" w:rsidRDefault="000749D3">
      <w:pPr>
        <w:tabs>
          <w:tab w:val="left" w:pos="284"/>
        </w:tabs>
        <w:jc w:val="both"/>
      </w:pPr>
    </w:p>
    <w:p w:rsidR="007269D5" w:rsidRPr="007269D5" w:rsidRDefault="00056F44" w:rsidP="007269D5">
      <w:pPr>
        <w:tabs>
          <w:tab w:val="left" w:pos="284"/>
        </w:tabs>
        <w:jc w:val="both"/>
      </w:pPr>
      <w:r>
        <w:t xml:space="preserve">Dentre os modelos estimados, o EVT condicional apresentou os percentuais de violações mais próximos ao valor esperado. Nos testes estatísticos de cobertura incondicional e independência, a superioridade do modelo EVT condicional se apresenta de forma mais concreta. Este modelo não apresentou rejeição a hipótese nula da correta especificação, tanto para o teste de </w:t>
      </w:r>
      <w:proofErr w:type="spellStart"/>
      <w:r>
        <w:t>Kupiec</w:t>
      </w:r>
      <w:proofErr w:type="spellEnd"/>
      <w:r>
        <w:t xml:space="preserve"> </w:t>
      </w:r>
      <w:r w:rsidR="00FF7227">
        <w:t xml:space="preserve">(1995) </w:t>
      </w:r>
      <w:r>
        <w:t xml:space="preserve">quanto para o teste de duração de </w:t>
      </w:r>
      <w:proofErr w:type="spellStart"/>
      <w:r>
        <w:t>Christoffersen</w:t>
      </w:r>
      <w:proofErr w:type="spellEnd"/>
      <w:r>
        <w:t xml:space="preserve"> e </w:t>
      </w:r>
      <w:proofErr w:type="spellStart"/>
      <w:r>
        <w:t>Pelletier</w:t>
      </w:r>
      <w:proofErr w:type="spellEnd"/>
      <w:r>
        <w:t xml:space="preserve"> </w:t>
      </w:r>
      <w:r w:rsidR="00FF7227">
        <w:t xml:space="preserve">(2004) </w:t>
      </w:r>
      <w:r>
        <w:t xml:space="preserve">ao nível de confiança de 95%. Em uma análise comparativa entre os índices, considerando a medida </w:t>
      </w:r>
      <w:proofErr w:type="spellStart"/>
      <w:r>
        <w:t>VaR</w:t>
      </w:r>
      <w:proofErr w:type="spellEnd"/>
      <w:r>
        <w:t xml:space="preserve"> 99% dada pelo modelo EVT condicional durante o período de </w:t>
      </w:r>
      <w:proofErr w:type="spellStart"/>
      <w:r w:rsidRPr="00E6735A">
        <w:rPr>
          <w:i/>
        </w:rPr>
        <w:t>backtest</w:t>
      </w:r>
      <w:proofErr w:type="spellEnd"/>
      <w:r>
        <w:t xml:space="preserve">, o índice IMAT se mostrou mais arriscado, em média, que os demais índices analisados, enquanto que o índice INDX não se mostrou mais arriscado que qualquer um dos demais. Além deste trade-off entre superioridade teórica do modelo EVT condicional e sua implementação prática mais complexa, a medida de risco </w:t>
      </w:r>
      <w:proofErr w:type="spellStart"/>
      <w:r>
        <w:t>VaR</w:t>
      </w:r>
      <w:proofErr w:type="spellEnd"/>
      <w:r>
        <w:t xml:space="preserve"> atualmente está sendo utilizada em conjunto com a </w:t>
      </w:r>
      <w:proofErr w:type="spellStart"/>
      <w:r w:rsidRPr="00834139">
        <w:rPr>
          <w:i/>
        </w:rPr>
        <w:t>Expected</w:t>
      </w:r>
      <w:proofErr w:type="spellEnd"/>
      <w:r w:rsidRPr="00834139">
        <w:rPr>
          <w:i/>
        </w:rPr>
        <w:t xml:space="preserve"> </w:t>
      </w:r>
      <w:proofErr w:type="spellStart"/>
      <w:r w:rsidRPr="00834139">
        <w:rPr>
          <w:i/>
        </w:rPr>
        <w:t>Shortfall</w:t>
      </w:r>
      <w:proofErr w:type="spellEnd"/>
      <w:r>
        <w:t>. Esta última pode ser derivada a partir do modelo EVT condicional com facilidade e deve ser abordada em outro trabalho, juntamente com testes específicos para o ES com intuito de averiguação do melhor modelo.</w:t>
      </w:r>
    </w:p>
    <w:p w:rsidR="00056F44" w:rsidRDefault="00056F44" w:rsidP="007269D5">
      <w:bookmarkStart w:id="0" w:name="_GoBack"/>
      <w:bookmarkEnd w:id="0"/>
    </w:p>
    <w:sectPr w:rsidR="00056F44" w:rsidSect="00834139">
      <w:headerReference w:type="default" r:id="rId6"/>
      <w:footerReference w:type="default" r:id="rId7"/>
      <w:headerReference w:type="first" r:id="rId8"/>
      <w:footerReference w:type="first" r:id="rId9"/>
      <w:pgSz w:w="12240" w:h="15840"/>
      <w:pgMar w:top="1701" w:right="758" w:bottom="993" w:left="1418" w:header="720" w:footer="20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69B7" w:rsidRDefault="008769B7">
      <w:r>
        <w:separator/>
      </w:r>
    </w:p>
  </w:endnote>
  <w:endnote w:type="continuationSeparator" w:id="0">
    <w:p w:rsidR="008769B7" w:rsidRDefault="00876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AR PL SungtiL GB"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49D3" w:rsidRDefault="00056F44">
    <w:pPr>
      <w:pStyle w:val="Rodap"/>
      <w:jc w:val="center"/>
      <w:rPr>
        <w:sz w:val="16"/>
        <w:szCs w:val="16"/>
      </w:rPr>
    </w:pPr>
    <w:r>
      <w:rPr>
        <w:sz w:val="16"/>
        <w:szCs w:val="16"/>
      </w:rPr>
      <w:t xml:space="preserve">Página </w:t>
    </w:r>
    <w:r>
      <w:rPr>
        <w:b/>
        <w:bCs/>
        <w:sz w:val="16"/>
        <w:szCs w:val="16"/>
      </w:rPr>
      <w:fldChar w:fldCharType="begin"/>
    </w:r>
    <w:r>
      <w:rPr>
        <w:b/>
        <w:bCs/>
        <w:sz w:val="16"/>
        <w:szCs w:val="16"/>
      </w:rPr>
      <w:instrText xml:space="preserve"> PAGE </w:instrText>
    </w:r>
    <w:r>
      <w:rPr>
        <w:b/>
        <w:bCs/>
        <w:sz w:val="16"/>
        <w:szCs w:val="16"/>
      </w:rPr>
      <w:fldChar w:fldCharType="separate"/>
    </w:r>
    <w:r w:rsidR="00347267">
      <w:rPr>
        <w:b/>
        <w:bCs/>
        <w:noProof/>
        <w:sz w:val="16"/>
        <w:szCs w:val="16"/>
      </w:rPr>
      <w:t>1</w:t>
    </w:r>
    <w:r>
      <w:rPr>
        <w:b/>
        <w:bCs/>
        <w:sz w:val="16"/>
        <w:szCs w:val="16"/>
      </w:rPr>
      <w:fldChar w:fldCharType="end"/>
    </w:r>
    <w:r>
      <w:rPr>
        <w:sz w:val="16"/>
        <w:szCs w:val="16"/>
      </w:rPr>
      <w:t xml:space="preserve"> de </w:t>
    </w:r>
    <w:r>
      <w:rPr>
        <w:b/>
        <w:bCs/>
        <w:sz w:val="16"/>
        <w:szCs w:val="16"/>
      </w:rPr>
      <w:fldChar w:fldCharType="begin"/>
    </w:r>
    <w:r>
      <w:rPr>
        <w:b/>
        <w:bCs/>
        <w:sz w:val="16"/>
        <w:szCs w:val="16"/>
      </w:rPr>
      <w:instrText xml:space="preserve"> NUMPAGES \* ARABIC </w:instrText>
    </w:r>
    <w:r>
      <w:rPr>
        <w:b/>
        <w:bCs/>
        <w:sz w:val="16"/>
        <w:szCs w:val="16"/>
      </w:rPr>
      <w:fldChar w:fldCharType="separate"/>
    </w:r>
    <w:r w:rsidR="00347267">
      <w:rPr>
        <w:b/>
        <w:bCs/>
        <w:noProof/>
        <w:sz w:val="16"/>
        <w:szCs w:val="16"/>
      </w:rPr>
      <w:t>2</w:t>
    </w:r>
    <w:r>
      <w:rPr>
        <w:b/>
        <w:bCs/>
        <w:sz w:val="16"/>
        <w:szCs w:val="16"/>
      </w:rPr>
      <w:fldChar w:fldCharType="end"/>
    </w:r>
  </w:p>
  <w:p w:rsidR="000749D3" w:rsidRDefault="000749D3">
    <w:pPr>
      <w:pStyle w:val="Rodap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49D3" w:rsidRDefault="000749D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69B7" w:rsidRDefault="008769B7">
      <w:r>
        <w:separator/>
      </w:r>
    </w:p>
  </w:footnote>
  <w:footnote w:type="continuationSeparator" w:id="0">
    <w:p w:rsidR="008769B7" w:rsidRDefault="008769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49D3" w:rsidRDefault="00834139">
    <w:pPr>
      <w:pStyle w:val="Cabealho"/>
      <w:jc w:val="center"/>
    </w:pPr>
    <w:r>
      <w:rPr>
        <w:noProof/>
        <w:lang w:eastAsia="pt-BR"/>
      </w:rPr>
      <w:drawing>
        <wp:inline distT="0" distB="0" distL="0" distR="0">
          <wp:extent cx="2165350" cy="661670"/>
          <wp:effectExtent l="0" t="0" r="0" b="0"/>
          <wp:docPr id="151" name="Imagem 1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9" t="-95" r="-29" b="-95"/>
                  <a:stretch>
                    <a:fillRect/>
                  </a:stretch>
                </pic:blipFill>
                <pic:spPr bwMode="auto">
                  <a:xfrm>
                    <a:off x="0" y="0"/>
                    <a:ext cx="2165350" cy="66167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 w:rsidR="00056F44">
      <w:t xml:space="preserve">                               </w:t>
    </w:r>
    <w:r>
      <w:rPr>
        <w:noProof/>
        <w:lang w:eastAsia="pt-BR"/>
      </w:rPr>
      <w:drawing>
        <wp:inline distT="0" distB="0" distL="0" distR="0">
          <wp:extent cx="2524125" cy="600075"/>
          <wp:effectExtent l="0" t="0" r="0" b="0"/>
          <wp:docPr id="152" name="Imagem 1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4" t="-105" r="-24" b="-105"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0007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 w:rsidR="00056F44">
      <w:t xml:space="preserve">   </w:t>
    </w:r>
  </w:p>
  <w:p w:rsidR="000749D3" w:rsidRDefault="00056F44">
    <w:pPr>
      <w:pStyle w:val="Cabealho"/>
      <w:jc w:val="center"/>
    </w:pPr>
    <w:r>
      <w:t xml:space="preserve">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49D3" w:rsidRDefault="000749D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139"/>
    <w:rsid w:val="00056F44"/>
    <w:rsid w:val="000749D3"/>
    <w:rsid w:val="00274818"/>
    <w:rsid w:val="0033397F"/>
    <w:rsid w:val="00347267"/>
    <w:rsid w:val="0048091D"/>
    <w:rsid w:val="005C2F19"/>
    <w:rsid w:val="007269D5"/>
    <w:rsid w:val="007D6BB6"/>
    <w:rsid w:val="00834139"/>
    <w:rsid w:val="008769B7"/>
    <w:rsid w:val="008E76B4"/>
    <w:rsid w:val="009E3A44"/>
    <w:rsid w:val="00A05153"/>
    <w:rsid w:val="00E6735A"/>
    <w:rsid w:val="00FF7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2C071CE"/>
  <w15:chartTrackingRefBased/>
  <w15:docId w15:val="{5A3C8D36-6E87-4641-8753-1DF5BAF8B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</w:style>
  <w:style w:type="character" w:customStyle="1" w:styleId="CorpodetextoChar">
    <w:name w:val="Corpo de texto Char"/>
    <w:rPr>
      <w:rFonts w:ascii="Tahoma" w:hAnsi="Tahoma" w:cs="Tahoma"/>
      <w:color w:val="FF0000"/>
      <w:sz w:val="20"/>
      <w:szCs w:val="20"/>
    </w:rPr>
  </w:style>
  <w:style w:type="character" w:customStyle="1" w:styleId="CabealhoChar">
    <w:name w:val="Cabeçalho Char"/>
    <w:rPr>
      <w:rFonts w:ascii="Times New Roman" w:hAnsi="Times New Roman" w:cs="Times New Roman"/>
      <w:sz w:val="24"/>
      <w:szCs w:val="24"/>
    </w:rPr>
  </w:style>
  <w:style w:type="character" w:customStyle="1" w:styleId="TextodenotadefimChar">
    <w:name w:val="Texto de nota de fim Char"/>
    <w:rPr>
      <w:rFonts w:ascii="Times New Roman" w:hAnsi="Times New Roman" w:cs="Times New Roman"/>
      <w:sz w:val="20"/>
      <w:szCs w:val="20"/>
    </w:rPr>
  </w:style>
  <w:style w:type="character" w:customStyle="1" w:styleId="TextodenotaderodapChar">
    <w:name w:val="Texto de nota de rodapé Char"/>
    <w:rPr>
      <w:rFonts w:ascii="Times New Roman" w:hAnsi="Times New Roman" w:cs="Times New Roman"/>
      <w:sz w:val="20"/>
      <w:szCs w:val="20"/>
    </w:rPr>
  </w:style>
  <w:style w:type="character" w:customStyle="1" w:styleId="Caracteresdenotaderodap">
    <w:name w:val="Caracteres de nota de rodapé"/>
    <w:rPr>
      <w:rFonts w:cs="Times New Roman"/>
      <w:vertAlign w:val="superscript"/>
    </w:rPr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character" w:customStyle="1" w:styleId="RodapChar">
    <w:name w:val="Rodapé Char"/>
    <w:rPr>
      <w:rFonts w:ascii="Times New Roman" w:hAnsi="Times New Roman" w:cs="Times New Roman"/>
      <w:sz w:val="24"/>
      <w:szCs w:val="24"/>
    </w:rPr>
  </w:style>
  <w:style w:type="character" w:customStyle="1" w:styleId="Corpodetexto3Char">
    <w:name w:val="Corpo de texto 3 Char"/>
    <w:rPr>
      <w:rFonts w:ascii="Times New Roman" w:eastAsia="Times New Roman" w:hAnsi="Times New Roman" w:cs="Times New Roman"/>
      <w:sz w:val="16"/>
      <w:szCs w:val="16"/>
    </w:rPr>
  </w:style>
  <w:style w:type="character" w:styleId="Nmerodelinha">
    <w:name w:val="line number"/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line="360" w:lineRule="auto"/>
      <w:jc w:val="both"/>
    </w:pPr>
    <w:rPr>
      <w:rFonts w:ascii="Tahoma" w:hAnsi="Tahoma" w:cs="Tahoma"/>
      <w:color w:val="FF0000"/>
      <w:szCs w:val="20"/>
    </w:r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pPr>
      <w:suppressLineNumbers/>
    </w:pPr>
    <w:rPr>
      <w:rFonts w:cs="Lohit Devanagari"/>
    </w:rPr>
  </w:style>
  <w:style w:type="paragraph" w:styleId="Cabealho">
    <w:name w:val="header"/>
    <w:basedOn w:val="Normal"/>
  </w:style>
  <w:style w:type="paragraph" w:customStyle="1" w:styleId="Padro">
    <w:name w:val="Padrão"/>
    <w:pPr>
      <w:widowControl w:val="0"/>
      <w:suppressAutoHyphens/>
      <w:autoSpaceDE w:val="0"/>
    </w:pPr>
    <w:rPr>
      <w:szCs w:val="24"/>
      <w:lang w:eastAsia="zh-CN"/>
    </w:rPr>
  </w:style>
  <w:style w:type="paragraph" w:styleId="Textodenotadefim">
    <w:name w:val="endnote text"/>
    <w:basedOn w:val="Normal"/>
    <w:rPr>
      <w:sz w:val="20"/>
      <w:szCs w:val="20"/>
    </w:rPr>
  </w:style>
  <w:style w:type="paragraph" w:styleId="Textodenotaderodap">
    <w:name w:val="footnote text"/>
    <w:basedOn w:val="Normal"/>
    <w:rPr>
      <w:sz w:val="20"/>
      <w:szCs w:val="20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Rodap">
    <w:name w:val="footer"/>
    <w:basedOn w:val="Normal"/>
  </w:style>
  <w:style w:type="paragraph" w:customStyle="1" w:styleId="Corpodetexto31">
    <w:name w:val="Corpo de texto 31"/>
    <w:basedOn w:val="Normal"/>
    <w:pPr>
      <w:spacing w:after="120"/>
    </w:pPr>
    <w:rPr>
      <w:sz w:val="16"/>
      <w:szCs w:val="16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865</Words>
  <Characters>4677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Dalva Magro</dc:creator>
  <cp:keywords/>
  <cp:lastModifiedBy>RAFAEL FELIPE BRESSAN</cp:lastModifiedBy>
  <cp:revision>6</cp:revision>
  <cp:lastPrinted>2018-07-12T17:58:00Z</cp:lastPrinted>
  <dcterms:created xsi:type="dcterms:W3CDTF">2018-07-13T20:16:00Z</dcterms:created>
  <dcterms:modified xsi:type="dcterms:W3CDTF">2018-08-07T18:40:00Z</dcterms:modified>
</cp:coreProperties>
</file>