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3106" w:rsidRDefault="00A12079">
      <w:pPr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 w:rsidR="007D2789">
        <w:rPr>
          <w:rFonts w:ascii="Times New Roman" w:hAnsi="Times New Roman" w:cs="Times New Roman"/>
          <w:sz w:val="24"/>
          <w:szCs w:val="24"/>
        </w:rPr>
        <w:t>e, conforme a utilização e consentimento do</w:t>
      </w:r>
      <w:r>
        <w:rPr>
          <w:rFonts w:ascii="Times New Roman" w:hAnsi="Times New Roman" w:cs="Times New Roman"/>
          <w:sz w:val="24"/>
          <w:szCs w:val="24"/>
        </w:rPr>
        <w:t xml:space="preserve"> usuário, evolui para uma experiência semelhante à nativa</w:t>
      </w:r>
      <w:r w:rsidR="00B244CA">
        <w:rPr>
          <w:rFonts w:ascii="Times New Roman" w:hAnsi="Times New Roman" w:cs="Times New Roman"/>
          <w:sz w:val="24"/>
          <w:szCs w:val="24"/>
        </w:rPr>
        <w:t xml:space="preserve"> com a adição de um ícone de atalho na </w:t>
      </w:r>
      <w:r w:rsidR="00B244CA">
        <w:rPr>
          <w:rFonts w:ascii="Times New Roman" w:hAnsi="Times New Roman" w:cs="Times New Roman"/>
          <w:i/>
          <w:sz w:val="24"/>
          <w:szCs w:val="24"/>
        </w:rPr>
        <w:t xml:space="preserve">homescreen </w:t>
      </w:r>
      <w:r w:rsidR="00B244CA">
        <w:rPr>
          <w:rFonts w:ascii="Times New Roman" w:hAnsi="Times New Roman" w:cs="Times New Roman"/>
          <w:sz w:val="24"/>
          <w:szCs w:val="24"/>
        </w:rPr>
        <w:t>do aparelho</w:t>
      </w:r>
      <w:r>
        <w:rPr>
          <w:rFonts w:ascii="Times New Roman" w:hAnsi="Times New Roman" w:cs="Times New Roman"/>
          <w:sz w:val="24"/>
          <w:szCs w:val="24"/>
        </w:rPr>
        <w:t>. Esse tipo de abordagem vem ganhando força e grandes empresas passaram a fornecer seus produtos como PWAs.</w:t>
      </w:r>
    </w:p>
    <w:p w:rsidR="001959C8" w:rsidRPr="00A757C6" w:rsidRDefault="007D27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97635">
        <w:rPr>
          <w:rFonts w:ascii="Times New Roman" w:hAnsi="Times New Roman" w:cs="Times New Roman"/>
          <w:sz w:val="24"/>
          <w:szCs w:val="24"/>
        </w:rPr>
        <w:t xml:space="preserve">A sua característica progressiva se deve à capacidade de funcionamento para qualquer usuário, independente do dispositivo utilizado (responsividade) e do </w:t>
      </w:r>
      <w:r w:rsidR="00397635"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 w:rsidR="00397635">
        <w:rPr>
          <w:rFonts w:ascii="Times New Roman" w:hAnsi="Times New Roman" w:cs="Times New Roman"/>
          <w:sz w:val="24"/>
          <w:szCs w:val="24"/>
        </w:rPr>
        <w:t xml:space="preserve">escolhido. Graças às funcionalidades providas por </w:t>
      </w:r>
      <w:r w:rsidR="00397635">
        <w:rPr>
          <w:rFonts w:ascii="Times New Roman" w:hAnsi="Times New Roman" w:cs="Times New Roman"/>
          <w:i/>
          <w:sz w:val="24"/>
          <w:szCs w:val="24"/>
        </w:rPr>
        <w:t>services workers</w:t>
      </w:r>
      <w:r w:rsidR="00585575">
        <w:rPr>
          <w:rFonts w:ascii="Times New Roman" w:hAnsi="Times New Roman" w:cs="Times New Roman"/>
          <w:sz w:val="24"/>
          <w:szCs w:val="24"/>
        </w:rPr>
        <w:t>,</w:t>
      </w:r>
      <w:r w:rsidR="0039763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397635">
        <w:rPr>
          <w:rFonts w:ascii="Times New Roman" w:hAnsi="Times New Roman" w:cs="Times New Roman"/>
          <w:sz w:val="24"/>
          <w:szCs w:val="24"/>
        </w:rPr>
        <w:t xml:space="preserve">os </w:t>
      </w:r>
      <w:r w:rsidR="00397635">
        <w:rPr>
          <w:rFonts w:ascii="Times New Roman" w:hAnsi="Times New Roman" w:cs="Times New Roman"/>
          <w:i/>
          <w:sz w:val="24"/>
          <w:szCs w:val="24"/>
        </w:rPr>
        <w:t xml:space="preserve">progressive </w:t>
      </w:r>
      <w:r w:rsidR="001959C8">
        <w:rPr>
          <w:rFonts w:ascii="Times New Roman" w:hAnsi="Times New Roman" w:cs="Times New Roman"/>
          <w:i/>
          <w:sz w:val="24"/>
          <w:szCs w:val="24"/>
        </w:rPr>
        <w:t>web apps</w:t>
      </w:r>
      <w:r w:rsidR="00397635">
        <w:rPr>
          <w:rFonts w:ascii="Times New Roman" w:hAnsi="Times New Roman" w:cs="Times New Roman"/>
          <w:sz w:val="24"/>
          <w:szCs w:val="24"/>
        </w:rPr>
        <w:t xml:space="preserve"> estão</w:t>
      </w:r>
      <w:r w:rsidR="001959C8">
        <w:rPr>
          <w:rFonts w:ascii="Times New Roman" w:hAnsi="Times New Roman" w:cs="Times New Roman"/>
          <w:sz w:val="24"/>
          <w:szCs w:val="24"/>
        </w:rPr>
        <w:t xml:space="preserve"> sempre atualizados</w:t>
      </w:r>
      <w:r w:rsidR="009D7137">
        <w:rPr>
          <w:rFonts w:ascii="Times New Roman" w:hAnsi="Times New Roman" w:cs="Times New Roman"/>
          <w:sz w:val="24"/>
          <w:szCs w:val="24"/>
        </w:rPr>
        <w:t xml:space="preserve"> e</w:t>
      </w:r>
      <w:r w:rsidR="00397635">
        <w:rPr>
          <w:rFonts w:ascii="Times New Roman" w:hAnsi="Times New Roman" w:cs="Times New Roman"/>
          <w:sz w:val="24"/>
          <w:szCs w:val="24"/>
        </w:rPr>
        <w:t xml:space="preserve"> habilitados </w:t>
      </w:r>
      <w:r w:rsidR="00585575">
        <w:rPr>
          <w:rFonts w:ascii="Times New Roman" w:hAnsi="Times New Roman" w:cs="Times New Roman"/>
          <w:sz w:val="24"/>
          <w:szCs w:val="24"/>
        </w:rPr>
        <w:t>a</w:t>
      </w:r>
      <w:r w:rsidR="00901DF3">
        <w:rPr>
          <w:rFonts w:ascii="Times New Roman" w:hAnsi="Times New Roman" w:cs="Times New Roman"/>
          <w:sz w:val="24"/>
          <w:szCs w:val="24"/>
        </w:rPr>
        <w:t xml:space="preserve"> funcionarem</w:t>
      </w:r>
      <w:r w:rsidR="00397635">
        <w:rPr>
          <w:rFonts w:ascii="Times New Roman" w:hAnsi="Times New Roman" w:cs="Times New Roman"/>
          <w:sz w:val="24"/>
          <w:szCs w:val="24"/>
        </w:rPr>
        <w:t xml:space="preserve"> com redes limitadas ou com total ausência de conectividade</w:t>
      </w:r>
      <w:r w:rsidR="006A4F4A">
        <w:rPr>
          <w:rFonts w:ascii="Times New Roman" w:hAnsi="Times New Roman" w:cs="Times New Roman"/>
          <w:sz w:val="24"/>
          <w:szCs w:val="24"/>
        </w:rPr>
        <w:t>.</w:t>
      </w:r>
      <w:r w:rsidR="00901DF3">
        <w:rPr>
          <w:rFonts w:ascii="Times New Roman" w:hAnsi="Times New Roman" w:cs="Times New Roman"/>
          <w:sz w:val="24"/>
          <w:szCs w:val="24"/>
        </w:rPr>
        <w:t xml:space="preserve"> </w:t>
      </w:r>
      <w:r w:rsidR="006A4F4A">
        <w:rPr>
          <w:rFonts w:ascii="Times New Roman" w:hAnsi="Times New Roman" w:cs="Times New Roman"/>
          <w:sz w:val="24"/>
          <w:szCs w:val="24"/>
        </w:rPr>
        <w:t>Além disso, podem ser indexados e classificados como aplicativos</w:t>
      </w:r>
      <w:r w:rsidR="009D7137">
        <w:rPr>
          <w:rFonts w:ascii="Times New Roman" w:hAnsi="Times New Roman" w:cs="Times New Roman"/>
          <w:sz w:val="24"/>
          <w:szCs w:val="24"/>
        </w:rPr>
        <w:t>,</w:t>
      </w:r>
      <w:r w:rsidR="006A4F4A">
        <w:rPr>
          <w:rFonts w:ascii="Times New Roman" w:hAnsi="Times New Roman" w:cs="Times New Roman"/>
          <w:sz w:val="24"/>
          <w:szCs w:val="24"/>
        </w:rPr>
        <w:t xml:space="preserve"> por mecanismos de busca</w:t>
      </w:r>
      <w:r w:rsidR="009D7137">
        <w:rPr>
          <w:rFonts w:ascii="Times New Roman" w:hAnsi="Times New Roman" w:cs="Times New Roman"/>
          <w:sz w:val="24"/>
          <w:szCs w:val="24"/>
        </w:rPr>
        <w:t>,</w:t>
      </w:r>
      <w:r w:rsidR="006A4F4A">
        <w:rPr>
          <w:rFonts w:ascii="Times New Roman" w:hAnsi="Times New Roman" w:cs="Times New Roman"/>
          <w:sz w:val="24"/>
          <w:szCs w:val="24"/>
        </w:rPr>
        <w:t xml:space="preserve"> devido ao manifesto W3C e ao escopo de registro do </w:t>
      </w:r>
      <w:r w:rsidR="006A4F4A">
        <w:rPr>
          <w:rFonts w:ascii="Times New Roman" w:hAnsi="Times New Roman" w:cs="Times New Roman"/>
          <w:i/>
          <w:sz w:val="24"/>
          <w:szCs w:val="24"/>
        </w:rPr>
        <w:t>service worker</w:t>
      </w:r>
      <w:r w:rsidR="009C7E4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C7E41">
        <w:rPr>
          <w:rFonts w:ascii="Times New Roman" w:hAnsi="Times New Roman" w:cs="Times New Roman"/>
          <w:sz w:val="24"/>
          <w:szCs w:val="24"/>
        </w:rPr>
        <w:t>(LEPAGE, 2017)</w:t>
      </w:r>
      <w:r w:rsidR="00A757C6">
        <w:rPr>
          <w:rFonts w:ascii="Times New Roman" w:hAnsi="Times New Roman" w:cs="Times New Roman"/>
          <w:sz w:val="24"/>
          <w:szCs w:val="24"/>
        </w:rPr>
        <w:t>. Por questões de segurança, s</w:t>
      </w:r>
      <w:r w:rsidR="001959C8">
        <w:rPr>
          <w:rFonts w:ascii="Times New Roman" w:hAnsi="Times New Roman" w:cs="Times New Roman"/>
          <w:sz w:val="24"/>
          <w:szCs w:val="24"/>
        </w:rPr>
        <w:t>ão servidos obrigatoriamente utilizando o protocolo</w:t>
      </w:r>
      <w:r w:rsidR="009D7137">
        <w:rPr>
          <w:rFonts w:ascii="Times New Roman" w:hAnsi="Times New Roman" w:cs="Times New Roman"/>
          <w:sz w:val="24"/>
          <w:szCs w:val="24"/>
        </w:rPr>
        <w:t xml:space="preserve"> HTTPS </w:t>
      </w:r>
      <w:r w:rsidR="00A757C6">
        <w:rPr>
          <w:rFonts w:ascii="Times New Roman" w:hAnsi="Times New Roman" w:cs="Times New Roman"/>
          <w:sz w:val="24"/>
          <w:szCs w:val="24"/>
        </w:rPr>
        <w:t>para</w:t>
      </w:r>
      <w:r w:rsidR="009D7137">
        <w:rPr>
          <w:rFonts w:ascii="Times New Roman" w:hAnsi="Times New Roman" w:cs="Times New Roman"/>
          <w:sz w:val="24"/>
          <w:szCs w:val="24"/>
        </w:rPr>
        <w:t xml:space="preserve"> conexões seguras</w:t>
      </w:r>
      <w:r w:rsidR="00A757C6">
        <w:rPr>
          <w:rFonts w:ascii="Times New Roman" w:hAnsi="Times New Roman" w:cs="Times New Roman"/>
          <w:sz w:val="24"/>
          <w:szCs w:val="24"/>
        </w:rPr>
        <w:t>.</w:t>
      </w:r>
    </w:p>
    <w:p w:rsidR="00DF3EF9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onde o usuário estabelece o primeiro contato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na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D13106" w:rsidRDefault="00A12079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Application Shell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pelo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[REFERENCIAR A SEÇÃO], 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2017).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BR"/>
        </w:rPr>
        <w:lastRenderedPageBreak/>
        <w:drawing>
          <wp:inline distT="0" distB="0" distL="1905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2C7090" w:rsidRPr="007C6ABB" w:rsidRDefault="007C6ABB" w:rsidP="007C6ABB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Aplicativos de conteúdo dinâmico são onde o uso des</w:t>
      </w:r>
      <w:r w:rsidR="00A12079">
        <w:rPr>
          <w:rFonts w:ascii="Times New Roman" w:hAnsi="Times New Roman" w:cs="Times New Roman"/>
          <w:sz w:val="24"/>
          <w:szCs w:val="24"/>
        </w:rPr>
        <w:t>sa arquitetura faz mais sentido,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2079">
        <w:rPr>
          <w:rFonts w:ascii="Times New Roman" w:hAnsi="Times New Roman" w:cs="Times New Roman"/>
          <w:sz w:val="24"/>
          <w:szCs w:val="24"/>
        </w:rPr>
        <w:t>para</w:t>
      </w:r>
      <w:r>
        <w:rPr>
          <w:rFonts w:ascii="Times New Roman" w:hAnsi="Times New Roman" w:cs="Times New Roman"/>
          <w:sz w:val="24"/>
          <w:szCs w:val="24"/>
        </w:rPr>
        <w:t xml:space="preserve"> aplicações pequenas e com conteúdo estático é recomendado o armazenamento em </w:t>
      </w:r>
      <w:r w:rsidRPr="007C6ABB"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D13106" w:rsidRDefault="00A12079">
      <w:pPr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Sevice Workers</w:t>
      </w:r>
    </w:p>
    <w:p w:rsidR="00D13106" w:rsidRDefault="00A12079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</w:t>
      </w:r>
      <w:r w:rsidR="00B50E9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lastRenderedPageBreak/>
        <w:t>que proporcionava diversos problemas para os desenvolvedores (GAUNT, 2017). [CITAR?]</w:t>
      </w:r>
    </w:p>
    <w:p w:rsidR="00D13106" w:rsidRDefault="00A1207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</w:t>
      </w:r>
      <w:r w:rsidR="00B50E95">
        <w:rPr>
          <w:rFonts w:ascii="Times New Roman" w:hAnsi="Times New Roman" w:cs="Times New Roman"/>
          <w:sz w:val="24"/>
          <w:szCs w:val="24"/>
        </w:rPr>
        <w:t>ário e o servidor (GAUNT, 2017)</w:t>
      </w:r>
      <w:r>
        <w:rPr>
          <w:rFonts w:ascii="Times New Roman" w:hAnsi="Times New Roman" w:cs="Times New Roman"/>
          <w:sz w:val="24"/>
          <w:szCs w:val="24"/>
        </w:rPr>
        <w:t xml:space="preserve">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worker</w:t>
      </w:r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ascii="Times New Roman" w:hAnsi="Times New Roman" w:cs="Times New Roman"/>
          <w:i/>
          <w:iCs/>
          <w:sz w:val="24"/>
          <w:szCs w:val="24"/>
        </w:rPr>
        <w:t>document object model</w:t>
      </w:r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faz com que o navegador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onde os arquivos estáticos controlados pelo mesmo serão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instalação. É importante notar que a página responsável pelo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não será controlada até que seja carregada novamente (GAUNT, 2017).</w:t>
      </w:r>
    </w:p>
    <w:p w:rsidR="00D13106" w:rsidRDefault="00A12079">
      <w:pPr>
        <w:jc w:val="both"/>
      </w:pPr>
      <w:r>
        <w:rPr>
          <w:noProof/>
          <w:lang w:eastAsia="pt-BR"/>
        </w:rPr>
        <w:lastRenderedPageBreak/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26923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assumir o controle das requisições da aplicação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 w:rsidR="00D13106" w:rsidRDefault="00A12079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</w:t>
      </w:r>
      <w:r w:rsidR="00B50E95">
        <w:rPr>
          <w:rFonts w:ascii="Times New Roman" w:hAnsi="Times New Roman" w:cs="Times New Roman"/>
          <w:sz w:val="24"/>
          <w:szCs w:val="24"/>
        </w:rPr>
        <w:t>HTTPS</w:t>
      </w:r>
      <w:r>
        <w:rPr>
          <w:rFonts w:ascii="Times New Roman" w:hAnsi="Times New Roman" w:cs="Times New Roman"/>
          <w:sz w:val="24"/>
          <w:szCs w:val="24"/>
        </w:rPr>
        <w:t xml:space="preserve">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</w:t>
      </w:r>
      <w:r w:rsidR="00B50E95">
        <w:rPr>
          <w:rFonts w:ascii="Times New Roman" w:hAnsi="Times New Roman" w:cs="Times New Roman"/>
          <w:sz w:val="24"/>
          <w:szCs w:val="24"/>
        </w:rPr>
        <w:t>atório e indispensável a utilização de uma conex</w:t>
      </w:r>
      <w:r w:rsidR="00F4497E">
        <w:rPr>
          <w:rFonts w:ascii="Times New Roman" w:hAnsi="Times New Roman" w:cs="Times New Roman"/>
          <w:sz w:val="24"/>
          <w:szCs w:val="24"/>
        </w:rPr>
        <w:t>ão segura</w:t>
      </w:r>
      <w:r>
        <w:rPr>
          <w:rFonts w:ascii="Times New Roman" w:hAnsi="Times New Roman" w:cs="Times New Roman"/>
          <w:sz w:val="24"/>
          <w:szCs w:val="24"/>
        </w:rPr>
        <w:t xml:space="preserve"> (GAUNT, 2017). [...]</w:t>
      </w:r>
    </w:p>
    <w:sectPr w:rsidR="00D13106" w:rsidSect="00D13106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34C47" w:rsidRDefault="00334C47" w:rsidP="001959C8">
      <w:pPr>
        <w:spacing w:after="0" w:line="240" w:lineRule="auto"/>
      </w:pPr>
      <w:r>
        <w:separator/>
      </w:r>
    </w:p>
  </w:endnote>
  <w:endnote w:type="continuationSeparator" w:id="1">
    <w:p w:rsidR="00334C47" w:rsidRDefault="00334C47" w:rsidP="00195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34C47" w:rsidRDefault="00334C47" w:rsidP="001959C8">
      <w:pPr>
        <w:spacing w:after="0" w:line="240" w:lineRule="auto"/>
      </w:pPr>
      <w:r>
        <w:separator/>
      </w:r>
    </w:p>
  </w:footnote>
  <w:footnote w:type="continuationSeparator" w:id="1">
    <w:p w:rsidR="00334C47" w:rsidRDefault="00334C47" w:rsidP="001959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13106"/>
    <w:rsid w:val="001959C8"/>
    <w:rsid w:val="002C7090"/>
    <w:rsid w:val="00334C47"/>
    <w:rsid w:val="00397635"/>
    <w:rsid w:val="0049392D"/>
    <w:rsid w:val="004A5E1C"/>
    <w:rsid w:val="00585575"/>
    <w:rsid w:val="006A4F4A"/>
    <w:rsid w:val="007C6ABB"/>
    <w:rsid w:val="007D2789"/>
    <w:rsid w:val="008033DE"/>
    <w:rsid w:val="00901DF3"/>
    <w:rsid w:val="009C7E41"/>
    <w:rsid w:val="009D7137"/>
    <w:rsid w:val="00A12079"/>
    <w:rsid w:val="00A757C6"/>
    <w:rsid w:val="00B244CA"/>
    <w:rsid w:val="00B50E95"/>
    <w:rsid w:val="00D13106"/>
    <w:rsid w:val="00DA0A5F"/>
    <w:rsid w:val="00DF3EF9"/>
    <w:rsid w:val="00F44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  <w:pPr>
      <w:spacing w:after="200" w:line="276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Corpodetexto"/>
    <w:qFormat/>
    <w:rsid w:val="005E579A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E579A"/>
    <w:pPr>
      <w:spacing w:after="140" w:line="288" w:lineRule="auto"/>
    </w:pPr>
  </w:style>
  <w:style w:type="paragraph" w:styleId="Lista">
    <w:name w:val="List"/>
    <w:basedOn w:val="Corpodetexto"/>
    <w:rsid w:val="005E579A"/>
    <w:rPr>
      <w:rFonts w:cs="FreeSans"/>
    </w:rPr>
  </w:style>
  <w:style w:type="paragraph" w:customStyle="1" w:styleId="Caption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817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6758D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Cabealho">
    <w:name w:val="header"/>
    <w:basedOn w:val="Normal"/>
    <w:link w:val="Cabealho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1959C8"/>
  </w:style>
  <w:style w:type="paragraph" w:styleId="Rodap">
    <w:name w:val="footer"/>
    <w:basedOn w:val="Normal"/>
    <w:link w:val="Rodap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1959C8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4</Pages>
  <Words>867</Words>
  <Characters>4688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40</cp:revision>
  <dcterms:created xsi:type="dcterms:W3CDTF">2017-04-14T11:50:00Z</dcterms:created>
  <dcterms:modified xsi:type="dcterms:W3CDTF">2017-04-30T17:21:00Z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