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center"/>
        <w:rPr>
          <w:rFonts w:ascii="Arial" w:hAnsi="Arial" w:eastAsia="Arial" w:cs="Arial"/>
          <w:b/>
          <w:sz w:val="28"/>
          <w:szCs w:val="28"/>
        </w:rPr>
      </w:pPr>
      <w:r>
        <w:rPr>
          <w:rFonts w:ascii="Arial" w:hAnsi="Arial" w:eastAsia="Arial" w:cs="Arial"/>
          <w:b/>
          <w:sz w:val="28"/>
          <w:szCs w:val="28"/>
        </w:rPr>
        <w:t>DSWD DROMIC Report #168 on the Coronavirus Disease (COVID19)</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contextualSpacing/>
        <w:jc w:val="center"/>
        <w:rPr>
          <w:rFonts w:ascii="Arial" w:hAnsi="Arial" w:eastAsia="Arial" w:cs="Arial"/>
          <w:sz w:val="24"/>
          <w:szCs w:val="24"/>
        </w:rPr>
      </w:pPr>
      <w:r>
        <w:rPr>
          <w:rFonts w:ascii="Arial" w:hAnsi="Arial" w:eastAsia="Arial" w:cs="Arial"/>
          <w:sz w:val="24"/>
          <w:szCs w:val="24"/>
        </w:rPr>
        <w:t>as of 15 June 2020, 6PM</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contextualSpacing/>
        <w:jc w:val="center"/>
        <w:rPr>
          <w:rFonts w:ascii="Arial" w:hAnsi="Arial" w:eastAsia="Arial" w:cs="Arial"/>
          <w:sz w:val="24"/>
          <w:szCs w:val="24"/>
        </w:rPr>
      </w:pPr>
    </w:p>
    <w:p>
      <w:pPr>
        <w:spacing w:after="0" w:line="240" w:lineRule="auto"/>
        <w:contextualSpacing/>
        <w:jc w:val="both"/>
        <w:rPr>
          <w:rFonts w:ascii="Arial" w:hAnsi="Arial" w:eastAsia="Arial" w:cs="Arial"/>
          <w:b/>
          <w:color w:val="002060"/>
          <w:sz w:val="28"/>
          <w:szCs w:val="28"/>
        </w:rPr>
      </w:pPr>
      <w:r>
        <w:rPr>
          <w:rFonts w:ascii="Arial" w:hAnsi="Arial" w:eastAsia="Arial" w:cs="Arial"/>
          <w:b/>
          <w:color w:val="002060"/>
          <w:sz w:val="28"/>
          <w:szCs w:val="28"/>
        </w:rPr>
        <w:t>Situation Overview</w:t>
      </w:r>
    </w:p>
    <w:p>
      <w:pPr>
        <w:spacing w:after="0" w:line="240" w:lineRule="auto"/>
        <w:contextualSpacing/>
        <w:jc w:val="both"/>
        <w:rPr>
          <w:rFonts w:ascii="Arial" w:hAnsi="Arial" w:eastAsia="Arial" w:cs="Arial"/>
          <w:b/>
          <w:color w:val="002060"/>
          <w:sz w:val="28"/>
          <w:szCs w:val="28"/>
        </w:rPr>
      </w:pP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both"/>
        <w:rPr>
          <w:rFonts w:ascii="Arial" w:hAnsi="Arial" w:eastAsia="Arial" w:cs="Arial"/>
          <w:sz w:val="24"/>
          <w:szCs w:val="24"/>
        </w:rPr>
      </w:pPr>
      <w:r>
        <w:rPr>
          <w:rFonts w:ascii="Arial" w:hAnsi="Arial" w:eastAsia="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right"/>
        <w:rPr>
          <w:rFonts w:ascii="Arial" w:hAnsi="Arial" w:eastAsia="Arial" w:cs="Arial"/>
          <w:sz w:val="24"/>
          <w:szCs w:val="24"/>
        </w:rPr>
      </w:pP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both"/>
        <w:rPr>
          <w:rFonts w:ascii="Arial" w:hAnsi="Arial" w:eastAsia="Arial" w:cs="Arial"/>
          <w:sz w:val="24"/>
          <w:szCs w:val="24"/>
        </w:rPr>
      </w:pPr>
      <w:r>
        <w:rPr>
          <w:rFonts w:ascii="Arial" w:hAnsi="Arial" w:eastAsia="Arial" w:cs="Arial"/>
          <w:sz w:val="24"/>
          <w:szCs w:val="24"/>
        </w:rPr>
        <w:t xml:space="preserve">As of </w:t>
      </w:r>
      <w:r>
        <w:rPr>
          <w:rFonts w:ascii="Arial" w:hAnsi="Arial" w:eastAsia="Arial" w:cs="Arial"/>
          <w:b/>
          <w:sz w:val="24"/>
          <w:szCs w:val="24"/>
        </w:rPr>
        <w:t>14 June 2020, 4PM</w:t>
      </w:r>
      <w:r>
        <w:rPr>
          <w:rFonts w:ascii="Arial" w:hAnsi="Arial" w:eastAsia="Arial" w:cs="Arial"/>
          <w:sz w:val="24"/>
          <w:szCs w:val="24"/>
        </w:rPr>
        <w:t xml:space="preserve">, the Department of Health (DOH) has recorded a total of </w:t>
      </w:r>
      <w:r>
        <w:rPr>
          <w:rFonts w:ascii="Arial" w:hAnsi="Arial" w:eastAsia="Arial" w:cs="Arial"/>
          <w:b/>
          <w:sz w:val="24"/>
          <w:szCs w:val="24"/>
        </w:rPr>
        <w:t>25,930 confirmed cases</w:t>
      </w:r>
      <w:r>
        <w:rPr>
          <w:rFonts w:ascii="Arial" w:hAnsi="Arial" w:eastAsia="Arial" w:cs="Arial"/>
          <w:sz w:val="24"/>
          <w:szCs w:val="24"/>
        </w:rPr>
        <w:t xml:space="preserve">; of which, </w:t>
      </w:r>
      <w:r>
        <w:rPr>
          <w:rFonts w:ascii="Arial" w:hAnsi="Arial" w:eastAsia="Arial" w:cs="Arial"/>
          <w:b/>
          <w:sz w:val="24"/>
          <w:szCs w:val="24"/>
        </w:rPr>
        <w:t xml:space="preserve">18,888 </w:t>
      </w:r>
      <w:r>
        <w:rPr>
          <w:rFonts w:ascii="Arial" w:hAnsi="Arial" w:eastAsia="Arial" w:cs="Arial"/>
          <w:sz w:val="24"/>
          <w:szCs w:val="24"/>
        </w:rPr>
        <w:t>are</w:t>
      </w:r>
      <w:r>
        <w:rPr>
          <w:rFonts w:ascii="Arial" w:hAnsi="Arial" w:eastAsia="Arial" w:cs="Arial"/>
          <w:b/>
          <w:sz w:val="24"/>
          <w:szCs w:val="24"/>
        </w:rPr>
        <w:t xml:space="preserve"> active</w:t>
      </w:r>
      <w:r>
        <w:rPr>
          <w:rFonts w:ascii="Arial" w:hAnsi="Arial" w:eastAsia="Arial" w:cs="Arial"/>
          <w:sz w:val="24"/>
          <w:szCs w:val="24"/>
        </w:rPr>
        <w:t xml:space="preserve">, </w:t>
      </w:r>
      <w:r>
        <w:rPr>
          <w:rFonts w:ascii="Arial" w:hAnsi="Arial" w:eastAsia="Arial" w:cs="Arial"/>
          <w:b/>
          <w:sz w:val="24"/>
          <w:szCs w:val="24"/>
        </w:rPr>
        <w:t xml:space="preserve">5,954 </w:t>
      </w:r>
      <w:r>
        <w:rPr>
          <w:rFonts w:ascii="Arial" w:hAnsi="Arial" w:eastAsia="Arial" w:cs="Arial"/>
          <w:sz w:val="24"/>
          <w:szCs w:val="24"/>
        </w:rPr>
        <w:t>have</w:t>
      </w:r>
      <w:r>
        <w:rPr>
          <w:rFonts w:ascii="Arial" w:hAnsi="Arial" w:eastAsia="Arial" w:cs="Arial"/>
          <w:b/>
          <w:sz w:val="24"/>
          <w:szCs w:val="24"/>
        </w:rPr>
        <w:t xml:space="preserve"> recovered </w:t>
      </w:r>
      <w:r>
        <w:rPr>
          <w:rFonts w:ascii="Arial" w:hAnsi="Arial" w:eastAsia="Arial" w:cs="Arial"/>
          <w:sz w:val="24"/>
          <w:szCs w:val="24"/>
        </w:rPr>
        <w:t>and</w:t>
      </w:r>
      <w:r>
        <w:rPr>
          <w:rFonts w:ascii="Arial" w:hAnsi="Arial" w:eastAsia="Arial" w:cs="Arial"/>
          <w:b/>
          <w:sz w:val="24"/>
          <w:szCs w:val="24"/>
        </w:rPr>
        <w:t xml:space="preserve"> 1,088 deaths</w:t>
      </w:r>
      <w:r>
        <w:rPr>
          <w:rFonts w:ascii="Arial" w:hAnsi="Arial" w:eastAsia="Arial" w:cs="Arial"/>
          <w:sz w:val="24"/>
          <w:szCs w:val="24"/>
        </w:rPr>
        <w:t>.</w:t>
      </w: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right"/>
        <w:rPr>
          <w:rFonts w:ascii="Arial" w:hAnsi="Arial" w:eastAsia="Arial" w:cs="Arial"/>
          <w:i/>
          <w:sz w:val="16"/>
          <w:szCs w:val="16"/>
        </w:rPr>
      </w:pPr>
      <w:r>
        <w:rPr>
          <w:rFonts w:ascii="Arial" w:hAnsi="Arial" w:eastAsia="Arial" w:cs="Arial"/>
          <w:i/>
          <w:color w:val="0070C0"/>
          <w:sz w:val="16"/>
          <w:szCs w:val="16"/>
        </w:rPr>
        <w:t>Source: DOH-COVID-19 Bulletin #092</w:t>
      </w: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contextualSpacing/>
        <w:jc w:val="right"/>
        <w:rPr>
          <w:rFonts w:ascii="Arial" w:hAnsi="Arial" w:eastAsia="Arial" w:cs="Arial"/>
          <w:i/>
          <w:color w:val="0070C0"/>
          <w:sz w:val="16"/>
          <w:szCs w:val="16"/>
        </w:rPr>
      </w:pPr>
    </w:p>
    <w:p>
      <w:pPr>
        <w:pStyle w:val="3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pPr>
        <w:spacing w:after="0" w:line="240" w:lineRule="auto"/>
        <w:ind w:left="426"/>
        <w:contextualSpacing/>
        <w:jc w:val="both"/>
        <w:rPr>
          <w:rFonts w:ascii="Arial" w:hAnsi="Arial" w:eastAsia="Arial" w:cs="Arial"/>
          <w:color w:val="auto"/>
          <w:sz w:val="24"/>
          <w:szCs w:val="24"/>
        </w:rPr>
      </w:pPr>
      <w:bookmarkStart w:id="0" w:name="_heading=h.1fob9te" w:colFirst="0" w:colLast="0"/>
      <w:bookmarkEnd w:id="0"/>
      <w:r>
        <w:rPr>
          <w:rFonts w:ascii="Arial" w:hAnsi="Arial" w:eastAsia="Arial" w:cs="Arial"/>
          <w:color w:val="auto"/>
          <w:sz w:val="24"/>
          <w:szCs w:val="24"/>
        </w:rPr>
        <w:t xml:space="preserve">A total of </w:t>
      </w:r>
      <w:r>
        <w:rPr>
          <w:rFonts w:ascii="Arial" w:hAnsi="Arial" w:eastAsia="Arial" w:cs="Arial"/>
          <w:b/>
          <w:color w:val="auto"/>
          <w:sz w:val="24"/>
          <w:szCs w:val="24"/>
        </w:rPr>
        <w:t>₱</w:t>
      </w:r>
      <w:r>
        <w:rPr>
          <w:rFonts w:ascii="Arial" w:hAnsi="Arial" w:eastAsia="Arial" w:cs="Arial"/>
          <w:b/>
          <w:bCs/>
          <w:color w:val="auto"/>
          <w:sz w:val="24"/>
          <w:szCs w:val="24"/>
        </w:rPr>
        <w:t xml:space="preserve">13,887,718,500.40 </w:t>
      </w:r>
      <w:r>
        <w:rPr>
          <w:rFonts w:ascii="Arial" w:hAnsi="Arial" w:eastAsia="Arial" w:cs="Arial"/>
          <w:color w:val="auto"/>
          <w:sz w:val="24"/>
          <w:szCs w:val="24"/>
        </w:rPr>
        <w:t xml:space="preserve">worth of assistance was provided to the families and individuals including strandees affected by community quarantine being implemented due to COVID-19 pandemic; of which, </w:t>
      </w:r>
      <w:r>
        <w:rPr>
          <w:rFonts w:ascii="Arial" w:hAnsi="Arial" w:eastAsia="Arial" w:cs="Arial"/>
          <w:b/>
          <w:color w:val="auto"/>
          <w:sz w:val="24"/>
          <w:szCs w:val="24"/>
        </w:rPr>
        <w:t>₱</w:t>
      </w:r>
      <w:r>
        <w:rPr>
          <w:rFonts w:ascii="Arial" w:hAnsi="Arial" w:eastAsia="Arial" w:cs="Arial"/>
          <w:b/>
          <w:bCs/>
          <w:color w:val="auto"/>
          <w:sz w:val="24"/>
          <w:szCs w:val="24"/>
        </w:rPr>
        <w:t xml:space="preserve">483,961,885.95 </w:t>
      </w:r>
      <w:r>
        <w:rPr>
          <w:rFonts w:ascii="Arial" w:hAnsi="Arial" w:eastAsia="Arial" w:cs="Arial"/>
          <w:bCs/>
          <w:color w:val="auto"/>
          <w:sz w:val="24"/>
          <w:szCs w:val="24"/>
        </w:rPr>
        <w:t>was</w:t>
      </w:r>
      <w:r>
        <w:rPr>
          <w:rFonts w:ascii="Arial" w:hAnsi="Arial" w:eastAsia="Arial" w:cs="Arial"/>
          <w:color w:val="auto"/>
          <w:sz w:val="24"/>
          <w:szCs w:val="24"/>
        </w:rPr>
        <w:t xml:space="preserve"> provided by </w:t>
      </w:r>
      <w:r>
        <w:rPr>
          <w:rFonts w:ascii="Arial" w:hAnsi="Arial" w:eastAsia="Arial" w:cs="Arial"/>
          <w:b/>
          <w:color w:val="auto"/>
          <w:sz w:val="24"/>
          <w:szCs w:val="24"/>
        </w:rPr>
        <w:t>DSWD</w:t>
      </w:r>
      <w:r>
        <w:rPr>
          <w:rFonts w:ascii="Arial" w:hAnsi="Arial" w:eastAsia="Arial" w:cs="Arial"/>
          <w:color w:val="auto"/>
          <w:sz w:val="24"/>
          <w:szCs w:val="24"/>
        </w:rPr>
        <w:t>,</w:t>
      </w:r>
      <w:r>
        <w:rPr>
          <w:rFonts w:ascii="Arial" w:hAnsi="Arial" w:eastAsia="Arial" w:cs="Arial"/>
          <w:b/>
          <w:color w:val="auto"/>
          <w:sz w:val="24"/>
          <w:szCs w:val="24"/>
        </w:rPr>
        <w:t xml:space="preserve"> ₱</w:t>
      </w:r>
      <w:r>
        <w:rPr>
          <w:rFonts w:ascii="Arial" w:hAnsi="Arial" w:eastAsia="Arial" w:cs="Arial"/>
          <w:b/>
          <w:bCs/>
          <w:color w:val="auto"/>
          <w:sz w:val="24"/>
          <w:szCs w:val="24"/>
        </w:rPr>
        <w:t xml:space="preserve">12,972,962,615.06 </w:t>
      </w:r>
      <w:r>
        <w:rPr>
          <w:rFonts w:ascii="Arial" w:hAnsi="Arial" w:eastAsia="Arial" w:cs="Arial"/>
          <w:color w:val="auto"/>
          <w:sz w:val="24"/>
          <w:szCs w:val="24"/>
        </w:rPr>
        <w:t xml:space="preserve">from </w:t>
      </w:r>
      <w:r>
        <w:rPr>
          <w:rFonts w:ascii="Arial" w:hAnsi="Arial" w:eastAsia="Arial" w:cs="Arial"/>
          <w:b/>
          <w:color w:val="auto"/>
          <w:sz w:val="24"/>
          <w:szCs w:val="24"/>
        </w:rPr>
        <w:t>LGUs</w:t>
      </w:r>
      <w:r>
        <w:rPr>
          <w:rFonts w:ascii="Arial" w:hAnsi="Arial" w:eastAsia="Arial" w:cs="Arial"/>
          <w:color w:val="auto"/>
          <w:sz w:val="24"/>
          <w:szCs w:val="24"/>
        </w:rPr>
        <w:t xml:space="preserve">, </w:t>
      </w:r>
      <w:r>
        <w:rPr>
          <w:rFonts w:ascii="Arial" w:hAnsi="Arial" w:eastAsia="Arial" w:cs="Arial"/>
          <w:b/>
          <w:color w:val="auto"/>
          <w:sz w:val="24"/>
          <w:szCs w:val="24"/>
        </w:rPr>
        <w:t>₱</w:t>
      </w:r>
      <w:r>
        <w:rPr>
          <w:rFonts w:ascii="Arial" w:hAnsi="Arial" w:eastAsia="Arial" w:cs="Arial"/>
          <w:b/>
          <w:bCs/>
          <w:color w:val="auto"/>
          <w:sz w:val="24"/>
          <w:szCs w:val="24"/>
        </w:rPr>
        <w:t xml:space="preserve">398,950,589.83 </w:t>
      </w:r>
      <w:r>
        <w:rPr>
          <w:rFonts w:ascii="Arial" w:hAnsi="Arial" w:eastAsia="Arial" w:cs="Arial"/>
          <w:color w:val="auto"/>
          <w:sz w:val="24"/>
          <w:szCs w:val="24"/>
        </w:rPr>
        <w:t xml:space="preserve">from </w:t>
      </w:r>
      <w:r>
        <w:rPr>
          <w:rFonts w:ascii="Arial" w:hAnsi="Arial" w:eastAsia="Arial" w:cs="Arial"/>
          <w:b/>
          <w:color w:val="auto"/>
          <w:sz w:val="24"/>
          <w:szCs w:val="24"/>
        </w:rPr>
        <w:t>NGOs</w:t>
      </w:r>
      <w:r>
        <w:rPr>
          <w:rFonts w:ascii="Arial" w:hAnsi="Arial" w:eastAsia="Arial" w:cs="Arial"/>
          <w:color w:val="auto"/>
          <w:sz w:val="24"/>
          <w:szCs w:val="24"/>
        </w:rPr>
        <w:t xml:space="preserve">, and </w:t>
      </w:r>
      <w:r>
        <w:rPr>
          <w:rFonts w:ascii="Arial" w:hAnsi="Arial" w:eastAsia="Arial" w:cs="Arial"/>
          <w:b/>
          <w:color w:val="auto"/>
          <w:sz w:val="24"/>
          <w:szCs w:val="24"/>
        </w:rPr>
        <w:t>₱</w:t>
      </w:r>
      <w:r>
        <w:rPr>
          <w:rFonts w:ascii="Arial" w:hAnsi="Arial" w:eastAsia="Arial" w:cs="Arial"/>
          <w:b/>
          <w:bCs/>
          <w:color w:val="auto"/>
          <w:sz w:val="24"/>
          <w:szCs w:val="24"/>
        </w:rPr>
        <w:t xml:space="preserve">31,843,409.56 </w:t>
      </w:r>
      <w:r>
        <w:rPr>
          <w:rFonts w:ascii="Arial" w:hAnsi="Arial" w:eastAsia="Arial" w:cs="Arial"/>
          <w:color w:val="auto"/>
          <w:sz w:val="24"/>
          <w:szCs w:val="24"/>
        </w:rPr>
        <w:t xml:space="preserve">from </w:t>
      </w:r>
      <w:r>
        <w:rPr>
          <w:rFonts w:ascii="Arial" w:hAnsi="Arial" w:eastAsia="Arial" w:cs="Arial"/>
          <w:b/>
          <w:color w:val="auto"/>
          <w:sz w:val="24"/>
          <w:szCs w:val="24"/>
        </w:rPr>
        <w:t>Private Partners</w:t>
      </w:r>
      <w:r>
        <w:rPr>
          <w:rFonts w:ascii="Arial" w:hAnsi="Arial" w:eastAsia="Arial" w:cs="Arial"/>
          <w:b/>
          <w:color w:val="auto"/>
          <w:sz w:val="20"/>
          <w:szCs w:val="20"/>
        </w:rPr>
        <w:t xml:space="preserve"> </w:t>
      </w:r>
      <w:r>
        <w:rPr>
          <w:rFonts w:ascii="Arial" w:hAnsi="Arial" w:eastAsia="Arial" w:cs="Arial"/>
          <w:color w:val="auto"/>
          <w:sz w:val="24"/>
          <w:szCs w:val="24"/>
        </w:rPr>
        <w:t>(see Table 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contextualSpacing/>
        <w:jc w:val="both"/>
        <w:rPr>
          <w:rFonts w:ascii="Arial" w:hAnsi="Arial" w:cs="Arial"/>
          <w:b/>
          <w:bCs/>
          <w:i/>
          <w:iCs/>
          <w:color w:val="222222"/>
          <w:sz w:val="20"/>
          <w:szCs w:val="20"/>
          <w:shd w:val="clear" w:color="auto" w:fill="FFFFFF"/>
        </w:rPr>
      </w:pPr>
      <w:bookmarkStart w:id="3" w:name="_GoBack"/>
      <w:bookmarkEnd w:id="3"/>
    </w:p>
    <w:p>
      <w:pPr>
        <w:widowControl/>
        <w:shd w:val="clear" w:color="auto" w:fill="FFFFFF"/>
        <w:spacing w:after="0" w:line="240" w:lineRule="auto"/>
        <w:ind w:firstLine="426"/>
        <w:contextualSpacing/>
        <w:jc w:val="both"/>
        <w:rPr>
          <w:rFonts w:ascii="Arial" w:hAnsi="Arial" w:eastAsia="Arial" w:cs="Arial"/>
          <w:b/>
          <w:i/>
          <w:sz w:val="20"/>
          <w:szCs w:val="20"/>
        </w:rPr>
      </w:pPr>
      <w:r>
        <w:rPr>
          <w:rFonts w:ascii="Arial" w:hAnsi="Arial" w:eastAsia="Arial" w:cs="Arial"/>
          <w:b/>
          <w:i/>
          <w:sz w:val="20"/>
          <w:szCs w:val="20"/>
        </w:rPr>
        <w:t>Table 1. Cost of Assistance Provided to Affected Families / Persons</w:t>
      </w:r>
    </w:p>
    <w:tbl>
      <w:tblPr>
        <w:tblStyle w:val="22"/>
        <w:tblW w:w="0" w:type="auto"/>
        <w:tblInd w:w="421" w:type="dxa"/>
        <w:tblLayout w:type="autofit"/>
        <w:tblCellMar>
          <w:top w:w="0" w:type="dxa"/>
          <w:left w:w="0" w:type="dxa"/>
          <w:bottom w:w="0" w:type="dxa"/>
          <w:right w:w="0" w:type="dxa"/>
        </w:tblCellMar>
      </w:tblPr>
      <w:tblGrid>
        <w:gridCol w:w="154"/>
        <w:gridCol w:w="2687"/>
        <w:gridCol w:w="1208"/>
        <w:gridCol w:w="1481"/>
        <w:gridCol w:w="1208"/>
        <w:gridCol w:w="1116"/>
        <w:gridCol w:w="1481"/>
      </w:tblGrid>
      <w:tr>
        <w:tblPrEx>
          <w:tblCellMar>
            <w:top w:w="0" w:type="dxa"/>
            <w:left w:w="0" w:type="dxa"/>
            <w:bottom w:w="0" w:type="dxa"/>
            <w:right w:w="0" w:type="dxa"/>
          </w:tblCellMar>
        </w:tblPrEx>
        <w:trPr>
          <w:trHeight w:val="20" w:hRule="atLeast"/>
          <w:tblHeader/>
        </w:trPr>
        <w:tc>
          <w:tcPr>
            <w:tcW w:w="2828" w:type="dxa"/>
            <w:gridSpan w:val="2"/>
            <w:vMerge w:val="restart"/>
            <w:tcBorders>
              <w:top w:val="single" w:color="auto" w:sz="4" w:space="0"/>
              <w:left w:val="single" w:color="auto" w:sz="4" w:space="0"/>
              <w:bottom w:val="single" w:color="auto" w:sz="4" w:space="0"/>
              <w:right w:val="single" w:color="auto" w:sz="4" w:space="0"/>
            </w:tcBorders>
            <w:shd w:val="clear" w:color="7F7F7F" w:fill="7F7F7F"/>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tblPrEx>
          <w:tblCellMar>
            <w:top w:w="0" w:type="dxa"/>
            <w:left w:w="0" w:type="dxa"/>
            <w:bottom w:w="0" w:type="dxa"/>
            <w:right w:w="0" w:type="dxa"/>
          </w:tblCellMar>
        </w:tblPrEx>
        <w:trPr>
          <w:trHeight w:val="20" w:hRule="atLeast"/>
          <w:tblHeader/>
        </w:trPr>
        <w:tc>
          <w:tcPr>
            <w:tcW w:w="2828"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right="57"/>
              <w:contextualSpacing/>
              <w:rPr>
                <w:rFonts w:ascii="Arial Narrow" w:hAnsi="Arial Narrow"/>
                <w:b/>
                <w:bCs/>
                <w:color w:val="000000"/>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color="auto" w:sz="4" w:space="0"/>
              <w:left w:val="single" w:color="auto" w:sz="4" w:space="0"/>
              <w:bottom w:val="single" w:color="auto" w:sz="4" w:space="0"/>
              <w:right w:val="single" w:color="auto" w:sz="4" w:space="0"/>
            </w:tcBorders>
            <w:shd w:val="clear" w:color="808080" w:fill="808080"/>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tblPrEx>
          <w:tblCellMar>
            <w:top w:w="0" w:type="dxa"/>
            <w:left w:w="0" w:type="dxa"/>
            <w:bottom w:w="0" w:type="dxa"/>
            <w:right w:w="0" w:type="dxa"/>
          </w:tblCellMar>
        </w:tblPrEx>
        <w:trPr>
          <w:trHeight w:val="20" w:hRule="atLeast"/>
        </w:trPr>
        <w:tc>
          <w:tcPr>
            <w:tcW w:w="2828" w:type="dxa"/>
            <w:gridSpan w:val="2"/>
            <w:tcBorders>
              <w:top w:val="single" w:color="auto"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color="auto" w:sz="4" w:space="0"/>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483,961,885.95 </w:t>
            </w:r>
          </w:p>
        </w:tc>
        <w:tc>
          <w:tcPr>
            <w:tcW w:w="0" w:type="auto"/>
            <w:tcBorders>
              <w:top w:val="single" w:color="auto" w:sz="4" w:space="0"/>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12,972,962,615.06 </w:t>
            </w:r>
          </w:p>
        </w:tc>
        <w:tc>
          <w:tcPr>
            <w:tcW w:w="0" w:type="auto"/>
            <w:tcBorders>
              <w:top w:val="single" w:color="auto" w:sz="4" w:space="0"/>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color="auto" w:sz="4" w:space="0"/>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color="auto" w:sz="4" w:space="0"/>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13,887,718,500.40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106,672,656.70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1,800,267,950.55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7,497,000.00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249,597,000.00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5,804,500.00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43,855,580.00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12,639,204.00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50,081,704.00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113,607,510.00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7,130,450.00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352,440,253.85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24,552,500.00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4,385,160.00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264,385,160.00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13,197,100.00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203,682,100.00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12,825,122.70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71,675,122.70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5,721,900.00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107,798,900.00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708,073,846.92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14,700,908.70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432,375,910.23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2,627,561.10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84,330,601.36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2,627,561.10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27,627,561.10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23,073,278.55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850,039,806.60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59,500,952.03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5,919,892.24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288,800,674.92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761,353.60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29,147,353.60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4,623,872.50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167,570,770.39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4,123,026.26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82,248,242.91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165,909,983.05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44,264,415.74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7,581,012,379.72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7,648,080,850.26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1,686,248.00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1,644,853,107.86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1,648,072,355.86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12,127,240.69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12,127,240.69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9,071,984.76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9,079,464.76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36,817,396.30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36,828,616.30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13,788,959.12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13,788,959.12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15,023,865.95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15,023,865.95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135,092,113.65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135,114,553.65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14,113,536.07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173,916,111.45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174,010,359.45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159,588.00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20,317,093.70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10,390,996.00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2,118,183,145.11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2,136,328,217.91 </w:t>
            </w:r>
          </w:p>
        </w:tc>
      </w:tr>
      <w:tr>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26,215,430.06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26,634,310.06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26,064,405.96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26,438,405.96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188,412,135.14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188,851,211.14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129,916,735.46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33,754,796.96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34,360,676.96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220,971,452.82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221,401,552.82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187,183,887.52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187,582,945.52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11,951,365.90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12,325,365.90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17,148,947.50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17,522,947.50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16,867,651.95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17,241,651.95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31,641,271.28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32,295,771.28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17,201,806.83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17,575,806.83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47,044,238.00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47,418,238.00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87,147,882.88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87,521,882.88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77,561,447.46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77,935,447.46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12,013,137.42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12,387,137.42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101,478,665.65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101,890,065.65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1,725,938,807.94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1,736,133,313.68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147,877,976.62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148,388,186.62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16,309,078.02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16,591,078.02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18,352,133.42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18,587,133.42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9,014,877.74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9,249,877.74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13,027,961.58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13,262,961.58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13,668,295.27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13,903,295.27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29,216,821.35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29,563,149.35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12,753,678.71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12,988,678.71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16,597,095.12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16,832,095.12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7,328,677.17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7,563,677.17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16,047,324.40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16,295,014.40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31,307,914.60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31,542,914.60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16,301,555.50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16,717,765.50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19,813,623.80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20,142,623.80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8,261,663.39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8,677,873.39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108,335,328.19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108,776,528.19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120,385,713.56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120,782,033.56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13,858,035.84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14,093,035.84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323,767,672.18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324,367,399.92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12,871,747.67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13,138,537.67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13,728,978.58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13,963,978.58 </w:t>
            </w:r>
          </w:p>
        </w:tc>
      </w:tr>
      <w:tr>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872,020,771.43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888,741,189.43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84,227,151.78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84,791,151.78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8,954,704.74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10,129,704.74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30,029,624.58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30,264,624.58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25,284,801.40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25,754,801.40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32,689,946.93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33,159,946.93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30,275,579.27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30,745,579.27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19,476,914.55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19,946,914.55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19,699,780.97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19,981,780.97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81,159,154.12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81,713,304.12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7,016,664.85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7,486,664.85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40,858,818.06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41,328,818.06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24,247,526.20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24,717,526.20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32,546,818.41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33,016,818.41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14,810,059.79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15,045,059.79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27,870,983.32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28,118,699.32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38,645,537.74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38,880,537.74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5,272,248.00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1,220,016,547.38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1,238,805,773.38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227,235,661.55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240,863,639.55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346,688,992.32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346,789,972.32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76,971,325.08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77,027,425.08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138,553,899.39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138,823,119.39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28,340,905.65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68,918,457.48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72,635,277.48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79,548,209.77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79,728,209.77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10,961,352.50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135,363,500.99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1,352,987.50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20,263,401.77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1,200,725.00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4,278,013.22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2,941,200.00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99,196,146.00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3,289,340.00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8,126,840.00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36,260,365.71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340,157,161.37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379,494,477.08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6,425,566.62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68,674,597.72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6,229,902.59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42,905,744.30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50,716,846.89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FFFFFF" w:fill="FFFFFF"/>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12,164,068.00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153,797,885.37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27,856,635.70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2,070,408.00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32,883,110.00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2,645,158.00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34,946,423.67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4,454,590.00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18,254,640.00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50,475,108.06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423,675,108.06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9,157,798.18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9,157,798.18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FFFFFF" w:fill="FFFFFF"/>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211,610.62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211,610.62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34,532,022.76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407,732,022.76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FFFFFF" w:fill="FFFFFF"/>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FFFFFF" w:fill="FFFFFF"/>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FFFFFF" w:fill="FFFFFF"/>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FFFFFF" w:fill="FFFFFF"/>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1,851,317.84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1,851,317.84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FFFFFF" w:fill="FFFFFF"/>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11,119,823.56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11,119,823.56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921,975.00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921,975.00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3,061,202.06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3,061,202.06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38,567,559.69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318,455,697.69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7,484,472.66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22,458,668.66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596,681.80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7,944,505.80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12,145,399.44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238,452,007.44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7,996,959.09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234,303,567.09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nil"/>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nil"/>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tblPrEx>
          <w:tblCellMar>
            <w:top w:w="0" w:type="dxa"/>
            <w:left w:w="0" w:type="dxa"/>
            <w:bottom w:w="0" w:type="dxa"/>
            <w:right w:w="0" w:type="dxa"/>
          </w:tblCellMar>
        </w:tblPrEx>
        <w:trPr>
          <w:trHeight w:val="20" w:hRule="atLeast"/>
        </w:trPr>
        <w:tc>
          <w:tcPr>
            <w:tcW w:w="141" w:type="dxa"/>
            <w:tcBorders>
              <w:top w:val="single" w:color="000000" w:sz="4" w:space="0"/>
              <w:left w:val="single" w:color="000000" w:sz="4" w:space="0"/>
              <w:bottom w:val="single" w:color="000000" w:sz="4" w:space="0"/>
              <w:right w:val="nil"/>
            </w:tcBorders>
            <w:shd w:val="clear" w:color="595959" w:fill="595959"/>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single" w:color="000000" w:sz="4" w:space="0"/>
              <w:left w:val="nil"/>
              <w:bottom w:val="single" w:color="000000" w:sz="4" w:space="0"/>
              <w:right w:val="single" w:color="000000" w:sz="4" w:space="0"/>
            </w:tcBorders>
            <w:shd w:val="clear" w:color="595959" w:fill="595959"/>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color="000000" w:sz="4" w:space="0"/>
              <w:right w:val="single" w:color="000000" w:sz="4" w:space="0"/>
            </w:tcBorders>
            <w:shd w:val="clear" w:color="595959" w:fill="595959"/>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color="000000" w:sz="4" w:space="0"/>
              <w:right w:val="single" w:color="000000" w:sz="4" w:space="0"/>
            </w:tcBorders>
            <w:shd w:val="clear" w:color="595959" w:fill="595959"/>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595959" w:fill="595959"/>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595959" w:fill="595959"/>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595959" w:fill="595959"/>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15,182,912.10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568,473,698.74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586,622,210.84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2,519,484.00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184,414,184.36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9,986,874.00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105,571,752.49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45,325,874.37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176,482,787.29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231,164,525.66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12,327,202.33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44,569,666.93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2,040,286.06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3,950,089.40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25,104,265.40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12,160,680.69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74,621,943.40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96,067,533.09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4,986,125.56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45,308,325.56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7,742,744.50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350,829.84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2,193,789.84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1,841,148.88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6,942,551.88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6,609,482.59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38,314,888.09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3,621,552.70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7,819,608.70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A5A5A5" w:fill="A5A5A5"/>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A5A5A5" w:fill="A5A5A5"/>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tblPrEx>
          <w:tblCellMar>
            <w:top w:w="0" w:type="dxa"/>
            <w:left w:w="0" w:type="dxa"/>
            <w:bottom w:w="0" w:type="dxa"/>
            <w:right w:w="0" w:type="dxa"/>
          </w:tblCellMar>
        </w:tblPrEx>
        <w:trPr>
          <w:trHeight w:val="20" w:hRule="atLeast"/>
        </w:trPr>
        <w:tc>
          <w:tcPr>
            <w:tcW w:w="2828" w:type="dxa"/>
            <w:gridSpan w:val="2"/>
            <w:tcBorders>
              <w:top w:val="single" w:color="000000" w:sz="4" w:space="0"/>
              <w:left w:val="single" w:color="000000" w:sz="4" w:space="0"/>
              <w:bottom w:val="single" w:color="000000" w:sz="4" w:space="0"/>
              <w:right w:val="single" w:color="000000" w:sz="4" w:space="0"/>
            </w:tcBorders>
            <w:shd w:val="clear" w:color="D8D8D8" w:fill="D8D8D8"/>
            <w:vAlign w:val="center"/>
          </w:tcPr>
          <w:p>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color="000000" w:sz="4" w:space="0"/>
              <w:right w:val="single" w:color="000000" w:sz="4" w:space="0"/>
            </w:tcBorders>
            <w:shd w:val="clear" w:color="D8D8D8" w:fill="D8D8D8"/>
            <w:noWrap/>
            <w:vAlign w:val="bottom"/>
          </w:tcPr>
          <w:p>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tblPrEx>
          <w:tblCellMar>
            <w:top w:w="0" w:type="dxa"/>
            <w:left w:w="0" w:type="dxa"/>
            <w:bottom w:w="0" w:type="dxa"/>
            <w:right w:w="0" w:type="dxa"/>
          </w:tblCellMar>
        </w:tblPrEx>
        <w:trPr>
          <w:trHeight w:val="20" w:hRule="atLeast"/>
        </w:trPr>
        <w:tc>
          <w:tcPr>
            <w:tcW w:w="141" w:type="dxa"/>
            <w:tcBorders>
              <w:top w:val="nil"/>
              <w:left w:val="single" w:color="000000" w:sz="4" w:space="0"/>
              <w:bottom w:val="single" w:color="000000" w:sz="4" w:space="0"/>
              <w:right w:val="nil"/>
            </w:tcBorders>
            <w:shd w:val="clear" w:color="auto" w:fill="auto"/>
            <w:vAlign w:val="center"/>
          </w:tcPr>
          <w:p>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color="000000" w:sz="4" w:space="0"/>
              <w:right w:val="single" w:color="000000" w:sz="4" w:space="0"/>
            </w:tcBorders>
            <w:shd w:val="clear" w:color="auto" w:fill="auto"/>
            <w:vAlign w:val="center"/>
          </w:tcPr>
          <w:p>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color="000000" w:sz="4" w:space="0"/>
              <w:right w:val="single" w:color="000000" w:sz="4" w:space="0"/>
            </w:tcBorders>
            <w:shd w:val="clear" w:color="auto" w:fill="auto"/>
            <w:noWrap/>
            <w:vAlign w:val="bottom"/>
          </w:tcPr>
          <w:p>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pPr>
        <w:spacing w:after="0" w:line="240" w:lineRule="auto"/>
        <w:ind w:left="426"/>
        <w:contextualSpacing/>
        <w:jc w:val="both"/>
        <w:rPr>
          <w:rFonts w:ascii="Arial" w:hAnsi="Arial" w:eastAsia="Arial" w:cs="Arial"/>
          <w:i/>
          <w:sz w:val="16"/>
          <w:szCs w:val="16"/>
        </w:rPr>
      </w:pPr>
      <w:r>
        <w:rPr>
          <w:rFonts w:ascii="Arial" w:hAnsi="Arial" w:eastAsia="Arial" w:cs="Arial"/>
          <w:i/>
          <w:sz w:val="16"/>
          <w:szCs w:val="16"/>
        </w:rPr>
        <w:t>Note: *Reflected cost of assistance under DSWD are FNIs provided and does not include other DSWD social services and Social Amelioration Program (SAP) for target beneficiaries.</w:t>
      </w:r>
    </w:p>
    <w:p>
      <w:pPr>
        <w:spacing w:after="0" w:line="240" w:lineRule="auto"/>
        <w:ind w:left="426"/>
        <w:contextualSpacing/>
        <w:jc w:val="both"/>
        <w:rPr>
          <w:rFonts w:ascii="Arial" w:hAnsi="Arial" w:eastAsia="Arial" w:cs="Arial"/>
          <w:i/>
          <w:sz w:val="16"/>
          <w:szCs w:val="16"/>
        </w:rPr>
      </w:pPr>
      <w:r>
        <w:rPr>
          <w:rFonts w:ascii="Arial" w:hAnsi="Arial" w:eastAsia="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pPr>
        <w:spacing w:after="0" w:line="240" w:lineRule="auto"/>
        <w:ind w:left="426"/>
        <w:contextualSpacing/>
        <w:jc w:val="both"/>
        <w:rPr>
          <w:rFonts w:ascii="Arial" w:hAnsi="Arial" w:eastAsia="Arial" w:cs="Arial"/>
          <w:i/>
          <w:sz w:val="16"/>
          <w:szCs w:val="16"/>
        </w:rPr>
      </w:pPr>
      <w:r>
        <w:rPr>
          <w:rFonts w:ascii="Arial" w:hAnsi="Arial" w:eastAsia="Arial" w:cs="Arial"/>
          <w:i/>
          <w:sz w:val="16"/>
          <w:szCs w:val="16"/>
        </w:rPr>
        <w:t>*The decrease in the DSWD assistance provided in Taguig City and Pateros is due to corrected cost of FFPs distributed.</w:t>
      </w:r>
    </w:p>
    <w:p>
      <w:pPr>
        <w:spacing w:after="0" w:line="240" w:lineRule="auto"/>
        <w:ind w:left="426"/>
        <w:contextualSpacing/>
        <w:jc w:val="both"/>
        <w:rPr>
          <w:rFonts w:ascii="Arial" w:hAnsi="Arial" w:eastAsia="Arial" w:cs="Arial"/>
          <w:i/>
          <w:sz w:val="16"/>
          <w:szCs w:val="16"/>
        </w:rPr>
      </w:pPr>
    </w:p>
    <w:p>
      <w:pPr>
        <w:spacing w:after="0" w:line="240" w:lineRule="auto"/>
        <w:ind w:left="426"/>
        <w:contextualSpacing/>
        <w:jc w:val="right"/>
        <w:rPr>
          <w:rFonts w:ascii="Arial" w:hAnsi="Arial" w:eastAsia="Arial" w:cs="Arial"/>
          <w:i/>
          <w:sz w:val="16"/>
          <w:szCs w:val="16"/>
        </w:rPr>
      </w:pPr>
      <w:r>
        <w:rPr>
          <w:rFonts w:ascii="Arial" w:hAnsi="Arial" w:eastAsia="Arial" w:cs="Arial"/>
          <w:i/>
          <w:color w:val="0070C0"/>
          <w:sz w:val="16"/>
          <w:szCs w:val="16"/>
        </w:rPr>
        <w:t>Source: DSWD Field Offices</w:t>
      </w:r>
    </w:p>
    <w:p>
      <w:pPr>
        <w:spacing w:after="0" w:line="240" w:lineRule="auto"/>
        <w:ind w:left="426"/>
        <w:contextualSpacing/>
        <w:jc w:val="center"/>
        <w:rPr>
          <w:rFonts w:ascii="Arial" w:hAnsi="Arial" w:eastAsia="Arial" w:cs="Arial"/>
          <w:i/>
          <w:sz w:val="16"/>
          <w:szCs w:val="16"/>
        </w:rPr>
      </w:pPr>
    </w:p>
    <w:p>
      <w:pPr>
        <w:rPr>
          <w:rFonts w:ascii="Arial" w:hAnsi="Arial" w:eastAsia="Arial" w:cs="Arial"/>
          <w:b/>
          <w:color w:val="002060"/>
          <w:sz w:val="28"/>
          <w:szCs w:val="28"/>
        </w:rPr>
      </w:pPr>
      <w:r>
        <w:rPr>
          <w:rFonts w:ascii="Arial" w:hAnsi="Arial" w:eastAsia="Arial" w:cs="Arial"/>
          <w:b/>
          <w:color w:val="002060"/>
          <w:sz w:val="28"/>
          <w:szCs w:val="28"/>
        </w:rPr>
        <w:t>Status of Prepositioned Resources: Stockpile and Standby Funds</w:t>
      </w:r>
    </w:p>
    <w:p>
      <w:pPr>
        <w:contextualSpacing/>
        <w:jc w:val="both"/>
        <w:rPr>
          <w:rFonts w:ascii="Arial" w:hAnsi="Arial" w:eastAsia="Arial" w:cs="Arial"/>
          <w:sz w:val="24"/>
          <w:szCs w:val="24"/>
        </w:rPr>
      </w:pPr>
      <w:r>
        <w:rPr>
          <w:rFonts w:ascii="Arial" w:hAnsi="Arial" w:eastAsia="Arial" w:cs="Arial"/>
          <w:sz w:val="24"/>
          <w:szCs w:val="24"/>
        </w:rPr>
        <w:t xml:space="preserve">The DSWD Central Office (CO), Field Offices (FOs), and National Resource Operations Center (NROC) have stockpiles and standby funds amounting to </w:t>
      </w:r>
      <w:r>
        <w:rPr>
          <w:rFonts w:ascii="Arial" w:hAnsi="Arial" w:eastAsia="Arial" w:cs="Arial"/>
          <w:b/>
          <w:color w:val="0070C0"/>
          <w:sz w:val="24"/>
          <w:szCs w:val="24"/>
        </w:rPr>
        <w:t>₱</w:t>
      </w:r>
      <w:r>
        <w:rPr>
          <w:rFonts w:hint="default" w:ascii="Arial" w:hAnsi="Arial" w:eastAsia="Arial"/>
          <w:b/>
          <w:bCs/>
          <w:color w:val="0070C0"/>
          <w:sz w:val="24"/>
          <w:szCs w:val="24"/>
        </w:rPr>
        <w:t>1,938,927,753.04</w:t>
      </w:r>
      <w:r>
        <w:rPr>
          <w:rFonts w:ascii="Arial" w:hAnsi="Arial" w:eastAsia="Arial" w:cs="Arial"/>
          <w:b/>
          <w:bCs/>
          <w:color w:val="0070C0"/>
          <w:sz w:val="24"/>
          <w:szCs w:val="24"/>
        </w:rPr>
        <w:t xml:space="preserve"> </w:t>
      </w:r>
      <w:r>
        <w:rPr>
          <w:rFonts w:ascii="Arial" w:hAnsi="Arial" w:eastAsia="Arial" w:cs="Arial"/>
          <w:sz w:val="24"/>
          <w:szCs w:val="24"/>
        </w:rPr>
        <w:t>with breakdown as follows (see Table 2):</w:t>
      </w:r>
    </w:p>
    <w:p>
      <w:pPr>
        <w:contextualSpacing/>
        <w:jc w:val="both"/>
        <w:rPr>
          <w:rFonts w:ascii="Arial" w:hAnsi="Arial" w:eastAsia="Arial" w:cs="Arial"/>
          <w:sz w:val="20"/>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360"/>
        <w:contextualSpacing/>
        <w:rPr>
          <w:rFonts w:ascii="Arial" w:hAnsi="Arial" w:eastAsia="Arial" w:cs="Arial"/>
          <w:b/>
          <w:sz w:val="24"/>
          <w:szCs w:val="24"/>
        </w:rPr>
      </w:pPr>
      <w:r>
        <w:rPr>
          <w:rFonts w:ascii="Arial" w:hAnsi="Arial" w:eastAsia="Arial" w:cs="Arial"/>
          <w:b/>
          <w:sz w:val="24"/>
          <w:szCs w:val="24"/>
        </w:rPr>
        <w:t>Standby Funds</w:t>
      </w:r>
    </w:p>
    <w:p>
      <w:pPr>
        <w:pBdr>
          <w:top w:val="none" w:color="auto" w:sz="0" w:space="0"/>
          <w:left w:val="none" w:color="auto" w:sz="0" w:space="0"/>
          <w:bottom w:val="none" w:color="auto" w:sz="0" w:space="0"/>
          <w:right w:val="none" w:color="auto" w:sz="0" w:space="0"/>
          <w:between w:val="none" w:color="auto" w:sz="0" w:space="0"/>
        </w:pBdr>
        <w:ind w:left="360"/>
        <w:contextualSpacing/>
        <w:jc w:val="both"/>
        <w:rPr>
          <w:rFonts w:ascii="Arial" w:hAnsi="Arial" w:eastAsia="Arial" w:cs="Arial"/>
          <w:sz w:val="24"/>
          <w:szCs w:val="24"/>
        </w:rPr>
      </w:pPr>
      <w:r>
        <w:rPr>
          <w:rFonts w:ascii="Arial" w:hAnsi="Arial" w:eastAsia="Arial" w:cs="Arial"/>
          <w:sz w:val="24"/>
          <w:szCs w:val="24"/>
        </w:rPr>
        <w:t xml:space="preserve">A total of </w:t>
      </w:r>
      <w:r>
        <w:rPr>
          <w:rFonts w:ascii="Arial" w:hAnsi="Arial" w:eastAsia="Arial" w:cs="Arial"/>
          <w:b/>
          <w:sz w:val="24"/>
          <w:szCs w:val="24"/>
        </w:rPr>
        <w:t>₱</w:t>
      </w:r>
      <w:r>
        <w:rPr>
          <w:rFonts w:ascii="Arial" w:hAnsi="Arial" w:eastAsia="Arial" w:cs="Arial"/>
          <w:b/>
          <w:bCs/>
          <w:sz w:val="24"/>
          <w:szCs w:val="24"/>
        </w:rPr>
        <w:t xml:space="preserve">1,031,589,449.47 </w:t>
      </w:r>
      <w:r>
        <w:rPr>
          <w:rFonts w:ascii="Arial" w:hAnsi="Arial" w:eastAsia="Arial" w:cs="Arial"/>
          <w:b/>
          <w:sz w:val="24"/>
          <w:szCs w:val="24"/>
        </w:rPr>
        <w:t>standby funds</w:t>
      </w:r>
      <w:r>
        <w:rPr>
          <w:rFonts w:ascii="Arial" w:hAnsi="Arial" w:eastAsia="Arial" w:cs="Arial"/>
          <w:sz w:val="24"/>
          <w:szCs w:val="24"/>
        </w:rPr>
        <w:t xml:space="preserve"> in the CO and FOs. Of the said amount, </w:t>
      </w:r>
      <w:r>
        <w:rPr>
          <w:rFonts w:ascii="Arial" w:hAnsi="Arial" w:eastAsia="Arial" w:cs="Arial"/>
          <w:b/>
          <w:sz w:val="24"/>
          <w:szCs w:val="24"/>
        </w:rPr>
        <w:t xml:space="preserve">₱989,423,193.47 </w:t>
      </w:r>
      <w:r>
        <w:rPr>
          <w:rFonts w:ascii="Arial" w:hAnsi="Arial" w:eastAsia="Arial" w:cs="Arial"/>
          <w:sz w:val="24"/>
          <w:szCs w:val="24"/>
        </w:rPr>
        <w:t>is the available</w:t>
      </w:r>
      <w:r>
        <w:rPr>
          <w:rFonts w:ascii="Arial" w:hAnsi="Arial" w:eastAsia="Arial" w:cs="Arial"/>
          <w:b/>
          <w:sz w:val="24"/>
          <w:szCs w:val="24"/>
        </w:rPr>
        <w:t xml:space="preserve"> Quick Response Fund (QRF)</w:t>
      </w:r>
      <w:r>
        <w:rPr>
          <w:rFonts w:ascii="Arial" w:hAnsi="Arial" w:eastAsia="Arial" w:cs="Arial"/>
          <w:sz w:val="24"/>
          <w:szCs w:val="24"/>
        </w:rPr>
        <w:t xml:space="preserve"> in the CO.</w:t>
      </w:r>
    </w:p>
    <w:p>
      <w:pPr>
        <w:pBdr>
          <w:top w:val="none" w:color="auto" w:sz="0" w:space="0"/>
          <w:left w:val="none" w:color="auto" w:sz="0" w:space="0"/>
          <w:bottom w:val="none" w:color="auto" w:sz="0" w:space="0"/>
          <w:right w:val="none" w:color="auto" w:sz="0" w:space="0"/>
          <w:between w:val="none" w:color="auto" w:sz="0" w:space="0"/>
        </w:pBdr>
        <w:contextualSpacing/>
        <w:jc w:val="both"/>
        <w:rPr>
          <w:rFonts w:ascii="Arial" w:hAnsi="Arial" w:eastAsia="Arial" w:cs="Arial"/>
          <w:b/>
          <w:sz w:val="20"/>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360"/>
        <w:contextualSpacing/>
        <w:rPr>
          <w:rFonts w:ascii="Arial" w:hAnsi="Arial" w:eastAsia="Arial" w:cs="Arial"/>
          <w:b/>
          <w:sz w:val="24"/>
          <w:szCs w:val="24"/>
        </w:rPr>
      </w:pPr>
      <w:r>
        <w:rPr>
          <w:rFonts w:ascii="Arial" w:hAnsi="Arial" w:eastAsia="Arial" w:cs="Arial"/>
          <w:b/>
          <w:sz w:val="24"/>
          <w:szCs w:val="24"/>
        </w:rPr>
        <w:t>Stockpiles</w:t>
      </w:r>
    </w:p>
    <w:p>
      <w:pPr>
        <w:pBdr>
          <w:top w:val="none" w:color="auto" w:sz="0" w:space="0"/>
          <w:left w:val="none" w:color="auto" w:sz="0" w:space="0"/>
          <w:bottom w:val="none" w:color="auto" w:sz="0" w:space="0"/>
          <w:right w:val="none" w:color="auto" w:sz="0" w:space="0"/>
          <w:between w:val="none" w:color="auto" w:sz="0" w:space="0"/>
        </w:pBdr>
        <w:ind w:left="360"/>
        <w:contextualSpacing/>
        <w:jc w:val="both"/>
        <w:rPr>
          <w:rFonts w:ascii="Arial" w:hAnsi="Arial" w:eastAsia="Arial" w:cs="Arial"/>
          <w:sz w:val="24"/>
          <w:szCs w:val="24"/>
        </w:rPr>
      </w:pPr>
      <w:r>
        <w:rPr>
          <w:rFonts w:ascii="Arial" w:hAnsi="Arial" w:eastAsia="Arial" w:cs="Arial"/>
          <w:sz w:val="24"/>
          <w:szCs w:val="24"/>
        </w:rPr>
        <w:t xml:space="preserve">A total of </w:t>
      </w:r>
      <w:r>
        <w:rPr>
          <w:rFonts w:hint="default" w:ascii="Arial" w:hAnsi="Arial" w:eastAsia="Arial"/>
          <w:b/>
          <w:bCs/>
          <w:color w:val="0070C0"/>
          <w:sz w:val="24"/>
          <w:szCs w:val="24"/>
        </w:rPr>
        <w:t>355,966</w:t>
      </w:r>
      <w:r>
        <w:rPr>
          <w:rFonts w:ascii="Arial" w:hAnsi="Arial" w:eastAsia="Arial" w:cs="Arial"/>
          <w:b/>
          <w:bCs/>
          <w:color w:val="0070C0"/>
          <w:sz w:val="24"/>
          <w:szCs w:val="24"/>
        </w:rPr>
        <w:t xml:space="preserve"> </w:t>
      </w:r>
      <w:r>
        <w:rPr>
          <w:rFonts w:ascii="Arial" w:hAnsi="Arial" w:eastAsia="Arial" w:cs="Arial"/>
          <w:b/>
          <w:color w:val="0070C0"/>
          <w:sz w:val="24"/>
          <w:szCs w:val="24"/>
        </w:rPr>
        <w:t>family food packs (FFPs)</w:t>
      </w:r>
      <w:r>
        <w:rPr>
          <w:rFonts w:ascii="Arial" w:hAnsi="Arial" w:eastAsia="Arial" w:cs="Arial"/>
          <w:color w:val="0070C0"/>
          <w:sz w:val="24"/>
          <w:szCs w:val="24"/>
        </w:rPr>
        <w:t xml:space="preserve"> </w:t>
      </w:r>
      <w:r>
        <w:rPr>
          <w:rFonts w:ascii="Arial" w:hAnsi="Arial" w:eastAsia="Arial" w:cs="Arial"/>
          <w:sz w:val="24"/>
          <w:szCs w:val="24"/>
        </w:rPr>
        <w:t xml:space="preserve">amounting to </w:t>
      </w:r>
      <w:r>
        <w:rPr>
          <w:rFonts w:ascii="Arial" w:hAnsi="Arial" w:eastAsia="Arial" w:cs="Arial"/>
          <w:b/>
          <w:color w:val="0070C0"/>
          <w:sz w:val="24"/>
          <w:szCs w:val="24"/>
        </w:rPr>
        <w:t>₱</w:t>
      </w:r>
      <w:r>
        <w:rPr>
          <w:rFonts w:hint="default" w:ascii="Arial" w:hAnsi="Arial" w:eastAsia="Arial"/>
          <w:b/>
          <w:bCs/>
          <w:color w:val="0070C0"/>
          <w:sz w:val="24"/>
          <w:szCs w:val="24"/>
        </w:rPr>
        <w:t>164,407,972.48</w:t>
      </w:r>
      <w:r>
        <w:rPr>
          <w:rFonts w:ascii="Arial" w:hAnsi="Arial" w:eastAsia="Arial" w:cs="Arial"/>
          <w:sz w:val="24"/>
          <w:szCs w:val="24"/>
        </w:rPr>
        <w:t>,</w:t>
      </w:r>
      <w:r>
        <w:rPr>
          <w:rFonts w:ascii="Arial" w:hAnsi="Arial" w:eastAsia="Arial" w:cs="Arial"/>
          <w:b/>
          <w:sz w:val="24"/>
          <w:szCs w:val="24"/>
        </w:rPr>
        <w:t xml:space="preserve"> </w:t>
      </w:r>
      <w:r>
        <w:rPr>
          <w:rFonts w:ascii="Arial" w:hAnsi="Arial" w:eastAsia="Arial" w:cs="Arial"/>
          <w:b/>
          <w:color w:val="0070C0"/>
          <w:sz w:val="24"/>
          <w:szCs w:val="24"/>
        </w:rPr>
        <w:t xml:space="preserve">other food items </w:t>
      </w:r>
      <w:r>
        <w:rPr>
          <w:rFonts w:ascii="Arial" w:hAnsi="Arial" w:eastAsia="Arial" w:cs="Arial"/>
          <w:sz w:val="24"/>
          <w:szCs w:val="24"/>
        </w:rPr>
        <w:t xml:space="preserve">amounting to </w:t>
      </w:r>
      <w:r>
        <w:rPr>
          <w:rFonts w:ascii="Arial" w:hAnsi="Arial" w:eastAsia="Arial" w:cs="Arial"/>
          <w:b/>
          <w:color w:val="0070C0"/>
          <w:sz w:val="24"/>
          <w:szCs w:val="24"/>
        </w:rPr>
        <w:t>₱</w:t>
      </w:r>
      <w:r>
        <w:rPr>
          <w:rFonts w:hint="default" w:ascii="Arial" w:hAnsi="Arial" w:eastAsia="Arial"/>
          <w:b/>
          <w:bCs/>
          <w:color w:val="0070C0"/>
          <w:sz w:val="24"/>
          <w:szCs w:val="24"/>
        </w:rPr>
        <w:t>263,691,312.70</w:t>
      </w:r>
      <w:r>
        <w:rPr>
          <w:rFonts w:ascii="Arial" w:hAnsi="Arial" w:eastAsia="Arial" w:cs="Arial"/>
          <w:b/>
          <w:bCs/>
          <w:color w:val="0070C0"/>
          <w:sz w:val="24"/>
          <w:szCs w:val="24"/>
        </w:rPr>
        <w:t xml:space="preserve"> </w:t>
      </w:r>
      <w:r>
        <w:rPr>
          <w:rFonts w:ascii="Arial" w:hAnsi="Arial" w:eastAsia="Arial" w:cs="Arial"/>
          <w:sz w:val="24"/>
          <w:szCs w:val="24"/>
        </w:rPr>
        <w:t>and</w:t>
      </w:r>
      <w:r>
        <w:rPr>
          <w:rFonts w:ascii="Arial" w:hAnsi="Arial" w:eastAsia="Arial" w:cs="Arial"/>
          <w:b/>
          <w:sz w:val="24"/>
          <w:szCs w:val="24"/>
        </w:rPr>
        <w:t xml:space="preserve"> </w:t>
      </w:r>
      <w:r>
        <w:rPr>
          <w:rFonts w:ascii="Arial" w:hAnsi="Arial" w:eastAsia="Arial" w:cs="Arial"/>
          <w:b/>
          <w:color w:val="0070C0"/>
          <w:sz w:val="24"/>
          <w:szCs w:val="24"/>
        </w:rPr>
        <w:t>non-food items (FNIs)</w:t>
      </w:r>
      <w:r>
        <w:rPr>
          <w:rFonts w:ascii="Arial" w:hAnsi="Arial" w:eastAsia="Arial" w:cs="Arial"/>
          <w:sz w:val="24"/>
          <w:szCs w:val="24"/>
        </w:rPr>
        <w:t xml:space="preserve"> amounting to </w:t>
      </w:r>
      <w:r>
        <w:rPr>
          <w:rFonts w:ascii="Arial" w:hAnsi="Arial" w:eastAsia="Arial" w:cs="Arial"/>
          <w:b/>
          <w:color w:val="0070C0"/>
          <w:sz w:val="24"/>
          <w:szCs w:val="24"/>
        </w:rPr>
        <w:t>₱</w:t>
      </w:r>
      <w:r>
        <w:rPr>
          <w:rFonts w:hint="default" w:ascii="Arial" w:hAnsi="Arial" w:eastAsia="Arial"/>
          <w:b/>
          <w:bCs/>
          <w:color w:val="0070C0"/>
          <w:sz w:val="24"/>
          <w:szCs w:val="24"/>
        </w:rPr>
        <w:t>479,239,018.39</w:t>
      </w:r>
      <w:r>
        <w:rPr>
          <w:rFonts w:ascii="Arial" w:hAnsi="Arial" w:eastAsia="Arial" w:cs="Arial"/>
          <w:b/>
          <w:bCs/>
          <w:sz w:val="24"/>
          <w:szCs w:val="24"/>
        </w:rPr>
        <w:t xml:space="preserve"> </w:t>
      </w:r>
      <w:r>
        <w:rPr>
          <w:rFonts w:ascii="Arial" w:hAnsi="Arial" w:eastAsia="Arial" w:cs="Arial"/>
          <w:sz w:val="24"/>
          <w:szCs w:val="24"/>
        </w:rPr>
        <w:t>are available.</w:t>
      </w:r>
    </w:p>
    <w:p>
      <w:pPr>
        <w:pBdr>
          <w:top w:val="none" w:color="auto" w:sz="0" w:space="0"/>
          <w:left w:val="none" w:color="auto" w:sz="0" w:space="0"/>
          <w:bottom w:val="none" w:color="auto" w:sz="0" w:space="0"/>
          <w:right w:val="none" w:color="auto" w:sz="0" w:space="0"/>
          <w:between w:val="none" w:color="auto" w:sz="0" w:space="0"/>
        </w:pBdr>
        <w:ind w:left="360"/>
        <w:contextualSpacing/>
        <w:jc w:val="both"/>
        <w:rPr>
          <w:rFonts w:ascii="Arial" w:hAnsi="Arial" w:eastAsia="Arial" w:cs="Arial"/>
          <w:sz w:val="24"/>
          <w:szCs w:val="24"/>
        </w:rPr>
      </w:pPr>
    </w:p>
    <w:p>
      <w:pPr>
        <w:pBdr>
          <w:top w:val="none" w:color="auto" w:sz="0" w:space="0"/>
          <w:left w:val="none" w:color="auto" w:sz="0" w:space="0"/>
          <w:bottom w:val="none" w:color="auto" w:sz="0" w:space="0"/>
          <w:right w:val="none" w:color="auto" w:sz="0" w:space="0"/>
          <w:between w:val="none" w:color="auto" w:sz="0" w:space="0"/>
        </w:pBdr>
        <w:ind w:firstLine="360"/>
        <w:contextualSpacing/>
        <w:jc w:val="both"/>
        <w:rPr>
          <w:rFonts w:ascii="Arial" w:hAnsi="Arial" w:eastAsia="Arial" w:cs="Arial"/>
          <w:sz w:val="24"/>
          <w:szCs w:val="24"/>
        </w:rPr>
      </w:pPr>
      <w:r>
        <w:rPr>
          <w:rFonts w:ascii="Arial" w:hAnsi="Arial" w:eastAsia="Arial" w:cs="Arial"/>
          <w:b/>
          <w:i/>
          <w:sz w:val="20"/>
          <w:szCs w:val="20"/>
        </w:rPr>
        <w:t>Table 2. Available Standby Funds and Stockpiles</w:t>
      </w:r>
    </w:p>
    <w:tbl>
      <w:tblPr>
        <w:tblStyle w:val="22"/>
        <w:tblpPr w:leftFromText="180" w:rightFromText="180" w:vertAnchor="text" w:horzAnchor="page" w:tblpX="1332" w:tblpY="250"/>
        <w:tblOverlap w:val="never"/>
        <w:tblW w:w="4917" w:type="pct"/>
        <w:tblInd w:w="0" w:type="dxa"/>
        <w:tblLayout w:type="autofit"/>
        <w:tblCellMar>
          <w:top w:w="0" w:type="dxa"/>
          <w:left w:w="0" w:type="dxa"/>
          <w:bottom w:w="0" w:type="dxa"/>
          <w:right w:w="0" w:type="dxa"/>
        </w:tblCellMar>
      </w:tblPr>
      <w:tblGrid>
        <w:gridCol w:w="1433"/>
        <w:gridCol w:w="1657"/>
        <w:gridCol w:w="827"/>
        <w:gridCol w:w="1492"/>
        <w:gridCol w:w="1329"/>
        <w:gridCol w:w="1287"/>
        <w:gridCol w:w="1655"/>
      </w:tblGrid>
      <w:tr>
        <w:tblPrEx>
          <w:tblCellMar>
            <w:top w:w="0" w:type="dxa"/>
            <w:left w:w="0" w:type="dxa"/>
            <w:bottom w:w="0" w:type="dxa"/>
            <w:right w:w="0" w:type="dxa"/>
          </w:tblCellMar>
        </w:tblPrEx>
        <w:trPr>
          <w:trHeight w:val="288" w:hRule="exact"/>
        </w:trPr>
        <w:tc>
          <w:tcPr>
            <w:tcW w:w="740" w:type="pct"/>
            <w:vMerge w:val="restart"/>
            <w:tcBorders>
              <w:top w:val="single" w:color="000000" w:sz="6" w:space="0"/>
              <w:left w:val="single" w:color="000000"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Region / Office</w:t>
            </w:r>
          </w:p>
        </w:tc>
        <w:tc>
          <w:tcPr>
            <w:tcW w:w="855" w:type="pct"/>
            <w:vMerge w:val="restart"/>
            <w:tcBorders>
              <w:top w:val="single" w:color="000000"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i/>
                <w:iCs/>
                <w:sz w:val="20"/>
                <w:szCs w:val="20"/>
              </w:rPr>
            </w:pPr>
            <w:r>
              <w:rPr>
                <w:rFonts w:hint="default" w:ascii="Arial Narrow" w:hAnsi="Arial Narrow" w:eastAsia="Times New Roman" w:cs="Arial Narrow"/>
                <w:b/>
                <w:bCs/>
                <w:i/>
                <w:iCs/>
                <w:sz w:val="20"/>
                <w:szCs w:val="20"/>
              </w:rPr>
              <w:t>Standby Funds</w:t>
            </w:r>
          </w:p>
        </w:tc>
        <w:tc>
          <w:tcPr>
            <w:tcW w:w="1197" w:type="pct"/>
            <w:gridSpan w:val="2"/>
            <w:tcBorders>
              <w:top w:val="single" w:color="000000"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i/>
                <w:iCs/>
                <w:sz w:val="20"/>
                <w:szCs w:val="20"/>
              </w:rPr>
            </w:pPr>
            <w:r>
              <w:rPr>
                <w:rFonts w:hint="default" w:ascii="Arial Narrow" w:hAnsi="Arial Narrow" w:eastAsia="Times New Roman" w:cs="Arial Narrow"/>
                <w:b/>
                <w:bCs/>
                <w:i/>
                <w:iCs/>
                <w:sz w:val="20"/>
                <w:szCs w:val="20"/>
              </w:rPr>
              <w:t>FAMILY FOOD PACKS</w:t>
            </w:r>
          </w:p>
        </w:tc>
        <w:tc>
          <w:tcPr>
            <w:tcW w:w="686" w:type="pct"/>
            <w:vMerge w:val="restart"/>
            <w:tcBorders>
              <w:top w:val="single" w:color="000000"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Other Food Items</w:t>
            </w:r>
          </w:p>
        </w:tc>
        <w:tc>
          <w:tcPr>
            <w:tcW w:w="664" w:type="pct"/>
            <w:vMerge w:val="restart"/>
            <w:tcBorders>
              <w:top w:val="single" w:color="000000"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Non-Food Relief Items</w:t>
            </w:r>
          </w:p>
        </w:tc>
        <w:tc>
          <w:tcPr>
            <w:tcW w:w="854" w:type="pct"/>
            <w:vMerge w:val="restart"/>
            <w:tcBorders>
              <w:top w:val="single" w:color="000000"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center"/>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Total Standby Funds &amp; Stockpile</w:t>
            </w:r>
          </w:p>
        </w:tc>
      </w:tr>
      <w:tr>
        <w:tblPrEx>
          <w:tblCellMar>
            <w:top w:w="0" w:type="dxa"/>
            <w:left w:w="0" w:type="dxa"/>
            <w:bottom w:w="0" w:type="dxa"/>
            <w:right w:w="0" w:type="dxa"/>
          </w:tblCellMar>
        </w:tblPrEx>
        <w:trPr>
          <w:trHeight w:val="288" w:hRule="exact"/>
        </w:trPr>
        <w:tc>
          <w:tcPr>
            <w:tcW w:w="740" w:type="pct"/>
            <w:vMerge w:val="continue"/>
            <w:tcBorders>
              <w:top w:val="single" w:color="000000" w:sz="6" w:space="0"/>
              <w:left w:val="single" w:color="000000" w:sz="6" w:space="0"/>
              <w:bottom w:val="single" w:color="000000" w:sz="6" w:space="0"/>
              <w:right w:val="single" w:color="000000" w:sz="6" w:space="0"/>
            </w:tcBorders>
            <w:shd w:val="clear" w:color="auto" w:fill="A5A5A5" w:themeFill="background1" w:themeFillShade="A6"/>
            <w:vAlign w:val="center"/>
          </w:tcPr>
          <w:p>
            <w:pPr>
              <w:ind w:right="57"/>
              <w:contextualSpacing/>
              <w:jc w:val="left"/>
              <w:rPr>
                <w:rFonts w:hint="default" w:ascii="Arial Narrow" w:hAnsi="Arial Narrow" w:eastAsia="Times New Roman" w:cs="Arial Narrow"/>
                <w:b/>
                <w:bCs/>
                <w:sz w:val="20"/>
                <w:szCs w:val="20"/>
              </w:rPr>
            </w:pPr>
          </w:p>
        </w:tc>
        <w:tc>
          <w:tcPr>
            <w:tcW w:w="855" w:type="pct"/>
            <w:vMerge w:val="continue"/>
            <w:tcBorders>
              <w:top w:val="single" w:color="000000" w:sz="6" w:space="0"/>
              <w:left w:val="single" w:color="CCCCCC" w:sz="6" w:space="0"/>
              <w:bottom w:val="single" w:color="000000" w:sz="6" w:space="0"/>
              <w:right w:val="single" w:color="000000" w:sz="6" w:space="0"/>
            </w:tcBorders>
            <w:shd w:val="clear" w:color="auto" w:fill="A5A5A5" w:themeFill="background1" w:themeFillShade="A6"/>
            <w:vAlign w:val="center"/>
          </w:tcPr>
          <w:p>
            <w:pPr>
              <w:ind w:right="57"/>
              <w:contextualSpacing/>
              <w:jc w:val="right"/>
              <w:rPr>
                <w:rFonts w:hint="default" w:ascii="Arial Narrow" w:hAnsi="Arial Narrow" w:eastAsia="Times New Roman" w:cs="Arial Narrow"/>
                <w:b/>
                <w:bCs/>
                <w:i/>
                <w:iCs/>
                <w:sz w:val="20"/>
                <w:szCs w:val="20"/>
              </w:rPr>
            </w:pPr>
          </w:p>
        </w:tc>
        <w:tc>
          <w:tcPr>
            <w:tcW w:w="427"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righ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Quantity</w:t>
            </w:r>
          </w:p>
        </w:tc>
        <w:tc>
          <w:tcPr>
            <w:tcW w:w="770"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ind w:right="57"/>
              <w:contextualSpacing/>
              <w:jc w:val="righ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Total Cost</w:t>
            </w:r>
          </w:p>
        </w:tc>
        <w:tc>
          <w:tcPr>
            <w:tcW w:w="686" w:type="pct"/>
            <w:vMerge w:val="continue"/>
            <w:tcBorders>
              <w:top w:val="single" w:color="000000" w:sz="6" w:space="0"/>
              <w:left w:val="single" w:color="CCCCCC" w:sz="6" w:space="0"/>
              <w:bottom w:val="single" w:color="000000" w:sz="6" w:space="0"/>
              <w:right w:val="single" w:color="000000" w:sz="6" w:space="0"/>
            </w:tcBorders>
            <w:shd w:val="clear" w:color="auto" w:fill="A5A5A5" w:themeFill="background1" w:themeFillShade="A6"/>
            <w:vAlign w:val="center"/>
          </w:tcPr>
          <w:p>
            <w:pPr>
              <w:ind w:right="57"/>
              <w:contextualSpacing/>
              <w:jc w:val="right"/>
              <w:rPr>
                <w:rFonts w:hint="default" w:ascii="Arial Narrow" w:hAnsi="Arial Narrow" w:eastAsia="Times New Roman" w:cs="Arial Narrow"/>
                <w:b/>
                <w:bCs/>
                <w:sz w:val="20"/>
                <w:szCs w:val="20"/>
              </w:rPr>
            </w:pPr>
          </w:p>
        </w:tc>
        <w:tc>
          <w:tcPr>
            <w:tcW w:w="664" w:type="pct"/>
            <w:vMerge w:val="continue"/>
            <w:tcBorders>
              <w:top w:val="single" w:color="000000" w:sz="6" w:space="0"/>
              <w:left w:val="single" w:color="CCCCCC" w:sz="6" w:space="0"/>
              <w:bottom w:val="single" w:color="000000" w:sz="6" w:space="0"/>
              <w:right w:val="single" w:color="000000" w:sz="6" w:space="0"/>
            </w:tcBorders>
            <w:shd w:val="clear" w:color="auto" w:fill="A5A5A5" w:themeFill="background1" w:themeFillShade="A6"/>
            <w:vAlign w:val="center"/>
          </w:tcPr>
          <w:p>
            <w:pPr>
              <w:ind w:right="57"/>
              <w:contextualSpacing/>
              <w:jc w:val="right"/>
              <w:rPr>
                <w:rFonts w:hint="default" w:ascii="Arial Narrow" w:hAnsi="Arial Narrow" w:eastAsia="Times New Roman" w:cs="Arial Narrow"/>
                <w:b/>
                <w:bCs/>
                <w:sz w:val="20"/>
                <w:szCs w:val="20"/>
              </w:rPr>
            </w:pPr>
          </w:p>
        </w:tc>
        <w:tc>
          <w:tcPr>
            <w:tcW w:w="854" w:type="pct"/>
            <w:vMerge w:val="continue"/>
            <w:tcBorders>
              <w:top w:val="single" w:color="000000" w:sz="6" w:space="0"/>
              <w:left w:val="single" w:color="CCCCCC" w:sz="6" w:space="0"/>
              <w:bottom w:val="single" w:color="000000" w:sz="6" w:space="0"/>
              <w:right w:val="single" w:color="000000" w:sz="6" w:space="0"/>
            </w:tcBorders>
            <w:shd w:val="clear" w:color="auto" w:fill="A5A5A5" w:themeFill="background1" w:themeFillShade="A6"/>
            <w:vAlign w:val="center"/>
          </w:tcPr>
          <w:p>
            <w:pPr>
              <w:ind w:right="57"/>
              <w:contextualSpacing/>
              <w:jc w:val="right"/>
              <w:rPr>
                <w:rFonts w:hint="default" w:ascii="Arial Narrow" w:hAnsi="Arial Narrow" w:eastAsia="Times New Roman" w:cs="Arial Narrow"/>
                <w:b/>
                <w:bCs/>
                <w:sz w:val="20"/>
                <w:szCs w:val="20"/>
              </w:rPr>
            </w:pPr>
          </w:p>
        </w:tc>
      </w:tr>
      <w:tr>
        <w:tblPrEx>
          <w:tblCellMar>
            <w:top w:w="0" w:type="dxa"/>
            <w:left w:w="0" w:type="dxa"/>
            <w:bottom w:w="0" w:type="dxa"/>
            <w:right w:w="0" w:type="dxa"/>
          </w:tblCellMar>
        </w:tblPrEx>
        <w:trPr>
          <w:trHeight w:val="288" w:hRule="exact"/>
        </w:trPr>
        <w:tc>
          <w:tcPr>
            <w:tcW w:w="740" w:type="pct"/>
            <w:vMerge w:val="continue"/>
            <w:tcBorders>
              <w:top w:val="single" w:color="000000" w:sz="6" w:space="0"/>
              <w:left w:val="single" w:color="000000" w:sz="6" w:space="0"/>
              <w:bottom w:val="single" w:color="000000" w:sz="6" w:space="0"/>
              <w:right w:val="single" w:color="000000" w:sz="6" w:space="0"/>
            </w:tcBorders>
            <w:shd w:val="clear" w:color="auto" w:fill="A5A5A5" w:themeFill="background1" w:themeFillShade="A6"/>
            <w:vAlign w:val="center"/>
          </w:tcPr>
          <w:p>
            <w:pPr>
              <w:ind w:right="57"/>
              <w:contextualSpacing/>
              <w:jc w:val="left"/>
              <w:rPr>
                <w:rFonts w:hint="default" w:ascii="Arial Narrow" w:hAnsi="Arial Narrow" w:eastAsia="Times New Roman" w:cs="Arial Narrow"/>
                <w:b/>
                <w:bCs/>
                <w:sz w:val="20"/>
                <w:szCs w:val="20"/>
              </w:rPr>
            </w:pPr>
          </w:p>
        </w:tc>
        <w:tc>
          <w:tcPr>
            <w:tcW w:w="855"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1,031,589,449.47</w:t>
            </w:r>
          </w:p>
        </w:tc>
        <w:tc>
          <w:tcPr>
            <w:tcW w:w="427"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355,966</w:t>
            </w:r>
          </w:p>
        </w:tc>
        <w:tc>
          <w:tcPr>
            <w:tcW w:w="770"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164,407,972.48</w:t>
            </w:r>
          </w:p>
        </w:tc>
        <w:tc>
          <w:tcPr>
            <w:tcW w:w="686"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263,691,312.70</w:t>
            </w:r>
          </w:p>
        </w:tc>
        <w:tc>
          <w:tcPr>
            <w:tcW w:w="664"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479,239,018.39</w:t>
            </w:r>
          </w:p>
        </w:tc>
        <w:tc>
          <w:tcPr>
            <w:tcW w:w="854" w:type="pct"/>
            <w:tcBorders>
              <w:top w:val="single" w:color="CCCCCC" w:sz="6" w:space="0"/>
              <w:left w:val="single" w:color="CCCCCC" w:sz="6" w:space="0"/>
              <w:bottom w:val="single" w:color="000000" w:sz="6" w:space="0"/>
              <w:right w:val="single" w:color="000000" w:sz="6" w:space="0"/>
            </w:tcBorders>
            <w:shd w:val="clear" w:color="auto" w:fill="A5A5A5" w:themeFill="background1" w:themeFillShade="A6"/>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b/>
                <w:bCs/>
                <w:sz w:val="20"/>
                <w:szCs w:val="20"/>
              </w:rPr>
            </w:pPr>
            <w:r>
              <w:rPr>
                <w:rFonts w:hint="default" w:ascii="Arial Narrow" w:hAnsi="Arial Narrow" w:eastAsia="SimSun" w:cs="Arial Narrow"/>
                <w:b/>
                <w:kern w:val="0"/>
                <w:sz w:val="20"/>
                <w:szCs w:val="20"/>
                <w:lang w:val="en-US" w:eastAsia="zh-CN" w:bidi="ar"/>
              </w:rPr>
              <w:t>1,938,927,753.04</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Central Office</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989,423,193.47</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right"/>
              <w:rPr>
                <w:rFonts w:hint="default" w:ascii="Arial Narrow" w:hAnsi="Arial Narrow" w:cs="Arial Narrow"/>
                <w:sz w:val="20"/>
                <w:szCs w:val="20"/>
              </w:rPr>
            </w:pP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right"/>
              <w:rPr>
                <w:rFonts w:hint="default" w:ascii="Arial Narrow" w:hAnsi="Arial Narrow" w:cs="Arial Narrow"/>
                <w:sz w:val="20"/>
                <w:szCs w:val="20"/>
              </w:rPr>
            </w:pP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right"/>
              <w:rPr>
                <w:rFonts w:hint="default" w:ascii="Arial Narrow" w:hAnsi="Arial Narrow" w:cs="Arial Narrow"/>
                <w:sz w:val="20"/>
                <w:szCs w:val="20"/>
              </w:rPr>
            </w:pP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right"/>
              <w:rPr>
                <w:rFonts w:hint="default" w:ascii="Arial Narrow" w:hAnsi="Arial Narrow" w:cs="Arial Narrow"/>
                <w:sz w:val="20"/>
                <w:szCs w:val="20"/>
              </w:rPr>
            </w:pP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989,423,193.47</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NRLMB - NROC</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33,466</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13,987,020.00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52,897,242.39</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262,376,574.14</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329,260,836.53</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NRLMB - VDRC</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8,932</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4,268,020.40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19,823,057.66</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6,696,648.00</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30,787,726.06</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3,000,455.00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21,954</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9,884,611.48</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1,011,130.00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39,617,593.15</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53,513,789.63</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II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2,700,138.89</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23,172</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9,479,982.74</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10,680,333.55</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5,510,398.95</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28,370,854.13</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III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6,076</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2,765,139.07</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2,090,240.00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5,510,398.95</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13,365,778.02</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CALABARZON</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53,128</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24,348,382.00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7,444,130.00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5,100,261.58</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39,892,773.58</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MIMAROPA</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2,900,689.19</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12,161</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5,472,450.00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5,314,545.00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4,732,376.25</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18,420,060.44</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V</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3,001,050.00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13,803</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6,187,619.70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5,299,355.17</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29,121,746.41</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43,609,771.28</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VI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3,000,851.68</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13,050</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6,288,070.00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48,660,483.77</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6,853,499.39</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64,802,904.84</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VII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3,000,015.14</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25,028</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9,985,671.44</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21,110,188.10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78,097.00</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34,173,971.68</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VIII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3,003,550.00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3,644</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1,734,353.08</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3,412,389.54</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19,402,680.38</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27,552,973.00</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IX</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31,428</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17,159,688.00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8,782,570.00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14,357,924.59</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43,300,182.59</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X</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351,724.42</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55,869</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29,921,197.08</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38,431,708.11</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19,741,365.19</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88,445,994.80</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XI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3,000,001.00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16,814</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6,223,702.10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6,864,958.90</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23,839,069.26</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39,927,731.26</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XII</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207,701.68</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8,180</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4,499,000.00</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10,289,125.49</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12,876,448.72</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27,872,275.89</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CARAGA</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10,842</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3,747,194.76</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6,917,026.88</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color w:val="000000"/>
                <w:sz w:val="20"/>
                <w:szCs w:val="20"/>
              </w:rPr>
            </w:pPr>
            <w:r>
              <w:rPr>
                <w:rFonts w:hint="default" w:ascii="Arial Narrow" w:hAnsi="Arial Narrow" w:eastAsia="SimSun" w:cs="Arial Narrow"/>
                <w:b w:val="0"/>
                <w:color w:val="000000"/>
                <w:kern w:val="0"/>
                <w:sz w:val="20"/>
                <w:szCs w:val="20"/>
                <w:lang w:val="en-US" w:eastAsia="zh-CN" w:bidi="ar"/>
              </w:rPr>
              <w:t>3,258,445.70</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16,922,667.34</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NCR</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3,000,079.00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1,341</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659,187.72</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1,937,606.98</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7,390,703.91</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12,987,577.61</w:t>
            </w:r>
          </w:p>
        </w:tc>
      </w:tr>
      <w:tr>
        <w:tblPrEx>
          <w:tblCellMar>
            <w:top w:w="0" w:type="dxa"/>
            <w:left w:w="0" w:type="dxa"/>
            <w:bottom w:w="0" w:type="dxa"/>
            <w:right w:w="0" w:type="dxa"/>
          </w:tblCellMar>
        </w:tblPrEx>
        <w:trPr>
          <w:trHeight w:val="288" w:hRule="exact"/>
        </w:trPr>
        <w:tc>
          <w:tcPr>
            <w:tcW w:w="740"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ind w:right="57"/>
              <w:contextualSpacing/>
              <w:jc w:val="left"/>
              <w:rPr>
                <w:rFonts w:hint="default" w:ascii="Arial Narrow" w:hAnsi="Arial Narrow" w:eastAsia="Times New Roman" w:cs="Arial Narrow"/>
                <w:b/>
                <w:bCs/>
                <w:sz w:val="20"/>
                <w:szCs w:val="20"/>
              </w:rPr>
            </w:pPr>
            <w:r>
              <w:rPr>
                <w:rFonts w:hint="default" w:ascii="Arial Narrow" w:hAnsi="Arial Narrow" w:eastAsia="Times New Roman" w:cs="Arial Narrow"/>
                <w:b/>
                <w:bCs/>
                <w:sz w:val="20"/>
                <w:szCs w:val="20"/>
              </w:rPr>
              <w:t>CAR</w:t>
            </w:r>
          </w:p>
        </w:tc>
        <w:tc>
          <w:tcPr>
            <w:tcW w:w="85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3,000,000.00</w:t>
            </w:r>
          </w:p>
        </w:tc>
        <w:tc>
          <w:tcPr>
            <w:tcW w:w="42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17,078</w:t>
            </w:r>
          </w:p>
        </w:tc>
        <w:tc>
          <w:tcPr>
            <w:tcW w:w="77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7,796,682.91</w:t>
            </w:r>
          </w:p>
        </w:tc>
        <w:tc>
          <w:tcPr>
            <w:tcW w:w="6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12,725,221.16</w:t>
            </w:r>
          </w:p>
        </w:tc>
        <w:tc>
          <w:tcPr>
            <w:tcW w:w="66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bottom"/>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12,774,786.82</w:t>
            </w:r>
          </w:p>
        </w:tc>
        <w:tc>
          <w:tcPr>
            <w:tcW w:w="85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keepNext w:val="0"/>
              <w:keepLines w:val="0"/>
              <w:widowControl/>
              <w:suppressLineNumbers w:val="0"/>
              <w:bidi w:val="0"/>
              <w:jc w:val="right"/>
              <w:textAlignment w:val="center"/>
              <w:rPr>
                <w:rFonts w:hint="default" w:ascii="Arial Narrow" w:hAnsi="Arial Narrow" w:cs="Arial Narrow"/>
                <w:sz w:val="20"/>
                <w:szCs w:val="20"/>
              </w:rPr>
            </w:pPr>
            <w:r>
              <w:rPr>
                <w:rFonts w:hint="default" w:ascii="Arial Narrow" w:hAnsi="Arial Narrow" w:eastAsia="SimSun" w:cs="Arial Narrow"/>
                <w:b w:val="0"/>
                <w:kern w:val="0"/>
                <w:sz w:val="20"/>
                <w:szCs w:val="20"/>
                <w:lang w:val="en-US" w:eastAsia="zh-CN" w:bidi="ar"/>
              </w:rPr>
              <w:t>36,296,690.89</w:t>
            </w:r>
          </w:p>
        </w:tc>
      </w:tr>
    </w:tbl>
    <w:p>
      <w:pPr>
        <w:ind w:left="284"/>
        <w:contextualSpacing/>
        <w:jc w:val="both"/>
        <w:rPr>
          <w:rFonts w:ascii="Arial" w:hAnsi="Arial" w:eastAsia="Arial" w:cs="Arial"/>
          <w:i/>
          <w:sz w:val="16"/>
          <w:szCs w:val="16"/>
        </w:rPr>
      </w:pPr>
      <w:r>
        <w:rPr>
          <w:rFonts w:ascii="Arial" w:hAnsi="Arial" w:eastAsia="Arial" w:cs="Arial"/>
          <w:i/>
          <w:sz w:val="16"/>
          <w:szCs w:val="16"/>
        </w:rPr>
        <w:t xml:space="preserve">   Note: The Inventory Summary is as of 1</w:t>
      </w:r>
      <w:r>
        <w:rPr>
          <w:rFonts w:hint="default" w:ascii="Arial" w:hAnsi="Arial" w:eastAsia="Arial" w:cs="Arial"/>
          <w:i/>
          <w:sz w:val="16"/>
          <w:szCs w:val="16"/>
          <w:lang w:val="en-US"/>
        </w:rPr>
        <w:t>5</w:t>
      </w:r>
      <w:r>
        <w:rPr>
          <w:rFonts w:ascii="Arial" w:hAnsi="Arial" w:eastAsia="Arial" w:cs="Arial"/>
          <w:i/>
          <w:sz w:val="16"/>
          <w:szCs w:val="16"/>
        </w:rPr>
        <w:t xml:space="preserve"> June 2020, </w:t>
      </w:r>
      <w:r>
        <w:rPr>
          <w:rFonts w:hint="default" w:ascii="Arial" w:hAnsi="Arial" w:eastAsia="Arial" w:cs="Arial"/>
          <w:i/>
          <w:sz w:val="16"/>
          <w:szCs w:val="16"/>
          <w:lang w:val="en-US"/>
        </w:rPr>
        <w:t>12NN</w:t>
      </w:r>
      <w:r>
        <w:rPr>
          <w:rFonts w:ascii="Arial" w:hAnsi="Arial" w:eastAsia="Arial" w:cs="Arial"/>
          <w:i/>
          <w:sz w:val="16"/>
          <w:szCs w:val="16"/>
        </w:rPr>
        <w:t>.</w:t>
      </w:r>
    </w:p>
    <w:p>
      <w:pPr>
        <w:contextualSpacing/>
        <w:jc w:val="right"/>
        <w:rPr>
          <w:rFonts w:ascii="Arial" w:hAnsi="Arial" w:eastAsia="Arial" w:cs="Arial"/>
          <w:i/>
          <w:color w:val="0070C0"/>
          <w:sz w:val="16"/>
          <w:szCs w:val="16"/>
        </w:rPr>
      </w:pPr>
      <w:r>
        <w:rPr>
          <w:rFonts w:ascii="Arial" w:hAnsi="Arial" w:eastAsia="Arial" w:cs="Arial"/>
          <w:i/>
          <w:color w:val="0070C0"/>
          <w:sz w:val="16"/>
          <w:szCs w:val="16"/>
        </w:rPr>
        <w:t>Source: DRMB and NRLMB</w:t>
      </w:r>
    </w:p>
    <w:p>
      <w:pPr>
        <w:rPr>
          <w:rFonts w:ascii="Arial" w:hAnsi="Arial" w:eastAsia="Arial" w:cs="Arial"/>
          <w:b/>
          <w:color w:val="002060"/>
          <w:sz w:val="28"/>
          <w:szCs w:val="28"/>
        </w:rPr>
      </w:pPr>
      <w:r>
        <w:rPr>
          <w:rFonts w:ascii="Arial" w:hAnsi="Arial" w:eastAsia="Arial" w:cs="Arial"/>
          <w:b/>
          <w:color w:val="002060"/>
          <w:sz w:val="28"/>
          <w:szCs w:val="28"/>
        </w:rPr>
        <w:t>Situational Reports</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r>
        <w:rPr>
          <w:rFonts w:ascii="Arial" w:hAnsi="Arial" w:eastAsia="Arial" w:cs="Arial"/>
          <w:b/>
          <w:sz w:val="24"/>
          <w:szCs w:val="24"/>
        </w:rPr>
        <w:t>DSWD-DRMB</w:t>
      </w:r>
    </w:p>
    <w:tbl>
      <w:tblPr>
        <w:tblStyle w:val="338"/>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615"/>
        <w:gridCol w:w="8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6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20"/>
              </w:rPr>
            </w:pPr>
            <w:r>
              <w:rPr>
                <w:rFonts w:ascii="Arial" w:hAnsi="Arial" w:eastAsia="Arial" w:cs="Arial"/>
                <w:b/>
                <w:sz w:val="20"/>
                <w:szCs w:val="20"/>
              </w:rPr>
              <w:t>DATE</w:t>
            </w:r>
          </w:p>
        </w:tc>
        <w:tc>
          <w:tcPr>
            <w:tcW w:w="812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20"/>
              </w:rPr>
            </w:pPr>
            <w:r>
              <w:rPr>
                <w:rFonts w:ascii="Arial" w:hAnsi="Arial" w:eastAsia="Arial" w:cs="Arial"/>
                <w:b/>
                <w:sz w:val="20"/>
                <w:szCs w:val="20"/>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17" w:hRule="atLeast"/>
        </w:trPr>
        <w:tc>
          <w:tcPr>
            <w:tcW w:w="16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color w:val="0070C0"/>
                <w:sz w:val="20"/>
                <w:szCs w:val="20"/>
              </w:rPr>
            </w:pPr>
            <w:r>
              <w:rPr>
                <w:rFonts w:ascii="Arial" w:hAnsi="Arial" w:eastAsia="Arial" w:cs="Arial"/>
                <w:color w:val="0070C0"/>
                <w:sz w:val="20"/>
                <w:szCs w:val="20"/>
              </w:rPr>
              <w:t>15 June 2020</w:t>
            </w:r>
          </w:p>
        </w:tc>
        <w:tc>
          <w:tcPr>
            <w:tcW w:w="812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 xml:space="preserve">The Disaster Response Management Bureau (DRMB) is on </w:t>
            </w:r>
            <w:r>
              <w:rPr>
                <w:rFonts w:ascii="Arial" w:hAnsi="Arial" w:eastAsia="Arial" w:cs="Arial"/>
                <w:b/>
                <w:color w:val="0070C0"/>
                <w:sz w:val="20"/>
                <w:szCs w:val="19"/>
              </w:rPr>
              <w:t>BLUE</w:t>
            </w:r>
            <w:r>
              <w:rPr>
                <w:rFonts w:ascii="Arial" w:hAnsi="Arial" w:eastAsia="Arial" w:cs="Arial"/>
                <w:color w:val="0070C0"/>
                <w:sz w:val="20"/>
                <w:szCs w:val="19"/>
              </w:rPr>
              <w:t xml:space="preserve"> alert status.</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DSWD-DRMB provided augmentation support to DSWD-Field Office NCR in the distribution of relief assistance to 9 stranded construction workers at Greater Lagro, Fairview, QC.</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r>
        <w:rPr>
          <w:rFonts w:ascii="Arial" w:hAnsi="Arial" w:eastAsia="Arial" w:cs="Arial"/>
          <w:b/>
          <w:sz w:val="24"/>
          <w:szCs w:val="24"/>
        </w:rPr>
        <w:t>DSWD-NRLMB</w:t>
      </w:r>
    </w:p>
    <w:tbl>
      <w:tblPr>
        <w:tblStyle w:val="338"/>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20"/>
              </w:rPr>
            </w:pPr>
            <w:r>
              <w:rPr>
                <w:rFonts w:ascii="Arial" w:hAnsi="Arial" w:eastAsia="Arial" w:cs="Arial"/>
                <w:b/>
                <w:sz w:val="20"/>
                <w:szCs w:val="20"/>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20"/>
              </w:rPr>
            </w:pPr>
            <w:r>
              <w:rPr>
                <w:rFonts w:ascii="Arial" w:hAnsi="Arial" w:eastAsia="Arial" w:cs="Arial"/>
                <w:b/>
                <w:sz w:val="20"/>
                <w:szCs w:val="20"/>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20"/>
              </w:rPr>
            </w:pPr>
            <w:r>
              <w:rPr>
                <w:rFonts w:ascii="Arial" w:hAnsi="Arial" w:eastAsia="Arial" w:cs="Arial"/>
                <w:sz w:val="20"/>
                <w:szCs w:val="19"/>
              </w:rPr>
              <w:t>11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DSWD-NRLMB is continuously repacking goods for possible augmentation.</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DSWD-NRLMB provides logistical augmentation to FOs on delivering FFPs to LGUs.</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r>
        <w:rPr>
          <w:rFonts w:ascii="Arial" w:hAnsi="Arial" w:eastAsia="Arial" w:cs="Arial"/>
          <w:b/>
          <w:sz w:val="24"/>
          <w:szCs w:val="24"/>
        </w:rPr>
        <w:t>DSWD-FO NCR</w:t>
      </w:r>
    </w:p>
    <w:tbl>
      <w:tblPr>
        <w:tblStyle w:val="334"/>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25"/>
        <w:gridCol w:w="8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2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color w:val="0070C0"/>
                <w:sz w:val="20"/>
                <w:szCs w:val="19"/>
              </w:rPr>
            </w:pPr>
            <w:r>
              <w:rPr>
                <w:rFonts w:ascii="Arial" w:hAnsi="Arial" w:eastAsia="Arial" w:cs="Arial"/>
                <w:color w:val="0070C0"/>
                <w:sz w:val="20"/>
                <w:szCs w:val="19"/>
              </w:rPr>
              <w:t>15 June 2020</w:t>
            </w:r>
          </w:p>
        </w:tc>
        <w:tc>
          <w:tcPr>
            <w:tcW w:w="82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NCR deployed</w:t>
            </w:r>
            <w:r>
              <w:rPr>
                <w:rFonts w:ascii="Arial" w:hAnsi="Arial" w:eastAsia="Arial" w:cs="Arial"/>
                <w:b/>
                <w:color w:val="0070C0"/>
                <w:sz w:val="20"/>
                <w:szCs w:val="19"/>
              </w:rPr>
              <w:t xml:space="preserve"> 33 staff</w:t>
            </w:r>
            <w:r>
              <w:rPr>
                <w:rFonts w:ascii="Arial" w:hAnsi="Arial" w:eastAsia="Arial" w:cs="Arial"/>
                <w:color w:val="0070C0"/>
                <w:sz w:val="20"/>
                <w:szCs w:val="19"/>
              </w:rPr>
              <w:t xml:space="preserve"> on 15 June 2020 for food and non-food item (FNFI) augmentation to LGUs and other partners.</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 xml:space="preserve">DSWD-FO NCR provided relief assistance amounting to </w:t>
            </w:r>
            <w:r>
              <w:rPr>
                <w:rFonts w:ascii="Arial" w:hAnsi="Arial" w:eastAsia="Arial" w:cs="Arial"/>
                <w:b/>
                <w:color w:val="0070C0"/>
                <w:sz w:val="20"/>
                <w:szCs w:val="19"/>
              </w:rPr>
              <w:t>₱</w:t>
            </w:r>
            <w:r>
              <w:rPr>
                <w:rFonts w:ascii="Arial" w:hAnsi="Arial" w:eastAsia="Arial" w:cs="Arial"/>
                <w:b/>
                <w:bCs/>
                <w:color w:val="0070C0"/>
                <w:sz w:val="20"/>
                <w:szCs w:val="19"/>
              </w:rPr>
              <w:t xml:space="preserve">14,961,572.89 </w:t>
            </w:r>
            <w:r>
              <w:rPr>
                <w:rFonts w:ascii="Arial" w:hAnsi="Arial" w:eastAsia="Arial" w:cs="Arial"/>
                <w:color w:val="0070C0"/>
                <w:sz w:val="20"/>
                <w:szCs w:val="19"/>
              </w:rPr>
              <w:t xml:space="preserve">to </w:t>
            </w:r>
            <w:r>
              <w:rPr>
                <w:rFonts w:ascii="Arial" w:hAnsi="Arial" w:eastAsia="Arial" w:cs="Arial"/>
                <w:b/>
                <w:bCs/>
                <w:color w:val="0070C0"/>
                <w:sz w:val="20"/>
                <w:szCs w:val="19"/>
              </w:rPr>
              <w:t xml:space="preserve">24,402 </w:t>
            </w:r>
            <w:r>
              <w:rPr>
                <w:rFonts w:ascii="Arial" w:hAnsi="Arial" w:eastAsia="Arial" w:cs="Arial"/>
                <w:b/>
                <w:color w:val="0070C0"/>
                <w:sz w:val="20"/>
                <w:szCs w:val="19"/>
              </w:rPr>
              <w:t>individuals</w:t>
            </w:r>
            <w:r>
              <w:rPr>
                <w:rFonts w:ascii="Arial" w:hAnsi="Arial" w:eastAsia="Arial" w:cs="Arial"/>
                <w:color w:val="0070C0"/>
                <w:sz w:val="20"/>
                <w:szCs w:val="19"/>
              </w:rPr>
              <w:t xml:space="preserve"> (i.e., stranded workers and students, frontliners, walk-in clients, residential care facilities, etc.) affected by the ECQ due to COVID-19 pandemic as of 03 June 2020.</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Style w:val="22"/>
              <w:tblW w:w="4900" w:type="pct"/>
              <w:tblInd w:w="160" w:type="dxa"/>
              <w:tblLayout w:type="autofit"/>
              <w:tblCellMar>
                <w:top w:w="0" w:type="dxa"/>
                <w:left w:w="108" w:type="dxa"/>
                <w:bottom w:w="0" w:type="dxa"/>
                <w:right w:w="108" w:type="dxa"/>
              </w:tblCellMar>
            </w:tblPr>
            <w:tblGrid>
              <w:gridCol w:w="1260"/>
              <w:gridCol w:w="1119"/>
              <w:gridCol w:w="1301"/>
              <w:gridCol w:w="1638"/>
              <w:gridCol w:w="1260"/>
              <w:gridCol w:w="1250"/>
            </w:tblGrid>
            <w:tr>
              <w:tblPrEx>
                <w:tblCellMar>
                  <w:top w:w="0" w:type="dxa"/>
                  <w:left w:w="108" w:type="dxa"/>
                  <w:bottom w:w="0" w:type="dxa"/>
                  <w:right w:w="108" w:type="dxa"/>
                </w:tblCellMar>
              </w:tblPrEx>
              <w:trPr>
                <w:trHeight w:val="20" w:hRule="atLeast"/>
              </w:trPr>
              <w:tc>
                <w:tcPr>
                  <w:tcW w:w="805" w:type="pct"/>
                  <w:tcBorders>
                    <w:top w:val="single" w:color="auto" w:sz="4" w:space="0"/>
                    <w:left w:val="single" w:color="auto" w:sz="4" w:space="0"/>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LGU</w:t>
                  </w:r>
                </w:p>
              </w:tc>
              <w:tc>
                <w:tcPr>
                  <w:tcW w:w="715" w:type="pct"/>
                  <w:tcBorders>
                    <w:top w:val="single" w:color="auto" w:sz="4" w:space="0"/>
                    <w:left w:val="nil"/>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No. of Bags</w:t>
                  </w:r>
                </w:p>
              </w:tc>
              <w:tc>
                <w:tcPr>
                  <w:tcW w:w="831" w:type="pct"/>
                  <w:tcBorders>
                    <w:top w:val="single" w:color="auto" w:sz="4" w:space="0"/>
                    <w:left w:val="nil"/>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Cost Per Bag</w:t>
                  </w:r>
                </w:p>
              </w:tc>
              <w:tc>
                <w:tcPr>
                  <w:tcW w:w="1046" w:type="pct"/>
                  <w:tcBorders>
                    <w:top w:val="single" w:color="auto" w:sz="4" w:space="0"/>
                    <w:left w:val="nil"/>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No. of Relief Goods</w:t>
                  </w:r>
                </w:p>
              </w:tc>
              <w:tc>
                <w:tcPr>
                  <w:tcW w:w="805" w:type="pct"/>
                  <w:tcBorders>
                    <w:top w:val="single" w:color="auto" w:sz="4" w:space="0"/>
                    <w:left w:val="nil"/>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Cost Per Relief</w:t>
                  </w:r>
                </w:p>
              </w:tc>
              <w:tc>
                <w:tcPr>
                  <w:tcW w:w="798" w:type="pct"/>
                  <w:tcBorders>
                    <w:top w:val="single" w:color="auto" w:sz="4" w:space="0"/>
                    <w:left w:val="nil"/>
                    <w:bottom w:val="single" w:color="auto" w:sz="4" w:space="0"/>
                    <w:right w:val="single" w:color="auto" w:sz="4" w:space="0"/>
                  </w:tcBorders>
                  <w:shd w:val="clear" w:color="000000" w:fill="D0CECE"/>
                  <w:vAlign w:val="center"/>
                </w:tcPr>
                <w:p>
                  <w:pPr>
                    <w:spacing w:after="0" w:line="240" w:lineRule="auto"/>
                    <w:jc w:val="center"/>
                    <w:rPr>
                      <w:rFonts w:ascii="Arial Narrow" w:hAnsi="Arial Narrow" w:eastAsia="Arial" w:cs="Arial"/>
                      <w:b/>
                      <w:color w:val="0070C0"/>
                      <w:sz w:val="18"/>
                      <w:szCs w:val="18"/>
                    </w:rPr>
                  </w:pPr>
                  <w:r>
                    <w:rPr>
                      <w:rFonts w:ascii="Arial Narrow" w:hAnsi="Arial Narrow" w:eastAsia="Arial" w:cs="Arial"/>
                      <w:b/>
                      <w:color w:val="0070C0"/>
                      <w:sz w:val="18"/>
                      <w:szCs w:val="18"/>
                    </w:rPr>
                    <w:t>Total</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Caloocan</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500</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1,700.00</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16,500</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42,100,000.00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Las Piñas</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pStyle w:val="47"/>
                    <w:widowControl w:val="0"/>
                    <w:contextualSpacing/>
                    <w:jc w:val="right"/>
                    <w:rPr>
                      <w:rFonts w:ascii="Arial Narrow" w:hAnsi="Arial Narrow" w:eastAsia="Arial" w:cs="Arial"/>
                      <w:color w:val="0070C0"/>
                      <w:sz w:val="18"/>
                      <w:szCs w:val="18"/>
                      <w:lang w:val="en-PH"/>
                    </w:rPr>
                  </w:pPr>
                  <w:r>
                    <w:rPr>
                      <w:rFonts w:ascii="Arial Narrow" w:hAnsi="Arial Narrow" w:eastAsia="Arial" w:cs="Arial"/>
                      <w:color w:val="0070C0"/>
                      <w:sz w:val="18"/>
                      <w:szCs w:val="18"/>
                      <w:lang w:val="en-PH"/>
                    </w:rPr>
                    <w:t>5,850</w:t>
                  </w:r>
                </w:p>
              </w:tc>
              <w:tc>
                <w:tcPr>
                  <w:tcW w:w="805" w:type="pct"/>
                  <w:tcBorders>
                    <w:top w:val="nil"/>
                    <w:left w:val="nil"/>
                    <w:bottom w:val="single" w:color="auto" w:sz="4" w:space="0"/>
                    <w:right w:val="single" w:color="auto" w:sz="4" w:space="0"/>
                  </w:tcBorders>
                  <w:shd w:val="clear" w:color="auto" w:fill="auto"/>
                </w:tcPr>
                <w:p>
                  <w:pPr>
                    <w:pStyle w:val="47"/>
                    <w:widowControl w:val="0"/>
                    <w:contextualSpacing/>
                    <w:jc w:val="right"/>
                    <w:rPr>
                      <w:rFonts w:ascii="Arial Narrow" w:hAnsi="Arial Narrow" w:eastAsia="Arial" w:cs="Arial"/>
                      <w:color w:val="0070C0"/>
                      <w:sz w:val="18"/>
                      <w:szCs w:val="18"/>
                      <w:lang w:val="en-PH"/>
                    </w:rPr>
                  </w:pPr>
                  <w:r>
                    <w:rPr>
                      <w:rFonts w:ascii="Arial Narrow" w:hAnsi="Arial Narrow" w:eastAsia="Arial" w:cs="Arial"/>
                      <w:color w:val="0070C0"/>
                      <w:sz w:val="18"/>
                      <w:szCs w:val="18"/>
                      <w:lang w:val="en-PH"/>
                    </w:rPr>
                    <w:t>2,500.00</w:t>
                  </w:r>
                </w:p>
              </w:tc>
              <w:tc>
                <w:tcPr>
                  <w:tcW w:w="798" w:type="pct"/>
                  <w:tcBorders>
                    <w:top w:val="nil"/>
                    <w:left w:val="nil"/>
                    <w:bottom w:val="single" w:color="auto" w:sz="4" w:space="0"/>
                    <w:right w:val="single" w:color="auto" w:sz="4" w:space="0"/>
                  </w:tcBorders>
                  <w:shd w:val="clear" w:color="auto" w:fill="auto"/>
                </w:tcPr>
                <w:p>
                  <w:pPr>
                    <w:pStyle w:val="47"/>
                    <w:widowControl w:val="0"/>
                    <w:contextualSpacing/>
                    <w:jc w:val="right"/>
                    <w:rPr>
                      <w:rFonts w:ascii="Arial Narrow" w:hAnsi="Arial Narrow" w:eastAsia="Arial" w:cs="Arial"/>
                      <w:color w:val="0070C0"/>
                      <w:sz w:val="18"/>
                      <w:szCs w:val="18"/>
                      <w:lang w:val="en-PH"/>
                    </w:rPr>
                  </w:pPr>
                  <w:r>
                    <w:rPr>
                      <w:rFonts w:ascii="Arial Narrow" w:hAnsi="Arial Narrow" w:eastAsia="Arial" w:cs="Arial"/>
                      <w:color w:val="0070C0"/>
                      <w:sz w:val="18"/>
                      <w:szCs w:val="18"/>
                      <w:lang w:val="en-PH"/>
                    </w:rPr>
                    <w:t>14,625,000.00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Malabon</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14,603</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36,507,500.00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Makati</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6,250,000.00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Mandaluyong</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11,357</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28,392,500.00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Manila</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500</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1,700.00</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14,637</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37,442,500.00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Navotas</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4,766</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11,915,000.00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rPr>
                      <w:rFonts w:ascii="Arial Narrow" w:hAnsi="Arial Narrow" w:eastAsia="Arial" w:cs="Arial"/>
                      <w:color w:val="0070C0"/>
                      <w:sz w:val="18"/>
                      <w:szCs w:val="18"/>
                    </w:rPr>
                  </w:pPr>
                  <w:r>
                    <w:rPr>
                      <w:rFonts w:ascii="Arial Narrow" w:hAnsi="Arial Narrow" w:eastAsia="Arial" w:cs="Arial"/>
                      <w:color w:val="0070C0"/>
                      <w:sz w:val="18"/>
                      <w:szCs w:val="18"/>
                    </w:rPr>
                    <w:t>Pasay</w:t>
                  </w:r>
                </w:p>
              </w:tc>
              <w:tc>
                <w:tcPr>
                  <w:tcW w:w="715" w:type="pct"/>
                  <w:tcBorders>
                    <w:top w:val="nil"/>
                    <w:left w:val="nil"/>
                    <w:bottom w:val="single" w:color="auto" w:sz="4" w:space="0"/>
                    <w:right w:val="single" w:color="auto" w:sz="4" w:space="0"/>
                  </w:tcBorders>
                  <w:shd w:val="clear" w:color="auto" w:fill="auto"/>
                </w:tcPr>
                <w:p>
                  <w:pPr>
                    <w:spacing w:after="0" w:line="240" w:lineRule="auto"/>
                    <w:jc w:val="center"/>
                    <w:rPr>
                      <w:rFonts w:ascii="Arial Narrow" w:hAnsi="Arial Narrow" w:eastAsia="Arial" w:cs="Arial"/>
                      <w:color w:val="0070C0"/>
                      <w:sz w:val="18"/>
                      <w:szCs w:val="18"/>
                    </w:rPr>
                  </w:pPr>
                  <w:r>
                    <w:rPr>
                      <w:rFonts w:ascii="Arial Narrow" w:hAnsi="Arial Narrow" w:eastAsia="Arial" w:cs="Arial"/>
                      <w:color w:val="0070C0"/>
                      <w:sz w:val="18"/>
                      <w:szCs w:val="18"/>
                    </w:rPr>
                    <w:t>500</w:t>
                  </w: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1,700.00</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7,949</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20,722,500.00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contextualSpacing/>
                    <w:rPr>
                      <w:rFonts w:ascii="Arial Narrow" w:hAnsi="Arial Narrow" w:eastAsia="Arial" w:cs="Arial"/>
                      <w:color w:val="0070C0"/>
                      <w:sz w:val="18"/>
                      <w:szCs w:val="18"/>
                    </w:rPr>
                  </w:pPr>
                  <w:r>
                    <w:rPr>
                      <w:rFonts w:ascii="Arial Narrow" w:hAnsi="Arial Narrow" w:eastAsia="Arial" w:cs="Arial"/>
                      <w:color w:val="0070C0"/>
                      <w:sz w:val="18"/>
                      <w:szCs w:val="18"/>
                    </w:rPr>
                    <w:t>Pateros</w:t>
                  </w:r>
                </w:p>
              </w:tc>
              <w:tc>
                <w:tcPr>
                  <w:tcW w:w="715"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2,600</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6,500,000.00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contextualSpacing/>
                    <w:rPr>
                      <w:rFonts w:ascii="Arial Narrow" w:hAnsi="Arial Narrow" w:eastAsia="Arial" w:cs="Arial"/>
                      <w:color w:val="0070C0"/>
                      <w:sz w:val="18"/>
                      <w:szCs w:val="18"/>
                    </w:rPr>
                  </w:pPr>
                  <w:r>
                    <w:rPr>
                      <w:rFonts w:ascii="Arial Narrow" w:hAnsi="Arial Narrow" w:eastAsia="Arial" w:cs="Arial"/>
                      <w:color w:val="0070C0"/>
                      <w:sz w:val="18"/>
                      <w:szCs w:val="18"/>
                    </w:rPr>
                    <w:t>Quezon</w:t>
                  </w:r>
                </w:p>
              </w:tc>
              <w:tc>
                <w:tcPr>
                  <w:tcW w:w="715"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500</w:t>
                  </w: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1,700.00</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23,200</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58,850,000.00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contextualSpacing/>
                    <w:rPr>
                      <w:rFonts w:ascii="Arial Narrow" w:hAnsi="Arial Narrow" w:eastAsia="Arial" w:cs="Arial"/>
                      <w:color w:val="0070C0"/>
                      <w:sz w:val="18"/>
                      <w:szCs w:val="18"/>
                    </w:rPr>
                  </w:pPr>
                  <w:r>
                    <w:rPr>
                      <w:rFonts w:ascii="Arial Narrow" w:hAnsi="Arial Narrow" w:eastAsia="Arial" w:cs="Arial"/>
                      <w:color w:val="0070C0"/>
                      <w:sz w:val="18"/>
                      <w:szCs w:val="18"/>
                    </w:rPr>
                    <w:t>San Juan</w:t>
                  </w:r>
                </w:p>
              </w:tc>
              <w:tc>
                <w:tcPr>
                  <w:tcW w:w="715"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3,000</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jc w:val="right"/>
                    <w:rPr>
                      <w:rFonts w:ascii="Arial Narrow" w:hAnsi="Arial Narrow" w:eastAsia="Arial" w:cs="Arial"/>
                      <w:color w:val="0070C0"/>
                      <w:sz w:val="18"/>
                      <w:szCs w:val="18"/>
                    </w:rPr>
                  </w:pPr>
                  <w:r>
                    <w:rPr>
                      <w:rFonts w:ascii="Arial Narrow" w:hAnsi="Arial Narrow" w:eastAsia="Arial" w:cs="Arial"/>
                      <w:color w:val="0070C0"/>
                      <w:sz w:val="18"/>
                      <w:szCs w:val="18"/>
                    </w:rPr>
                    <w:t>7,500,000.00</w:t>
                  </w:r>
                </w:p>
              </w:tc>
            </w:tr>
            <w:tr>
              <w:tblPrEx>
                <w:tblCellMar>
                  <w:top w:w="0" w:type="dxa"/>
                  <w:left w:w="108" w:type="dxa"/>
                  <w:bottom w:w="0" w:type="dxa"/>
                  <w:right w:w="108" w:type="dxa"/>
                </w:tblCellMar>
              </w:tblPrEx>
              <w:trPr>
                <w:trHeight w:val="58"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contextualSpacing/>
                    <w:rPr>
                      <w:rFonts w:ascii="Arial Narrow" w:hAnsi="Arial Narrow" w:eastAsia="Arial" w:cs="Arial"/>
                      <w:color w:val="0070C0"/>
                      <w:sz w:val="18"/>
                      <w:szCs w:val="18"/>
                    </w:rPr>
                  </w:pPr>
                  <w:r>
                    <w:rPr>
                      <w:rFonts w:ascii="Arial Narrow" w:hAnsi="Arial Narrow" w:eastAsia="Arial" w:cs="Arial"/>
                      <w:color w:val="0070C0"/>
                      <w:sz w:val="18"/>
                      <w:szCs w:val="18"/>
                    </w:rPr>
                    <w:t>Taguig</w:t>
                  </w:r>
                </w:p>
              </w:tc>
              <w:tc>
                <w:tcPr>
                  <w:tcW w:w="715"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10,194</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25,485,000.00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auto" w:fill="auto"/>
                </w:tcPr>
                <w:p>
                  <w:pPr>
                    <w:spacing w:after="0" w:line="240" w:lineRule="auto"/>
                    <w:contextualSpacing/>
                    <w:rPr>
                      <w:rFonts w:ascii="Arial Narrow" w:hAnsi="Arial Narrow" w:eastAsia="Arial" w:cs="Arial"/>
                      <w:color w:val="0070C0"/>
                      <w:sz w:val="18"/>
                      <w:szCs w:val="18"/>
                    </w:rPr>
                  </w:pPr>
                  <w:r>
                    <w:rPr>
                      <w:rFonts w:ascii="Arial Narrow" w:hAnsi="Arial Narrow" w:eastAsia="Arial" w:cs="Arial"/>
                      <w:color w:val="0070C0"/>
                      <w:sz w:val="18"/>
                      <w:szCs w:val="18"/>
                    </w:rPr>
                    <w:t>Valenzuela</w:t>
                  </w:r>
                </w:p>
              </w:tc>
              <w:tc>
                <w:tcPr>
                  <w:tcW w:w="715"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831" w:type="pct"/>
                  <w:tcBorders>
                    <w:top w:val="nil"/>
                    <w:left w:val="nil"/>
                    <w:bottom w:val="single" w:color="auto" w:sz="4" w:space="0"/>
                    <w:right w:val="single" w:color="auto" w:sz="4" w:space="0"/>
                  </w:tcBorders>
                  <w:shd w:val="clear" w:color="auto" w:fill="auto"/>
                </w:tcPr>
                <w:p>
                  <w:pPr>
                    <w:spacing w:after="0" w:line="240" w:lineRule="auto"/>
                    <w:contextualSpacing/>
                    <w:jc w:val="center"/>
                    <w:rPr>
                      <w:rFonts w:ascii="Arial Narrow" w:hAnsi="Arial Narrow" w:eastAsia="Arial" w:cs="Arial"/>
                      <w:color w:val="0070C0"/>
                      <w:sz w:val="18"/>
                      <w:szCs w:val="18"/>
                    </w:rPr>
                  </w:pPr>
                  <w:r>
                    <w:rPr>
                      <w:rFonts w:ascii="Arial Narrow" w:hAnsi="Arial Narrow" w:eastAsia="Arial" w:cs="Arial"/>
                      <w:color w:val="0070C0"/>
                      <w:sz w:val="18"/>
                      <w:szCs w:val="18"/>
                    </w:rPr>
                    <w:t>-</w:t>
                  </w:r>
                </w:p>
              </w:tc>
              <w:tc>
                <w:tcPr>
                  <w:tcW w:w="1046"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27,648</w:t>
                  </w:r>
                </w:p>
              </w:tc>
              <w:tc>
                <w:tcPr>
                  <w:tcW w:w="805"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2,500.00</w:t>
                  </w:r>
                </w:p>
              </w:tc>
              <w:tc>
                <w:tcPr>
                  <w:tcW w:w="798" w:type="pct"/>
                  <w:tcBorders>
                    <w:top w:val="nil"/>
                    <w:left w:val="nil"/>
                    <w:bottom w:val="single" w:color="auto" w:sz="4" w:space="0"/>
                    <w:right w:val="single" w:color="auto" w:sz="4" w:space="0"/>
                  </w:tcBorders>
                  <w:shd w:val="clear" w:color="auto" w:fill="auto"/>
                </w:tcPr>
                <w:p>
                  <w:pPr>
                    <w:spacing w:after="0" w:line="240" w:lineRule="auto"/>
                    <w:contextualSpacing/>
                    <w:jc w:val="right"/>
                    <w:rPr>
                      <w:rFonts w:ascii="Arial Narrow" w:hAnsi="Arial Narrow" w:eastAsia="Arial" w:cs="Arial"/>
                      <w:color w:val="0070C0"/>
                      <w:sz w:val="18"/>
                      <w:szCs w:val="18"/>
                    </w:rPr>
                  </w:pPr>
                  <w:r>
                    <w:rPr>
                      <w:rFonts w:ascii="Arial Narrow" w:hAnsi="Arial Narrow" w:eastAsia="Arial" w:cs="Arial"/>
                      <w:color w:val="0070C0"/>
                      <w:sz w:val="18"/>
                      <w:szCs w:val="18"/>
                    </w:rPr>
                    <w:t>69,120,000.00</w:t>
                  </w:r>
                </w:p>
              </w:tc>
            </w:tr>
            <w:tr>
              <w:tblPrEx>
                <w:tblCellMar>
                  <w:top w:w="0" w:type="dxa"/>
                  <w:left w:w="108" w:type="dxa"/>
                  <w:bottom w:w="0" w:type="dxa"/>
                  <w:right w:w="108" w:type="dxa"/>
                </w:tblCellMar>
              </w:tblPrEx>
              <w:trPr>
                <w:trHeight w:val="20" w:hRule="atLeast"/>
              </w:trPr>
              <w:tc>
                <w:tcPr>
                  <w:tcW w:w="805" w:type="pct"/>
                  <w:tcBorders>
                    <w:top w:val="nil"/>
                    <w:left w:val="single" w:color="auto" w:sz="4" w:space="0"/>
                    <w:bottom w:val="single" w:color="auto" w:sz="4" w:space="0"/>
                    <w:right w:val="single" w:color="auto" w:sz="4" w:space="0"/>
                  </w:tcBorders>
                  <w:shd w:val="clear" w:color="000000" w:fill="E2EFDA"/>
                  <w:vAlign w:val="center"/>
                </w:tcPr>
                <w:p>
                  <w:pPr>
                    <w:spacing w:after="0" w:line="240" w:lineRule="auto"/>
                    <w:contextualSpacing/>
                    <w:jc w:val="center"/>
                    <w:rPr>
                      <w:rFonts w:ascii="Arial Narrow" w:hAnsi="Arial Narrow" w:eastAsia="Arial" w:cs="Arial"/>
                      <w:b/>
                      <w:color w:val="0070C0"/>
                      <w:sz w:val="18"/>
                      <w:szCs w:val="18"/>
                    </w:rPr>
                  </w:pPr>
                  <w:r>
                    <w:rPr>
                      <w:rFonts w:ascii="Arial Narrow" w:hAnsi="Arial Narrow" w:eastAsia="Arial" w:cs="Arial"/>
                      <w:b/>
                      <w:color w:val="0070C0"/>
                      <w:sz w:val="18"/>
                      <w:szCs w:val="18"/>
                    </w:rPr>
                    <w:t>TOTAL</w:t>
                  </w:r>
                </w:p>
              </w:tc>
              <w:tc>
                <w:tcPr>
                  <w:tcW w:w="715" w:type="pct"/>
                  <w:tcBorders>
                    <w:top w:val="nil"/>
                    <w:left w:val="nil"/>
                    <w:bottom w:val="single" w:color="auto" w:sz="4" w:space="0"/>
                    <w:right w:val="single" w:color="auto" w:sz="4" w:space="0"/>
                  </w:tcBorders>
                  <w:shd w:val="clear" w:color="000000" w:fill="E2EFDA"/>
                  <w:vAlign w:val="center"/>
                </w:tcPr>
                <w:p>
                  <w:pPr>
                    <w:spacing w:after="0" w:line="240" w:lineRule="auto"/>
                    <w:contextualSpacing/>
                    <w:jc w:val="right"/>
                    <w:rPr>
                      <w:rFonts w:ascii="Arial Narrow" w:hAnsi="Arial Narrow" w:eastAsia="Arial" w:cs="Arial"/>
                      <w:b/>
                      <w:color w:val="0070C0"/>
                      <w:sz w:val="18"/>
                      <w:szCs w:val="18"/>
                    </w:rPr>
                  </w:pPr>
                  <w:r>
                    <w:rPr>
                      <w:rFonts w:ascii="Arial Narrow" w:hAnsi="Arial Narrow" w:eastAsia="Arial" w:cs="Arial"/>
                      <w:b/>
                      <w:color w:val="0070C0"/>
                      <w:sz w:val="18"/>
                      <w:szCs w:val="18"/>
                    </w:rPr>
                    <w:t>2,000</w:t>
                  </w:r>
                </w:p>
              </w:tc>
              <w:tc>
                <w:tcPr>
                  <w:tcW w:w="831" w:type="pct"/>
                  <w:tcBorders>
                    <w:top w:val="nil"/>
                    <w:left w:val="nil"/>
                    <w:bottom w:val="single" w:color="auto" w:sz="4" w:space="0"/>
                    <w:right w:val="single" w:color="auto" w:sz="4" w:space="0"/>
                  </w:tcBorders>
                  <w:shd w:val="clear" w:color="000000" w:fill="E2EFDA"/>
                  <w:vAlign w:val="center"/>
                </w:tcPr>
                <w:p>
                  <w:pPr>
                    <w:spacing w:after="0" w:line="240" w:lineRule="auto"/>
                    <w:contextualSpacing/>
                    <w:jc w:val="right"/>
                    <w:rPr>
                      <w:rFonts w:ascii="Arial Narrow" w:hAnsi="Arial Narrow" w:eastAsia="Arial" w:cs="Arial"/>
                      <w:b/>
                      <w:color w:val="0070C0"/>
                      <w:sz w:val="18"/>
                      <w:szCs w:val="18"/>
                    </w:rPr>
                  </w:pPr>
                  <w:r>
                    <w:rPr>
                      <w:rFonts w:ascii="Arial Narrow" w:hAnsi="Arial Narrow" w:eastAsia="Arial" w:cs="Arial"/>
                      <w:b/>
                      <w:color w:val="0070C0"/>
                      <w:sz w:val="18"/>
                      <w:szCs w:val="18"/>
                    </w:rPr>
                    <w:t xml:space="preserve"> </w:t>
                  </w:r>
                </w:p>
              </w:tc>
              <w:tc>
                <w:tcPr>
                  <w:tcW w:w="1046" w:type="pct"/>
                  <w:tcBorders>
                    <w:top w:val="nil"/>
                    <w:left w:val="nil"/>
                    <w:bottom w:val="single" w:color="auto" w:sz="4" w:space="0"/>
                    <w:right w:val="single" w:color="auto" w:sz="4" w:space="0"/>
                  </w:tcBorders>
                  <w:shd w:val="clear" w:color="000000" w:fill="E2EFDA"/>
                  <w:vAlign w:val="center"/>
                </w:tcPr>
                <w:p>
                  <w:pPr>
                    <w:spacing w:after="0" w:line="240" w:lineRule="auto"/>
                    <w:contextualSpacing/>
                    <w:jc w:val="right"/>
                    <w:rPr>
                      <w:rFonts w:ascii="Arial Narrow" w:hAnsi="Arial Narrow" w:eastAsia="Arial" w:cs="Arial"/>
                      <w:b/>
                      <w:color w:val="0070C0"/>
                      <w:sz w:val="18"/>
                      <w:szCs w:val="18"/>
                    </w:rPr>
                  </w:pPr>
                  <w:r>
                    <w:rPr>
                      <w:rFonts w:ascii="Arial Narrow" w:hAnsi="Arial Narrow" w:eastAsia="Arial" w:cs="Arial"/>
                      <w:b/>
                      <w:color w:val="0070C0"/>
                      <w:sz w:val="18"/>
                      <w:szCs w:val="18"/>
                    </w:rPr>
                    <w:t>144,804</w:t>
                  </w:r>
                </w:p>
              </w:tc>
              <w:tc>
                <w:tcPr>
                  <w:tcW w:w="805" w:type="pct"/>
                  <w:tcBorders>
                    <w:top w:val="nil"/>
                    <w:left w:val="nil"/>
                    <w:bottom w:val="single" w:color="auto" w:sz="4" w:space="0"/>
                    <w:right w:val="single" w:color="auto" w:sz="4" w:space="0"/>
                  </w:tcBorders>
                  <w:shd w:val="clear" w:color="000000" w:fill="E2EFDA"/>
                  <w:vAlign w:val="center"/>
                </w:tcPr>
                <w:p>
                  <w:pPr>
                    <w:spacing w:after="0" w:line="240" w:lineRule="auto"/>
                    <w:contextualSpacing/>
                    <w:jc w:val="right"/>
                    <w:rPr>
                      <w:rFonts w:ascii="Arial Narrow" w:hAnsi="Arial Narrow" w:eastAsia="Arial" w:cs="Arial"/>
                      <w:b/>
                      <w:color w:val="0070C0"/>
                      <w:sz w:val="18"/>
                      <w:szCs w:val="18"/>
                    </w:rPr>
                  </w:pPr>
                  <w:r>
                    <w:rPr>
                      <w:rFonts w:ascii="Arial Narrow" w:hAnsi="Arial Narrow" w:eastAsia="Arial" w:cs="Arial"/>
                      <w:b/>
                      <w:color w:val="0070C0"/>
                      <w:sz w:val="18"/>
                      <w:szCs w:val="18"/>
                    </w:rPr>
                    <w:t xml:space="preserve"> </w:t>
                  </w:r>
                </w:p>
              </w:tc>
              <w:tc>
                <w:tcPr>
                  <w:tcW w:w="798" w:type="pct"/>
                  <w:tcBorders>
                    <w:top w:val="nil"/>
                    <w:left w:val="nil"/>
                    <w:bottom w:val="single" w:color="auto" w:sz="4" w:space="0"/>
                    <w:right w:val="single" w:color="auto" w:sz="4" w:space="0"/>
                  </w:tcBorders>
                  <w:shd w:val="clear" w:color="000000" w:fill="E2EFDA"/>
                  <w:vAlign w:val="center"/>
                </w:tcPr>
                <w:p>
                  <w:pPr>
                    <w:spacing w:after="0" w:line="240" w:lineRule="auto"/>
                    <w:contextualSpacing/>
                    <w:jc w:val="right"/>
                    <w:rPr>
                      <w:rFonts w:ascii="Arial Narrow" w:hAnsi="Arial Narrow" w:eastAsia="Arial" w:cs="Arial"/>
                      <w:b/>
                      <w:color w:val="0070C0"/>
                      <w:sz w:val="18"/>
                      <w:szCs w:val="18"/>
                    </w:rPr>
                  </w:pPr>
                  <w:r>
                    <w:rPr>
                      <w:rFonts w:ascii="Arial Narrow" w:hAnsi="Arial Narrow" w:eastAsia="Arial" w:cs="Arial"/>
                      <w:b/>
                      <w:color w:val="0070C0"/>
                      <w:sz w:val="18"/>
                      <w:szCs w:val="18"/>
                    </w:rPr>
                    <w:t>365,410,000.00</w:t>
                  </w:r>
                </w:p>
              </w:tc>
            </w:tr>
          </w:tbl>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NCR is continuously coordinating with the Philippine National Police (PNP) for their assistance to ensure the safety and security during the hauling, transport, and unloading of goods.</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r>
        <w:rPr>
          <w:rFonts w:ascii="Arial" w:hAnsi="Arial" w:eastAsia="Arial" w:cs="Arial"/>
          <w:b/>
          <w:sz w:val="24"/>
          <w:szCs w:val="24"/>
        </w:rPr>
        <w:t>DSWD-FO CAR</w:t>
      </w:r>
    </w:p>
    <w:tbl>
      <w:tblPr>
        <w:tblStyle w:val="338"/>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737"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sz w:val="20"/>
                <w:szCs w:val="19"/>
              </w:rPr>
            </w:pPr>
            <w:r>
              <w:rPr>
                <w:rFonts w:ascii="Arial" w:hAnsi="Arial" w:eastAsia="Arial" w:cs="Arial"/>
                <w:sz w:val="20"/>
                <w:szCs w:val="19"/>
              </w:rPr>
              <w:t>13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The Operations Center is on RED ALERT in accordance to the alert level status of Cordillera Regional Disaster Risk Reduction and Management Council (CRDRRMC).</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Monitored the payout of CCAM 2019 Projects.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Monitored the stockpile in the provinces and facilitated the processing of RIS.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Coordinated with SWAD staff in consolidating provincial updates and reports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Continued the coordination with DRMB and NRLMB on the disaster operations concerns such as technical assistance, guidance and facilitation of logistical concerns.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Continued the monitoring of COVID-19 pandemic and daily weather outlook in each province.</w:t>
            </w:r>
          </w:p>
          <w:p>
            <w:pPr>
              <w:pStyle w:val="29"/>
              <w:spacing w:after="0" w:line="240" w:lineRule="auto"/>
              <w:ind w:left="360"/>
              <w:jc w:val="both"/>
              <w:rPr>
                <w:rFonts w:ascii="Arial" w:hAnsi="Arial" w:eastAsia="Arial" w:cs="Arial"/>
                <w:sz w:val="20"/>
                <w:szCs w:val="19"/>
              </w:rPr>
            </w:pPr>
          </w:p>
          <w:p>
            <w:pPr>
              <w:widowControl/>
              <w:autoSpaceDE w:val="0"/>
              <w:autoSpaceDN w:val="0"/>
              <w:adjustRightInd w:val="0"/>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A total of </w:t>
            </w:r>
            <w:r>
              <w:rPr>
                <w:rFonts w:ascii="Arial" w:hAnsi="Arial" w:eastAsia="Arial" w:cs="Arial"/>
                <w:b/>
                <w:bCs/>
                <w:sz w:val="20"/>
                <w:szCs w:val="19"/>
              </w:rPr>
              <w:t xml:space="preserve">297,348 </w:t>
            </w:r>
            <w:r>
              <w:rPr>
                <w:rFonts w:ascii="Arial" w:hAnsi="Arial" w:eastAsia="Arial" w:cs="Arial"/>
                <w:sz w:val="20"/>
                <w:szCs w:val="19"/>
              </w:rPr>
              <w:t xml:space="preserve">beneficiaries received SAP assistance amounting to a total of </w:t>
            </w:r>
            <w:r>
              <w:rPr>
                <w:rFonts w:ascii="Arial" w:hAnsi="Arial" w:eastAsia="Arial" w:cs="Arial"/>
                <w:b/>
                <w:bCs/>
                <w:sz w:val="20"/>
                <w:szCs w:val="19"/>
              </w:rPr>
              <w:t>₱1,550,834,750.00.</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CAR started the conduct of SAP post validation in the Province of Benguet as basis in the release of 2</w:t>
            </w:r>
            <w:r>
              <w:rPr>
                <w:rFonts w:ascii="Arial" w:hAnsi="Arial" w:eastAsia="Arial" w:cs="Arial"/>
                <w:sz w:val="20"/>
                <w:szCs w:val="19"/>
                <w:vertAlign w:val="superscript"/>
              </w:rPr>
              <w:t>nd</w:t>
            </w:r>
            <w:r>
              <w:rPr>
                <w:rFonts w:ascii="Arial" w:hAnsi="Arial" w:eastAsia="Arial" w:cs="Arial"/>
                <w:sz w:val="20"/>
                <w:szCs w:val="19"/>
              </w:rPr>
              <w:t xml:space="preserve"> tranche.</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Monitored SAP payouts to the LGUs with supplemental proposals.</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Monitored the completion of SAP encoding in the provinces. The RICTU made an offline encoding system to help in the encoding of SAC forms in the provinces and presented to LGUs through video conference.</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Responded to grievances and other concerns.</w:t>
            </w:r>
          </w:p>
        </w:tc>
      </w:tr>
    </w:tbl>
    <w:p>
      <w:pPr>
        <w:widowControl/>
        <w:pBdr>
          <w:top w:val="none" w:color="000000" w:sz="0" w:space="0"/>
          <w:left w:val="none" w:color="000000" w:sz="0" w:space="1"/>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1"/>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r>
        <w:rPr>
          <w:rFonts w:ascii="Arial" w:hAnsi="Arial" w:eastAsia="Arial" w:cs="Arial"/>
          <w:b/>
          <w:sz w:val="24"/>
          <w:szCs w:val="24"/>
        </w:rPr>
        <w:t>DSWD-FO I</w:t>
      </w:r>
    </w:p>
    <w:tbl>
      <w:tblPr>
        <w:tblStyle w:val="336"/>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autoSpaceDE w:val="0"/>
              <w:autoSpaceDN w:val="0"/>
              <w:adjustRightInd w:val="0"/>
              <w:spacing w:after="0" w:line="240" w:lineRule="auto"/>
              <w:jc w:val="both"/>
              <w:rPr>
                <w:rFonts w:ascii="Arial" w:hAnsi="Arial" w:eastAsia="Arial" w:cs="Arial"/>
                <w:sz w:val="20"/>
                <w:szCs w:val="19"/>
              </w:rPr>
            </w:pPr>
            <w:r>
              <w:rPr>
                <w:rFonts w:ascii="Arial" w:hAnsi="Arial" w:eastAsia="Arial" w:cs="Arial"/>
                <w:sz w:val="20"/>
                <w:szCs w:val="19"/>
              </w:rPr>
              <w:t>14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DSWD- FO 1 led by Responsible Official (RO) Marcelo Nicomedes J. Castillo conducted a meeting with IMT Section Chiefs at the Panlipunan Hall, DSWD Field Office 1, Quezon Ave., City of San Fernando, La Union. Incident Command System (ICS) Structure and schedule of duty from 16 June 2020 onwards were discussed during said meeting. </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Status of Regional Treatment and Monitoring Facilities, Maps, and COVID-19 Daily Monitoring Report 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A total of </w:t>
            </w:r>
            <w:r>
              <w:rPr>
                <w:rFonts w:ascii="Arial" w:hAnsi="Arial" w:eastAsia="Arial" w:cs="Arial"/>
                <w:b/>
                <w:sz w:val="20"/>
                <w:szCs w:val="19"/>
              </w:rPr>
              <w:t>69 personnel</w:t>
            </w:r>
            <w:r>
              <w:rPr>
                <w:rFonts w:ascii="Arial" w:hAnsi="Arial" w:eastAsia="Arial" w:cs="Arial"/>
                <w:sz w:val="20"/>
                <w:szCs w:val="19"/>
              </w:rPr>
              <w:t xml:space="preserve"> are on-duty/deployed regionwide to conduct response operation and post validation of Social Amelioration Program (SAP) in the region. Also, DSWD FO 1 IMT is still operating in response to COVID-19 pandemic.</w:t>
            </w:r>
          </w:p>
          <w:p>
            <w:pPr>
              <w:spacing w:after="0" w:line="240" w:lineRule="auto"/>
              <w:jc w:val="both"/>
              <w:rPr>
                <w:rFonts w:ascii="Arial" w:hAnsi="Arial" w:eastAsia="Arial" w:cs="Arial"/>
                <w:b/>
                <w:sz w:val="20"/>
                <w:szCs w:val="19"/>
              </w:rPr>
            </w:pPr>
          </w:p>
          <w:p>
            <w:pPr>
              <w:spacing w:after="0" w:line="240" w:lineRule="auto"/>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A total of </w:t>
            </w:r>
            <w:r>
              <w:rPr>
                <w:rFonts w:ascii="Arial" w:hAnsi="Arial" w:eastAsia="Arial" w:cs="Arial"/>
                <w:b/>
                <w:sz w:val="20"/>
                <w:szCs w:val="19"/>
              </w:rPr>
              <w:t>₱</w:t>
            </w:r>
            <w:r>
              <w:rPr>
                <w:rFonts w:ascii="Arial" w:hAnsi="Arial" w:eastAsia="Arial" w:cs="Arial"/>
                <w:b/>
                <w:bCs/>
                <w:sz w:val="20"/>
                <w:szCs w:val="19"/>
                <w:lang w:val="en-US"/>
              </w:rPr>
              <w:t xml:space="preserve">4,280,743,500.00 </w:t>
            </w:r>
            <w:r>
              <w:rPr>
                <w:rFonts w:ascii="Arial" w:hAnsi="Arial" w:eastAsia="Arial" w:cs="Arial"/>
                <w:sz w:val="20"/>
                <w:szCs w:val="19"/>
              </w:rPr>
              <w:t xml:space="preserve">was paid to </w:t>
            </w:r>
            <w:r>
              <w:rPr>
                <w:rFonts w:ascii="Arial" w:hAnsi="Arial" w:eastAsia="Arial" w:cs="Arial"/>
                <w:b/>
                <w:bCs/>
                <w:sz w:val="20"/>
                <w:szCs w:val="19"/>
                <w:lang w:val="en-US"/>
              </w:rPr>
              <w:t xml:space="preserve">778,317 </w:t>
            </w:r>
            <w:r>
              <w:rPr>
                <w:rFonts w:ascii="Arial" w:hAnsi="Arial" w:eastAsia="Arial" w:cs="Arial"/>
                <w:b/>
                <w:sz w:val="20"/>
                <w:szCs w:val="19"/>
              </w:rPr>
              <w:t>SAP beneficiaries</w:t>
            </w:r>
            <w:r>
              <w:rPr>
                <w:rFonts w:ascii="Arial" w:hAnsi="Arial" w:eastAsia="Arial" w:cs="Arial"/>
                <w:sz w:val="20"/>
                <w:szCs w:val="19"/>
              </w:rPr>
              <w:t xml:space="preserve"> in </w:t>
            </w:r>
            <w:r>
              <w:rPr>
                <w:rFonts w:ascii="Arial" w:hAnsi="Arial" w:eastAsia="Arial" w:cs="Arial"/>
                <w:b/>
                <w:sz w:val="20"/>
                <w:szCs w:val="19"/>
              </w:rPr>
              <w:t>125 cities/municipalities</w:t>
            </w:r>
            <w:r>
              <w:rPr>
                <w:rFonts w:ascii="Arial" w:hAnsi="Arial" w:eastAsia="Arial" w:cs="Arial"/>
                <w:sz w:val="20"/>
                <w:szCs w:val="19"/>
              </w:rPr>
              <w:t xml:space="preserve"> in the Region.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Coordination with Local Social Welfare and Development Offices (LSWDOs) and barangay officials relative to the submission of SAP documentary requirements, and verification of list of potential and target beneficiaries through home visitation and table validation were also continuously conducted.</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r>
        <w:rPr>
          <w:rFonts w:ascii="Arial" w:hAnsi="Arial" w:eastAsia="Arial" w:cs="Arial"/>
          <w:b/>
          <w:sz w:val="24"/>
          <w:szCs w:val="24"/>
        </w:rPr>
        <w:t>DSWD-FO II</w:t>
      </w:r>
    </w:p>
    <w:tbl>
      <w:tblPr>
        <w:tblStyle w:val="337"/>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11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The Regional Resource Operation Section (RROS) of DSWD-FO II ensures the availability of FFPs and NFIs at any given time as need arises.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Continued repacking of FFPs at the Field Office.</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Continued monitoring and inspection of the condition of FFPs.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Assigned DSWD-FO II staff to answer calls and receive text messages through the grievance hotline.</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All received grievances were acted upon and/or transmitted to respective City/Municipal Social Welfare Development Officers (C/MSWDOs) for their appropriate action.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Continued coordination with LGUs for the submission of liquidation reports and list of left-outs.</w:t>
            </w:r>
          </w:p>
          <w:p>
            <w:pPr>
              <w:pStyle w:val="29"/>
              <w:spacing w:after="0" w:line="240" w:lineRule="auto"/>
              <w:ind w:left="360"/>
              <w:jc w:val="both"/>
              <w:rPr>
                <w:rFonts w:ascii="Arial" w:hAnsi="Arial" w:eastAsia="Arial" w:cs="Arial"/>
                <w:sz w:val="20"/>
                <w:szCs w:val="19"/>
              </w:rPr>
            </w:pPr>
          </w:p>
          <w:p>
            <w:pP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b/>
                <w:sz w:val="20"/>
                <w:szCs w:val="19"/>
                <w:lang w:bidi="en-US"/>
              </w:rPr>
              <w:t xml:space="preserve">570,679 </w:t>
            </w:r>
            <w:r>
              <w:rPr>
                <w:rFonts w:ascii="Arial" w:hAnsi="Arial" w:eastAsia="Arial" w:cs="Arial"/>
                <w:sz w:val="20"/>
                <w:szCs w:val="19"/>
              </w:rPr>
              <w:t xml:space="preserve">beneficiaries have received SAP assistance amounting to a total of </w:t>
            </w:r>
            <w:r>
              <w:rPr>
                <w:rFonts w:ascii="Arial" w:hAnsi="Arial" w:eastAsia="Arial" w:cs="Arial"/>
                <w:b/>
                <w:bCs/>
                <w:sz w:val="20"/>
                <w:szCs w:val="19"/>
              </w:rPr>
              <w:t xml:space="preserve">₱3,138,734,500.00 </w:t>
            </w:r>
            <w:r>
              <w:rPr>
                <w:rFonts w:ascii="Arial" w:hAnsi="Arial" w:eastAsia="Arial" w:cs="Arial"/>
                <w:sz w:val="20"/>
                <w:szCs w:val="19"/>
              </w:rPr>
              <w:t xml:space="preserve">indicating a </w:t>
            </w:r>
            <w:r>
              <w:rPr>
                <w:rFonts w:ascii="Arial" w:hAnsi="Arial" w:eastAsia="Arial" w:cs="Arial"/>
                <w:b/>
                <w:sz w:val="20"/>
                <w:szCs w:val="19"/>
                <w:lang w:bidi="en-US"/>
              </w:rPr>
              <w:t xml:space="preserve">97.68% </w:t>
            </w:r>
            <w:r>
              <w:rPr>
                <w:rFonts w:ascii="Arial" w:hAnsi="Arial" w:eastAsia="Arial" w:cs="Arial"/>
                <w:sz w:val="20"/>
                <w:szCs w:val="19"/>
              </w:rPr>
              <w:t>distribution rate as of 09 June 2020, 12NN.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Provincial Focals on SAP continuously coordinate with the LGUs relative to the implementation of MC 14 s. 2020 on Special Guidelines in the Implementation of Emergency Subsidy Program for additional beneficiaries (left-out/waitlisted). </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II staff conducted orientation relative to Memorandum Circular 14 s. 2020 on Special Guidelines in the Implementation of the Emergency Subsidy Program for the additional beneficiaries (left-out/waitlisted) to MSWDOs of the 2nd district of Cagayan. The focals of the other provinces provided technical assistance through calls, texts, and messenger in the interest of time.</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As of this report, </w:t>
            </w:r>
            <w:r>
              <w:rPr>
                <w:rFonts w:ascii="Arial" w:hAnsi="Arial" w:eastAsia="Arial" w:cs="Arial"/>
                <w:b/>
                <w:sz w:val="20"/>
                <w:szCs w:val="19"/>
              </w:rPr>
              <w:t xml:space="preserve">64 </w:t>
            </w:r>
            <w:r>
              <w:rPr>
                <w:rFonts w:ascii="Arial" w:hAnsi="Arial" w:eastAsia="Arial" w:cs="Arial"/>
                <w:sz w:val="20"/>
                <w:szCs w:val="19"/>
              </w:rPr>
              <w:t>out of</w:t>
            </w:r>
            <w:r>
              <w:rPr>
                <w:rFonts w:ascii="Arial" w:hAnsi="Arial" w:eastAsia="Arial" w:cs="Arial"/>
                <w:b/>
                <w:sz w:val="20"/>
                <w:szCs w:val="19"/>
              </w:rPr>
              <w:t xml:space="preserve"> 93 LGUs</w:t>
            </w:r>
            <w:r>
              <w:rPr>
                <w:rFonts w:ascii="Arial" w:hAnsi="Arial" w:eastAsia="Arial" w:cs="Arial"/>
                <w:sz w:val="20"/>
                <w:szCs w:val="19"/>
              </w:rPr>
              <w:t xml:space="preserve"> were able to completely pay all their target beneficiaries. The remaining 29 LGUs with unpaid beneficiaries were advised to refund the unutilized fund</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b/>
                <w:sz w:val="20"/>
                <w:szCs w:val="19"/>
              </w:rPr>
              <w:t>52 LGUs</w:t>
            </w:r>
            <w:r>
              <w:rPr>
                <w:rFonts w:ascii="Arial" w:hAnsi="Arial" w:eastAsia="Arial" w:cs="Arial"/>
                <w:sz w:val="20"/>
                <w:szCs w:val="19"/>
              </w:rPr>
              <w:t xml:space="preserve"> have already submitted their liquidation reports for the SAP implementation.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II conducts simultaneous validation on SAP implementation in the 4 provinces in the region to validate grievances received through referrals/hotline and identify duplication of granted benefits.</w:t>
            </w:r>
          </w:p>
        </w:tc>
      </w:tr>
    </w:tbl>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r>
        <w:rPr>
          <w:rFonts w:ascii="Arial" w:hAnsi="Arial" w:eastAsia="Arial" w:cs="Arial"/>
          <w:b/>
          <w:sz w:val="24"/>
          <w:szCs w:val="24"/>
        </w:rPr>
        <w:t>DSWD-FO III</w:t>
      </w:r>
    </w:p>
    <w:tbl>
      <w:tblPr>
        <w:tblStyle w:val="338"/>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sz w:val="20"/>
                <w:szCs w:val="19"/>
              </w:rPr>
            </w:pPr>
            <w:r>
              <w:rPr>
                <w:rFonts w:ascii="Arial" w:hAnsi="Arial" w:eastAsia="Arial" w:cs="Arial"/>
                <w:sz w:val="20"/>
                <w:szCs w:val="19"/>
              </w:rPr>
              <w:t>11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Served </w:t>
            </w:r>
            <w:r>
              <w:rPr>
                <w:rFonts w:ascii="Arial" w:hAnsi="Arial" w:eastAsia="Arial" w:cs="Arial"/>
                <w:b/>
                <w:sz w:val="20"/>
                <w:szCs w:val="19"/>
              </w:rPr>
              <w:t xml:space="preserve">4,618 </w:t>
            </w:r>
            <w:r>
              <w:rPr>
                <w:rFonts w:ascii="Arial" w:hAnsi="Arial" w:eastAsia="Arial" w:cs="Arial"/>
                <w:sz w:val="20"/>
                <w:szCs w:val="19"/>
              </w:rPr>
              <w:t xml:space="preserve">walk-in clients requesting for assistance through AICS from 16 March to 10 June 2020 amounting to a total of </w:t>
            </w:r>
            <w:r>
              <w:rPr>
                <w:rFonts w:ascii="Arial" w:hAnsi="Arial" w:eastAsia="Arial" w:cs="Arial"/>
                <w:b/>
                <w:sz w:val="20"/>
                <w:szCs w:val="19"/>
              </w:rPr>
              <w:t>₱21,483,376.40.</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Distributed donated goods from Sen. Manny Pacquiao to the municipalities of Bulacan.</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DSWD-FO III is continuously repacking FFPs.</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Continuous monitoring on the status of families affected by the Community Quarantine due to COVID19 and assistance provided by LGUs and other stakeholders.</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b/>
                <w:sz w:val="20"/>
                <w:szCs w:val="19"/>
              </w:rPr>
            </w:pPr>
            <w:r>
              <w:rPr>
                <w:rFonts w:ascii="Arial" w:hAnsi="Arial" w:eastAsia="Arial" w:cs="Arial"/>
                <w:sz w:val="20"/>
                <w:szCs w:val="19"/>
              </w:rPr>
              <w:t xml:space="preserve">DSWD-FO III has served </w:t>
            </w:r>
            <w:r>
              <w:rPr>
                <w:rFonts w:ascii="Arial" w:hAnsi="Arial" w:eastAsia="Arial" w:cs="Arial"/>
                <w:b/>
                <w:sz w:val="20"/>
                <w:szCs w:val="19"/>
              </w:rPr>
              <w:t>1,504,018 Non-CCT SAP beneficiaries</w:t>
            </w:r>
            <w:r>
              <w:rPr>
                <w:rFonts w:ascii="Arial" w:hAnsi="Arial" w:eastAsia="Arial" w:cs="Arial"/>
                <w:sz w:val="20"/>
                <w:szCs w:val="19"/>
              </w:rPr>
              <w:t xml:space="preserve"> amounting to </w:t>
            </w:r>
            <w:r>
              <w:rPr>
                <w:rFonts w:ascii="Arial" w:hAnsi="Arial" w:eastAsia="Arial" w:cs="Arial"/>
                <w:b/>
                <w:sz w:val="20"/>
                <w:szCs w:val="19"/>
              </w:rPr>
              <w:t xml:space="preserve">₱9,776,117,000.00 </w:t>
            </w:r>
            <w:r>
              <w:rPr>
                <w:rFonts w:ascii="Arial" w:hAnsi="Arial" w:eastAsia="Arial" w:cs="Arial"/>
                <w:sz w:val="20"/>
                <w:szCs w:val="19"/>
              </w:rPr>
              <w:t xml:space="preserve">and </w:t>
            </w:r>
            <w:r>
              <w:rPr>
                <w:rFonts w:ascii="Arial" w:hAnsi="Arial" w:eastAsia="Arial" w:cs="Arial"/>
                <w:b/>
                <w:sz w:val="20"/>
                <w:szCs w:val="19"/>
              </w:rPr>
              <w:t>294,070 CCT (4Ps) SAP beneficiaries</w:t>
            </w:r>
            <w:r>
              <w:rPr>
                <w:rFonts w:ascii="Arial" w:hAnsi="Arial" w:eastAsia="Arial" w:cs="Arial"/>
                <w:sz w:val="20"/>
                <w:szCs w:val="19"/>
              </w:rPr>
              <w:t xml:space="preserve"> amounting to </w:t>
            </w:r>
            <w:r>
              <w:rPr>
                <w:rFonts w:ascii="Arial" w:hAnsi="Arial" w:eastAsia="Arial" w:cs="Arial"/>
                <w:b/>
                <w:sz w:val="20"/>
                <w:szCs w:val="19"/>
              </w:rPr>
              <w:t>₱1,514,460,500.00.</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Released </w:t>
            </w:r>
            <w:r>
              <w:rPr>
                <w:rFonts w:ascii="Arial" w:hAnsi="Arial" w:eastAsia="Arial" w:cs="Arial"/>
                <w:b/>
                <w:sz w:val="20"/>
                <w:szCs w:val="19"/>
              </w:rPr>
              <w:t>₱9,811,184,500.00</w:t>
            </w:r>
            <w:r>
              <w:rPr>
                <w:rFonts w:ascii="Arial" w:hAnsi="Arial" w:eastAsia="Arial" w:cs="Arial"/>
                <w:sz w:val="20"/>
                <w:szCs w:val="19"/>
              </w:rPr>
              <w:t xml:space="preserve"> for SAP intended to </w:t>
            </w:r>
            <w:r>
              <w:rPr>
                <w:rFonts w:ascii="Arial" w:hAnsi="Arial" w:eastAsia="Arial" w:cs="Arial"/>
                <w:b/>
                <w:sz w:val="20"/>
                <w:szCs w:val="19"/>
              </w:rPr>
              <w:t>130 LGUs</w:t>
            </w:r>
            <w:r>
              <w:rPr>
                <w:rFonts w:ascii="Arial" w:hAnsi="Arial" w:eastAsia="Arial" w:cs="Arial"/>
                <w:sz w:val="20"/>
                <w:szCs w:val="19"/>
              </w:rPr>
              <w:t xml:space="preserve"> covering </w:t>
            </w:r>
            <w:r>
              <w:rPr>
                <w:rFonts w:ascii="Arial" w:hAnsi="Arial" w:eastAsia="Arial" w:cs="Arial"/>
                <w:b/>
                <w:sz w:val="20"/>
                <w:szCs w:val="19"/>
              </w:rPr>
              <w:t>1,515,847</w:t>
            </w:r>
            <w:r>
              <w:rPr>
                <w:rFonts w:ascii="Arial" w:hAnsi="Arial" w:eastAsia="Arial" w:cs="Arial"/>
                <w:sz w:val="20"/>
                <w:szCs w:val="19"/>
              </w:rPr>
              <w:t xml:space="preserve"> </w:t>
            </w:r>
            <w:r>
              <w:rPr>
                <w:rFonts w:ascii="Arial" w:hAnsi="Arial" w:eastAsia="Arial" w:cs="Arial"/>
                <w:b/>
                <w:sz w:val="20"/>
                <w:szCs w:val="19"/>
              </w:rPr>
              <w:t>Non-4Ps families</w:t>
            </w:r>
            <w:r>
              <w:rPr>
                <w:rFonts w:ascii="Arial" w:hAnsi="Arial" w:eastAsia="Arial" w:cs="Arial"/>
                <w:sz w:val="20"/>
                <w:szCs w:val="19"/>
              </w:rPr>
              <w:t xml:space="preserve"> and</w:t>
            </w:r>
            <w:r>
              <w:rPr>
                <w:rFonts w:ascii="Arial" w:hAnsi="Arial" w:eastAsia="Arial" w:cs="Arial"/>
                <w:b/>
                <w:bCs/>
                <w:sz w:val="20"/>
                <w:szCs w:val="19"/>
              </w:rPr>
              <w:t xml:space="preserve"> 1,514,460,500.00 </w:t>
            </w:r>
            <w:r>
              <w:rPr>
                <w:rFonts w:ascii="Arial" w:hAnsi="Arial" w:eastAsia="Arial" w:cs="Arial"/>
                <w:sz w:val="20"/>
                <w:szCs w:val="19"/>
              </w:rPr>
              <w:t xml:space="preserve">covering </w:t>
            </w:r>
            <w:r>
              <w:rPr>
                <w:rFonts w:ascii="Arial" w:hAnsi="Arial" w:eastAsia="Arial" w:cs="Arial"/>
                <w:b/>
                <w:sz w:val="20"/>
                <w:szCs w:val="19"/>
              </w:rPr>
              <w:t>294,070 4Ps families</w:t>
            </w:r>
            <w:r>
              <w:rPr>
                <w:rFonts w:ascii="Arial" w:hAnsi="Arial" w:eastAsia="Arial" w:cs="Arial"/>
                <w:sz w:val="20"/>
                <w:szCs w:val="19"/>
              </w:rPr>
              <w:t>.</w:t>
            </w:r>
          </w:p>
        </w:tc>
      </w:tr>
    </w:tbl>
    <w:p>
      <w:pPr>
        <w:pStyle w:val="47"/>
        <w:rPr>
          <w:rFonts w:ascii="Arial" w:hAnsi="Arial" w:cs="Arial"/>
          <w:b/>
          <w:sz w:val="24"/>
        </w:rPr>
      </w:pPr>
    </w:p>
    <w:p>
      <w:pPr>
        <w:pStyle w:val="47"/>
        <w:rPr>
          <w:rFonts w:ascii="Arial" w:hAnsi="Arial" w:cs="Arial"/>
          <w:b/>
          <w:sz w:val="24"/>
        </w:rPr>
      </w:pPr>
      <w:r>
        <w:rPr>
          <w:rFonts w:ascii="Arial" w:hAnsi="Arial" w:cs="Arial"/>
          <w:b/>
          <w:sz w:val="24"/>
        </w:rPr>
        <w:t>DSWD-FO CALABARZON</w:t>
      </w:r>
    </w:p>
    <w:tbl>
      <w:tblPr>
        <w:tblStyle w:val="340"/>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11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Coordinated with the Regional Task Force (RTF) Operations Center for the logistical support for the hauling of NFA Rice in General Trias, Cavite.</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Identified LGUs with potential food security concerns relative to the implementation of ECQ that may result to mass gathering (protest) if their need for food requirement is not properly addressed.</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DSWD-FO CALABARZON DRMD is continuously providing guidance to LGUs to ensure the most vulnerable and people at risk have access to assistance and services. </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CALABARZON DRMD is constantly monitoring secondary impacts (food security, economy and trade) of extended lockdowns on vulnerable households.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CALABARZON is in constant exchange with its partners to ensure the effective and seamless implementation of activities and measures on the ground.</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CALABARZON is in close coordination with the LGUs to validate requests for relief assistance in order to ensure unduplicated services provided to beneficiaries.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Ongoing update on social media relative to the humanitarian response activity of the region.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CALABARZON DRMD continuously monitors and provides technical assistance in the Agency Operations Center (AOC) in the implementation of SAP and measures against COVID-19 in the LGUs.</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 FO-CALABARZON DRMD facilitated the hauling of Family Food Packs (FFPs) of LGU Carmona, Cavite to be distributed to the indigent families residing in the municipality that were not included in the SAP. The FFPs will be distributed on June 10-12, 2020.</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 FO-CALABARZON DRMD coordinated with the Police Regional Office (PRO) IV-A for the status of the implementation of Pulis CALABARZON, Kaagapay Ko Program. To date, the PRO IV-A has distributed 42,318 relief goods amounting to ₱ 16,615,683.50.</w:t>
            </w:r>
          </w:p>
          <w:p>
            <w:pPr>
              <w:spacing w:after="0" w:line="240" w:lineRule="auto"/>
              <w:contextualSpacing/>
              <w:jc w:val="both"/>
              <w:rPr>
                <w:rFonts w:ascii="Arial" w:hAnsi="Arial" w:eastAsia="Arial" w:cs="Arial"/>
                <w:b/>
                <w:sz w:val="20"/>
                <w:szCs w:val="19"/>
              </w:rPr>
            </w:pPr>
          </w:p>
          <w:p>
            <w:pP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DSWD-FO CALABARZON received </w:t>
            </w:r>
            <w:r>
              <w:rPr>
                <w:rFonts w:ascii="Arial" w:hAnsi="Arial" w:eastAsia="Arial" w:cs="Arial"/>
                <w:b/>
                <w:sz w:val="20"/>
                <w:szCs w:val="19"/>
              </w:rPr>
              <w:t>51,029</w:t>
            </w:r>
            <w:r>
              <w:rPr>
                <w:rFonts w:ascii="Arial" w:hAnsi="Arial" w:eastAsia="Arial" w:cs="Arial"/>
                <w:sz w:val="20"/>
                <w:szCs w:val="19"/>
              </w:rPr>
              <w:t xml:space="preserve"> complaints, referrals, and queries from various reporting sources. From this number, </w:t>
            </w:r>
            <w:r>
              <w:rPr>
                <w:rFonts w:ascii="Arial" w:hAnsi="Arial" w:eastAsia="Arial" w:cs="Arial"/>
                <w:b/>
                <w:sz w:val="20"/>
                <w:szCs w:val="19"/>
              </w:rPr>
              <w:t>43,181</w:t>
            </w:r>
            <w:r>
              <w:rPr>
                <w:rFonts w:ascii="Arial" w:hAnsi="Arial" w:eastAsia="Arial" w:cs="Arial"/>
                <w:sz w:val="20"/>
                <w:szCs w:val="19"/>
              </w:rPr>
              <w:t xml:space="preserve"> or </w:t>
            </w:r>
            <w:r>
              <w:rPr>
                <w:rFonts w:ascii="Arial" w:hAnsi="Arial" w:eastAsia="Arial" w:cs="Arial"/>
                <w:b/>
                <w:sz w:val="20"/>
                <w:szCs w:val="19"/>
              </w:rPr>
              <w:t>84.62%</w:t>
            </w:r>
            <w:r>
              <w:rPr>
                <w:rFonts w:ascii="Arial" w:hAnsi="Arial" w:eastAsia="Arial" w:cs="Arial"/>
                <w:sz w:val="20"/>
                <w:szCs w:val="19"/>
              </w:rPr>
              <w:t xml:space="preserve"> were either responded to or referred to LGUs or appropriate agencies like OWWA, DILG, DOLE, etc.</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of assistance of ₱12,537,304,000.00.</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11,947 Families were validated covering 6.61% of the total served beneficiaries for the first tranche. From this number, 10,069 families (84.28%) were eligible and 1,878 (15.72%) were ineligible. </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DSWD-FO CALABARZON provides report in support to the SAP implementation relative to LGUs with high incidence of COVID 19 cases as basis for deployment of Field Office staff on the ground to ensure their safety.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rPr>
                <w:rFonts w:ascii="Arial" w:hAnsi="Arial" w:eastAsia="Arial" w:cs="Arial"/>
                <w:sz w:val="20"/>
                <w:szCs w:val="19"/>
              </w:rPr>
            </w:pPr>
            <w:r>
              <w:rPr>
                <w:rFonts w:ascii="Arial" w:hAnsi="Arial" w:eastAsia="Arial" w:cs="Arial"/>
                <w:sz w:val="20"/>
                <w:szCs w:val="19"/>
              </w:rPr>
              <w:t>30 May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DSWD-FO CALABARZON has served </w:t>
            </w:r>
            <w:r>
              <w:rPr>
                <w:rFonts w:ascii="Arial" w:hAnsi="Arial" w:eastAsia="Arial" w:cs="Arial"/>
                <w:b/>
                <w:sz w:val="20"/>
                <w:szCs w:val="19"/>
              </w:rPr>
              <w:t xml:space="preserve">1,928,125 </w:t>
            </w:r>
            <w:r>
              <w:rPr>
                <w:rFonts w:ascii="Arial" w:hAnsi="Arial" w:eastAsia="Arial" w:cs="Arial"/>
                <w:sz w:val="20"/>
                <w:szCs w:val="19"/>
              </w:rPr>
              <w:t xml:space="preserve">non-Pantawid beneficiaries amounting to </w:t>
            </w:r>
            <w:r>
              <w:rPr>
                <w:rFonts w:ascii="Arial" w:hAnsi="Arial" w:eastAsia="Arial" w:cs="Arial"/>
                <w:b/>
                <w:sz w:val="20"/>
                <w:szCs w:val="19"/>
              </w:rPr>
              <w:t>₱12,641,973,500.00.</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DSWD-FO CALABARZON continues to provide assistance through AICS. As of 26 May 2020, a total of </w:t>
            </w:r>
            <w:r>
              <w:rPr>
                <w:rFonts w:ascii="Arial" w:hAnsi="Arial" w:eastAsia="Arial" w:cs="Arial"/>
                <w:b/>
                <w:sz w:val="20"/>
                <w:szCs w:val="19"/>
              </w:rPr>
              <w:t>5,702</w:t>
            </w:r>
            <w:r>
              <w:rPr>
                <w:rFonts w:ascii="Arial" w:hAnsi="Arial" w:eastAsia="Arial" w:cs="Arial"/>
                <w:sz w:val="20"/>
                <w:szCs w:val="19"/>
              </w:rPr>
              <w:t xml:space="preserve"> clients were served and provided with assistance amounting to </w:t>
            </w:r>
            <w:r>
              <w:rPr>
                <w:rFonts w:ascii="Arial" w:hAnsi="Arial" w:eastAsia="Arial" w:cs="Arial"/>
                <w:b/>
                <w:sz w:val="20"/>
                <w:szCs w:val="19"/>
              </w:rPr>
              <w:t>₱19,328,236.39</w:t>
            </w:r>
            <w:r>
              <w:rPr>
                <w:rFonts w:ascii="Arial" w:hAnsi="Arial" w:eastAsia="Arial" w:cs="Arial"/>
                <w:sz w:val="20"/>
                <w:szCs w:val="19"/>
              </w:rPr>
              <w:t>.</w:t>
            </w:r>
          </w:p>
        </w:tc>
      </w:tr>
    </w:tbl>
    <w:p>
      <w:pPr>
        <w:spacing w:after="0" w:line="240" w:lineRule="auto"/>
        <w:contextualSpacing/>
        <w:rPr>
          <w:rFonts w:ascii="Arial" w:hAnsi="Arial" w:eastAsia="Arial" w:cs="Arial"/>
          <w:b/>
          <w:sz w:val="24"/>
          <w:szCs w:val="24"/>
        </w:rPr>
      </w:pPr>
    </w:p>
    <w:p>
      <w:pPr>
        <w:spacing w:after="0"/>
        <w:rPr>
          <w:rFonts w:ascii="Arial" w:hAnsi="Arial" w:eastAsia="Arial" w:cs="Arial"/>
          <w:b/>
          <w:sz w:val="24"/>
          <w:szCs w:val="24"/>
        </w:rPr>
      </w:pPr>
      <w:r>
        <w:rPr>
          <w:rFonts w:ascii="Arial" w:hAnsi="Arial" w:eastAsia="Arial" w:cs="Arial"/>
          <w:b/>
          <w:sz w:val="24"/>
          <w:szCs w:val="24"/>
        </w:rPr>
        <w:t>DSWD-MIMAROPA</w:t>
      </w:r>
    </w:p>
    <w:tbl>
      <w:tblPr>
        <w:tblStyle w:val="340"/>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color w:val="0070C0"/>
                <w:sz w:val="20"/>
                <w:szCs w:val="19"/>
              </w:rPr>
            </w:pPr>
            <w:r>
              <w:rPr>
                <w:rFonts w:ascii="Arial" w:hAnsi="Arial" w:eastAsia="Arial" w:cs="Arial"/>
                <w:color w:val="0070C0"/>
                <w:sz w:val="20"/>
                <w:szCs w:val="19"/>
              </w:rPr>
              <w:t>15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 xml:space="preserve">DSWD-FO MIMAROPA provided </w:t>
            </w:r>
            <w:r>
              <w:rPr>
                <w:rFonts w:ascii="Arial" w:hAnsi="Arial" w:eastAsia="Arial" w:cs="Arial"/>
                <w:b/>
                <w:color w:val="0070C0"/>
                <w:sz w:val="20"/>
                <w:szCs w:val="19"/>
              </w:rPr>
              <w:t xml:space="preserve">964 FFPs </w:t>
            </w:r>
            <w:r>
              <w:rPr>
                <w:rFonts w:ascii="Arial" w:hAnsi="Arial" w:eastAsia="Arial" w:cs="Arial"/>
                <w:color w:val="0070C0"/>
                <w:sz w:val="20"/>
                <w:szCs w:val="19"/>
              </w:rPr>
              <w:t xml:space="preserve">amounting </w:t>
            </w:r>
            <w:r>
              <w:rPr>
                <w:rFonts w:ascii="Arial" w:hAnsi="Arial" w:eastAsia="Arial" w:cs="Arial"/>
                <w:b/>
                <w:color w:val="0070C0"/>
                <w:sz w:val="20"/>
                <w:szCs w:val="19"/>
              </w:rPr>
              <w:t>₱</w:t>
            </w:r>
            <w:r>
              <w:rPr>
                <w:rFonts w:ascii="Arial" w:hAnsi="Arial" w:eastAsia="Arial" w:cs="Arial"/>
                <w:b/>
                <w:bCs/>
                <w:color w:val="0070C0"/>
                <w:sz w:val="20"/>
                <w:szCs w:val="19"/>
              </w:rPr>
              <w:t xml:space="preserve">433,800.00 </w:t>
            </w:r>
            <w:r>
              <w:rPr>
                <w:rFonts w:ascii="Arial" w:hAnsi="Arial" w:eastAsia="Arial" w:cs="Arial"/>
                <w:color w:val="0070C0"/>
                <w:sz w:val="20"/>
                <w:szCs w:val="19"/>
              </w:rPr>
              <w:t xml:space="preserve">to </w:t>
            </w:r>
            <w:r>
              <w:rPr>
                <w:rFonts w:ascii="Arial" w:hAnsi="Arial" w:eastAsia="Arial" w:cs="Arial"/>
                <w:b/>
                <w:color w:val="0070C0"/>
                <w:sz w:val="20"/>
                <w:szCs w:val="19"/>
              </w:rPr>
              <w:t>943 displaced workers and stranded persons</w:t>
            </w:r>
            <w:r>
              <w:rPr>
                <w:rFonts w:ascii="Arial" w:hAnsi="Arial" w:eastAsia="Arial" w:cs="Arial"/>
                <w:color w:val="0070C0"/>
                <w:sz w:val="20"/>
                <w:szCs w:val="19"/>
              </w:rPr>
              <w:t xml:space="preserve"> through the Region/SWADTs Crisis Intervention Units (CIU) as of 15 June 2020.</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MIMAROPA is coordinating with suppliers to fast track the delivery of additional goods purchased as augmentation support to affected LGUs.</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MIMAROPA DRMD is continuously coordinating with P/C/MLGUs through SWADT on FFP allocation and distribution schedule.</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Regularly joins in the weekly meeting with Regional Inter-Agency Task Force (RIATF) through video conference.</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MIMAROPA is continuously coordinating with OCD MIMAROPA for the availability of fleet vehicles and land assets for the delivery of goods.</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 xml:space="preserve">Maintains close coordination with concerned offices, divisions, sections and units to ensure robust communication on the disseminated and reported information </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Continuous monitoring of the R/P/C/M QRT on the situation in the entire MIMAROPA Region in coordination with the P/C/MSWDOs and concerned agencies.</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r>
        <w:rPr>
          <w:rFonts w:ascii="Arial" w:hAnsi="Arial" w:eastAsia="Arial" w:cs="Arial"/>
          <w:b/>
          <w:sz w:val="24"/>
          <w:szCs w:val="24"/>
        </w:rPr>
        <w:t>DSWD-FO V</w:t>
      </w:r>
    </w:p>
    <w:tbl>
      <w:tblPr>
        <w:tblStyle w:val="341"/>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25"/>
        <w:gridCol w:w="8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blHeader/>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2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color w:val="0070C0"/>
                <w:sz w:val="20"/>
                <w:szCs w:val="19"/>
              </w:rPr>
            </w:pPr>
            <w:r>
              <w:rPr>
                <w:rFonts w:ascii="Arial" w:hAnsi="Arial" w:eastAsia="Arial" w:cs="Arial"/>
                <w:color w:val="0070C0"/>
                <w:sz w:val="20"/>
                <w:szCs w:val="19"/>
              </w:rPr>
              <w:t>15 June 2020</w:t>
            </w:r>
          </w:p>
        </w:tc>
        <w:tc>
          <w:tcPr>
            <w:tcW w:w="82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V is continuously providing FFPs to LGUs with request for augmentation.</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P/C/MAT members of the 6 provinces are helping in the repacking of goods in their respective areas of assignment.</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DSWD-FO V DRMD is continuously monitoring COVID19 updates and information.</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The Regional Resource Operation Section (RROS) of DSWD-FO V ensures the availability of FFPs and NFIs as need arises.</w:t>
            </w:r>
          </w:p>
          <w:p>
            <w:pPr>
              <w:pStyle w:val="29"/>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P/C/MATS are continuously monitoring COVID19 related reports and updates in their respective areas of assignment.</w:t>
            </w:r>
          </w:p>
          <w:p>
            <w:pPr>
              <w:widowControl/>
              <w:spacing w:after="0" w:line="240" w:lineRule="auto"/>
              <w:ind w:right="113"/>
              <w:contextualSpacing/>
              <w:jc w:val="both"/>
              <w:rPr>
                <w:rFonts w:ascii="Arial" w:hAnsi="Arial" w:eastAsia="Arial" w:cs="Arial"/>
                <w:b/>
                <w:color w:val="0070C0"/>
                <w:sz w:val="20"/>
                <w:szCs w:val="19"/>
              </w:rPr>
            </w:pPr>
          </w:p>
          <w:p>
            <w:pPr>
              <w:widowControl/>
              <w:spacing w:after="0" w:line="240" w:lineRule="auto"/>
              <w:ind w:right="113"/>
              <w:contextualSpacing/>
              <w:jc w:val="both"/>
              <w:rPr>
                <w:rFonts w:ascii="Arial" w:hAnsi="Arial" w:eastAsia="Arial" w:cs="Arial"/>
                <w:b/>
                <w:color w:val="0070C0"/>
                <w:sz w:val="20"/>
                <w:szCs w:val="19"/>
              </w:rPr>
            </w:pPr>
            <w:r>
              <w:rPr>
                <w:rFonts w:ascii="Arial" w:hAnsi="Arial" w:eastAsia="Arial" w:cs="Arial"/>
                <w:b/>
                <w:color w:val="0070C0"/>
                <w:sz w:val="20"/>
                <w:szCs w:val="19"/>
              </w:rPr>
              <w:t>Social Amelioration Program (SAP)</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 xml:space="preserve">DSWD-FO V was able to pay </w:t>
            </w:r>
            <w:r>
              <w:rPr>
                <w:rFonts w:ascii="Arial" w:hAnsi="Arial" w:eastAsia="Arial" w:cs="Arial"/>
                <w:b/>
                <w:color w:val="0070C0"/>
                <w:sz w:val="20"/>
                <w:szCs w:val="19"/>
              </w:rPr>
              <w:t>100% or 772,287 non-CCT SAP beneficiaries</w:t>
            </w:r>
            <w:r>
              <w:rPr>
                <w:rFonts w:ascii="Arial" w:hAnsi="Arial" w:eastAsia="Arial" w:cs="Arial"/>
                <w:color w:val="0070C0"/>
                <w:sz w:val="20"/>
                <w:szCs w:val="19"/>
              </w:rPr>
              <w:t xml:space="preserve"> amounting to </w:t>
            </w:r>
            <w:r>
              <w:rPr>
                <w:rFonts w:ascii="Arial" w:hAnsi="Arial" w:eastAsia="Arial" w:cs="Arial"/>
                <w:b/>
                <w:color w:val="0070C0"/>
                <w:sz w:val="20"/>
                <w:szCs w:val="19"/>
              </w:rPr>
              <w:t>₱3,861,435,000.00</w:t>
            </w:r>
            <w:r>
              <w:rPr>
                <w:rFonts w:ascii="Arial" w:hAnsi="Arial" w:eastAsia="Arial" w:cs="Arial"/>
                <w:color w:val="0070C0"/>
                <w:sz w:val="20"/>
                <w:szCs w:val="19"/>
              </w:rPr>
              <w:t xml:space="preserve"> and </w:t>
            </w:r>
            <w:r>
              <w:rPr>
                <w:rFonts w:ascii="Arial" w:hAnsi="Arial" w:eastAsia="Arial" w:cs="Arial"/>
                <w:b/>
                <w:color w:val="0070C0"/>
                <w:sz w:val="20"/>
                <w:szCs w:val="19"/>
              </w:rPr>
              <w:t xml:space="preserve">334,137 </w:t>
            </w:r>
            <w:r>
              <w:rPr>
                <w:rFonts w:ascii="Arial" w:hAnsi="Arial" w:eastAsia="Arial" w:cs="Arial"/>
                <w:color w:val="0070C0"/>
                <w:sz w:val="20"/>
                <w:szCs w:val="19"/>
              </w:rPr>
              <w:t>or</w:t>
            </w:r>
            <w:r>
              <w:rPr>
                <w:rFonts w:ascii="Arial" w:hAnsi="Arial" w:eastAsia="Arial" w:cs="Arial"/>
                <w:b/>
                <w:color w:val="0070C0"/>
                <w:sz w:val="20"/>
                <w:szCs w:val="19"/>
              </w:rPr>
              <w:t xml:space="preserve"> 91.93% CCT (4Ps) SAP beneficiaries</w:t>
            </w:r>
            <w:r>
              <w:rPr>
                <w:rFonts w:ascii="Arial" w:hAnsi="Arial" w:eastAsia="Arial" w:cs="Arial"/>
                <w:color w:val="0070C0"/>
                <w:sz w:val="20"/>
                <w:szCs w:val="19"/>
              </w:rPr>
              <w:t xml:space="preserve"> amounting to </w:t>
            </w:r>
            <w:r>
              <w:rPr>
                <w:rFonts w:ascii="Arial" w:hAnsi="Arial" w:eastAsia="Arial" w:cs="Arial"/>
                <w:b/>
                <w:color w:val="0070C0"/>
                <w:sz w:val="20"/>
                <w:szCs w:val="19"/>
              </w:rPr>
              <w:t>₱1,238,041,050</w:t>
            </w:r>
            <w:r>
              <w:rPr>
                <w:rFonts w:ascii="Arial" w:hAnsi="Arial" w:eastAsia="Arial" w:cs="Arial"/>
                <w:color w:val="0070C0"/>
                <w:sz w:val="20"/>
                <w:szCs w:val="19"/>
              </w:rPr>
              <w:t xml:space="preserve"> as of June 15, 2020, 3PM.</w:t>
            </w:r>
          </w:p>
          <w:p>
            <w:pPr>
              <w:pStyle w:val="29"/>
              <w:numPr>
                <w:ilvl w:val="0"/>
                <w:numId w:val="3"/>
              </w:numPr>
              <w:spacing w:after="0" w:line="240" w:lineRule="auto"/>
              <w:jc w:val="both"/>
              <w:rPr>
                <w:rFonts w:ascii="Arial" w:hAnsi="Arial" w:eastAsia="Arial" w:cs="Arial"/>
                <w:color w:val="0070C0"/>
                <w:sz w:val="20"/>
                <w:szCs w:val="19"/>
              </w:rPr>
            </w:pPr>
            <w:r>
              <w:rPr>
                <w:rFonts w:ascii="Arial" w:hAnsi="Arial" w:eastAsia="Arial" w:cs="Arial"/>
                <w:color w:val="0070C0"/>
                <w:sz w:val="20"/>
                <w:szCs w:val="19"/>
              </w:rPr>
              <w:t>Grievance teams for SAP are working both skeletal and from home to handle grievances through different platforms.</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spacing w:after="0"/>
        <w:rPr>
          <w:rFonts w:ascii="Arial" w:hAnsi="Arial" w:eastAsia="Arial" w:cs="Arial"/>
          <w:b/>
          <w:sz w:val="24"/>
          <w:szCs w:val="24"/>
        </w:rPr>
      </w:pPr>
      <w:r>
        <w:rPr>
          <w:rFonts w:ascii="Arial" w:hAnsi="Arial" w:eastAsia="Arial" w:cs="Arial"/>
          <w:b/>
          <w:sz w:val="24"/>
          <w:szCs w:val="24"/>
        </w:rPr>
        <w:t>DSWD-FO VI</w:t>
      </w:r>
    </w:p>
    <w:tbl>
      <w:tblPr>
        <w:tblStyle w:val="342"/>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25"/>
        <w:gridCol w:w="8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2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2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sz w:val="20"/>
                <w:szCs w:val="19"/>
              </w:rPr>
              <w:t>13 June 2020</w:t>
            </w:r>
          </w:p>
        </w:tc>
        <w:tc>
          <w:tcPr>
            <w:tcW w:w="8218"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pPr>
              <w:pStyle w:val="29"/>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24/7 Operation Center Hotline catered a total of </w:t>
            </w:r>
            <w:r>
              <w:rPr>
                <w:rFonts w:ascii="Arial" w:hAnsi="Arial" w:eastAsia="Arial" w:cs="Arial"/>
                <w:b/>
                <w:sz w:val="20"/>
                <w:szCs w:val="19"/>
              </w:rPr>
              <w:t xml:space="preserve">40 calls </w:t>
            </w:r>
            <w:r>
              <w:rPr>
                <w:rFonts w:ascii="Arial" w:hAnsi="Arial" w:eastAsia="Arial" w:cs="Arial"/>
                <w:sz w:val="20"/>
                <w:szCs w:val="19"/>
              </w:rPr>
              <w:t>on 09 June 2020</w:t>
            </w:r>
            <w:r>
              <w:rPr>
                <w:rFonts w:ascii="Arial" w:hAnsi="Arial" w:eastAsia="Arial" w:cs="Arial"/>
                <w:b/>
                <w:sz w:val="20"/>
                <w:szCs w:val="19"/>
              </w:rPr>
              <w:t xml:space="preserve">; </w:t>
            </w:r>
            <w:r>
              <w:rPr>
                <w:rFonts w:ascii="Arial" w:hAnsi="Arial" w:eastAsia="Arial" w:cs="Arial"/>
                <w:sz w:val="20"/>
                <w:szCs w:val="19"/>
              </w:rPr>
              <w:t>of which, 38 calls were resolved and 2 were for referral and further validation to the LGU.</w:t>
            </w:r>
          </w:p>
          <w:p>
            <w:pPr>
              <w:pStyle w:val="29"/>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20"/>
                <w:szCs w:val="19"/>
              </w:rPr>
            </w:pPr>
            <w:r>
              <w:rPr>
                <w:rFonts w:ascii="Arial" w:hAnsi="Arial" w:eastAsia="Arial" w:cs="Arial"/>
                <w:b/>
                <w:sz w:val="20"/>
                <w:szCs w:val="19"/>
              </w:rPr>
              <w:t xml:space="preserve">₱49,411,214.92 </w:t>
            </w:r>
            <w:r>
              <w:rPr>
                <w:rFonts w:ascii="Arial" w:hAnsi="Arial" w:eastAsia="Arial" w:cs="Arial"/>
                <w:sz w:val="20"/>
                <w:szCs w:val="19"/>
              </w:rPr>
              <w:t xml:space="preserve">worth of assistance was provided to </w:t>
            </w:r>
            <w:r>
              <w:rPr>
                <w:rFonts w:ascii="Arial" w:hAnsi="Arial" w:eastAsia="Arial" w:cs="Arial"/>
                <w:b/>
                <w:sz w:val="20"/>
                <w:szCs w:val="19"/>
              </w:rPr>
              <w:t>18,512 clients</w:t>
            </w:r>
            <w:r>
              <w:rPr>
                <w:rFonts w:ascii="Arial" w:hAnsi="Arial" w:eastAsia="Arial" w:cs="Arial"/>
                <w:sz w:val="20"/>
                <w:szCs w:val="19"/>
              </w:rPr>
              <w:t xml:space="preserve"> under the AICS from 09 March to 10 June 2020.</w:t>
            </w:r>
          </w:p>
          <w:p>
            <w:pPr>
              <w:pStyle w:val="29"/>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left="360"/>
              <w:jc w:val="both"/>
              <w:rPr>
                <w:rFonts w:ascii="Arial" w:hAnsi="Arial" w:eastAsia="Arial" w:cs="Arial"/>
                <w:sz w:val="20"/>
                <w:szCs w:val="19"/>
              </w:rPr>
            </w:pPr>
          </w:p>
          <w:p>
            <w:pPr>
              <w:widowControl/>
              <w:spacing w:after="0" w:line="240" w:lineRule="auto"/>
              <w:ind w:right="113"/>
              <w:contextualSpacing/>
              <w:jc w:val="both"/>
              <w:rPr>
                <w:sz w:val="20"/>
                <w:szCs w:val="19"/>
              </w:rPr>
            </w:pPr>
            <w:r>
              <w:rPr>
                <w:rFonts w:ascii="Arial" w:hAnsi="Arial" w:eastAsia="Arial" w:cs="Arial"/>
                <w:b/>
                <w:sz w:val="20"/>
                <w:szCs w:val="19"/>
              </w:rPr>
              <w:t>Social Amelioration Program (SAP)</w:t>
            </w:r>
          </w:p>
          <w:p>
            <w:pPr>
              <w:pStyle w:val="29"/>
              <w:widowControl/>
              <w:numPr>
                <w:ilvl w:val="0"/>
                <w:numId w:val="3"/>
              </w:numPr>
              <w:spacing w:after="0" w:line="240" w:lineRule="auto"/>
              <w:jc w:val="both"/>
              <w:rPr>
                <w:rFonts w:ascii="Arial" w:hAnsi="Arial" w:eastAsia="Arial" w:cs="Arial"/>
                <w:b/>
                <w:bCs/>
                <w:sz w:val="20"/>
                <w:szCs w:val="19"/>
              </w:rPr>
            </w:pPr>
            <w:r>
              <w:rPr>
                <w:rFonts w:ascii="Arial" w:hAnsi="Arial" w:eastAsia="Arial" w:cs="Arial"/>
                <w:sz w:val="20"/>
                <w:szCs w:val="19"/>
              </w:rPr>
              <w:t>To date, a total of</w:t>
            </w:r>
            <w:r>
              <w:rPr>
                <w:rFonts w:ascii="Arial" w:hAnsi="Arial" w:eastAsia="Arial" w:cs="Arial"/>
                <w:b/>
                <w:sz w:val="20"/>
                <w:szCs w:val="19"/>
              </w:rPr>
              <w:t xml:space="preserve"> 321,747 Pantawid Pamilya </w:t>
            </w:r>
            <w:r>
              <w:rPr>
                <w:rFonts w:ascii="Arial" w:hAnsi="Arial" w:eastAsia="Arial" w:cs="Arial"/>
                <w:sz w:val="20"/>
                <w:szCs w:val="19"/>
              </w:rPr>
              <w:t>beneficiaries</w:t>
            </w:r>
            <w:r>
              <w:rPr>
                <w:rFonts w:ascii="Arial" w:hAnsi="Arial" w:eastAsia="Arial" w:cs="Arial"/>
                <w:b/>
                <w:sz w:val="20"/>
                <w:szCs w:val="19"/>
              </w:rPr>
              <w:t xml:space="preserve"> </w:t>
            </w:r>
            <w:r>
              <w:rPr>
                <w:rFonts w:ascii="Arial" w:hAnsi="Arial" w:eastAsia="Arial" w:cs="Arial"/>
                <w:sz w:val="20"/>
                <w:szCs w:val="19"/>
              </w:rPr>
              <w:t>amounting to</w:t>
            </w:r>
            <w:r>
              <w:t xml:space="preserve"> </w:t>
            </w:r>
            <w:r>
              <w:rPr>
                <w:rFonts w:ascii="Arial" w:hAnsi="Arial" w:eastAsia="Arial" w:cs="Arial"/>
                <w:b/>
                <w:sz w:val="20"/>
                <w:szCs w:val="19"/>
              </w:rPr>
              <w:t xml:space="preserve">₱1,496,123,550.00 </w:t>
            </w:r>
            <w:r>
              <w:rPr>
                <w:rFonts w:ascii="Arial" w:hAnsi="Arial" w:eastAsia="Arial" w:cs="Arial"/>
                <w:sz w:val="20"/>
                <w:szCs w:val="19"/>
              </w:rPr>
              <w:t xml:space="preserve">and </w:t>
            </w:r>
            <w:r>
              <w:rPr>
                <w:rFonts w:ascii="Arial" w:hAnsi="Arial" w:eastAsia="Arial" w:cs="Arial"/>
                <w:b/>
                <w:bCs/>
                <w:sz w:val="20"/>
                <w:szCs w:val="19"/>
              </w:rPr>
              <w:t xml:space="preserve">1,130,683 </w:t>
            </w:r>
            <w:r>
              <w:rPr>
                <w:rFonts w:ascii="Arial" w:hAnsi="Arial" w:eastAsia="Arial" w:cs="Arial"/>
                <w:b/>
                <w:sz w:val="20"/>
                <w:szCs w:val="19"/>
              </w:rPr>
              <w:t xml:space="preserve">Non-Pantawid Pamilya </w:t>
            </w:r>
            <w:r>
              <w:rPr>
                <w:rFonts w:ascii="Arial" w:hAnsi="Arial" w:eastAsia="Arial" w:cs="Arial"/>
                <w:sz w:val="20"/>
                <w:szCs w:val="19"/>
              </w:rPr>
              <w:t>beneficiaries amounting to</w:t>
            </w:r>
            <w:r>
              <w:t xml:space="preserve"> </w:t>
            </w:r>
            <w:r>
              <w:rPr>
                <w:rFonts w:ascii="Arial" w:hAnsi="Arial" w:eastAsia="Arial" w:cs="Arial"/>
                <w:b/>
                <w:sz w:val="20"/>
                <w:szCs w:val="19"/>
              </w:rPr>
              <w:t xml:space="preserve">₱6,784,098,000.00 </w:t>
            </w:r>
            <w:r>
              <w:rPr>
                <w:rFonts w:ascii="Arial" w:hAnsi="Arial" w:eastAsia="Arial" w:cs="Arial"/>
                <w:sz w:val="20"/>
                <w:szCs w:val="19"/>
              </w:rPr>
              <w:t xml:space="preserve">were served. </w:t>
            </w:r>
          </w:p>
          <w:p>
            <w:pPr>
              <w:pStyle w:val="29"/>
              <w:widowControl/>
              <w:numPr>
                <w:ilvl w:val="0"/>
                <w:numId w:val="3"/>
              </w:numPr>
              <w:spacing w:after="0" w:line="240" w:lineRule="auto"/>
              <w:jc w:val="both"/>
              <w:rPr>
                <w:rFonts w:ascii="Arial" w:hAnsi="Arial" w:eastAsia="Arial" w:cs="Arial"/>
                <w:b/>
                <w:bCs/>
                <w:sz w:val="20"/>
                <w:szCs w:val="19"/>
              </w:rPr>
            </w:pPr>
            <w:r>
              <w:rPr>
                <w:rFonts w:ascii="Arial" w:hAnsi="Arial" w:eastAsia="Arial" w:cs="Arial"/>
                <w:sz w:val="20"/>
                <w:szCs w:val="19"/>
              </w:rPr>
              <w:t xml:space="preserve">133 (100%) Municipalities in Region VI conducted payout on SAP with </w:t>
            </w:r>
            <w:r>
              <w:rPr>
                <w:rFonts w:ascii="Arial" w:hAnsi="Arial" w:eastAsia="Arial" w:cs="Arial"/>
                <w:b/>
                <w:sz w:val="20"/>
                <w:szCs w:val="19"/>
              </w:rPr>
              <w:t>99</w:t>
            </w:r>
            <w:r>
              <w:rPr>
                <w:rFonts w:ascii="Arial" w:hAnsi="Arial" w:eastAsia="Arial" w:cs="Arial"/>
                <w:sz w:val="20"/>
                <w:szCs w:val="19"/>
              </w:rPr>
              <w:t xml:space="preserve"> (75%) municipalities having completed its payout to non 4Ps beneficiaries while </w:t>
            </w:r>
            <w:r>
              <w:rPr>
                <w:rFonts w:ascii="Arial" w:hAnsi="Arial" w:eastAsia="Arial" w:cs="Arial"/>
                <w:b/>
                <w:sz w:val="20"/>
                <w:szCs w:val="19"/>
              </w:rPr>
              <w:t>34</w:t>
            </w:r>
            <w:r>
              <w:rPr>
                <w:rFonts w:ascii="Arial" w:hAnsi="Arial" w:eastAsia="Arial" w:cs="Arial"/>
                <w:sz w:val="20"/>
                <w:szCs w:val="19"/>
              </w:rPr>
              <w:t xml:space="preserve"> (25%) municipalities remain uncompleted.</w:t>
            </w:r>
          </w:p>
          <w:p>
            <w:pPr>
              <w:pStyle w:val="29"/>
              <w:widowControl/>
              <w:numPr>
                <w:ilvl w:val="0"/>
                <w:numId w:val="3"/>
              </w:numPr>
              <w:spacing w:after="0" w:line="240" w:lineRule="auto"/>
              <w:jc w:val="both"/>
              <w:rPr>
                <w:rFonts w:ascii="Arial" w:hAnsi="Arial" w:eastAsia="Arial" w:cs="Arial"/>
                <w:b/>
                <w:bCs/>
                <w:sz w:val="20"/>
                <w:szCs w:val="19"/>
              </w:rPr>
            </w:pPr>
            <w:r>
              <w:rPr>
                <w:rFonts w:ascii="Arial" w:hAnsi="Arial" w:eastAsia="Arial" w:cs="Arial"/>
                <w:b/>
                <w:sz w:val="20"/>
                <w:szCs w:val="19"/>
              </w:rPr>
              <w:t>1,874 families</w:t>
            </w:r>
            <w:r>
              <w:rPr>
                <w:rFonts w:ascii="Arial" w:hAnsi="Arial" w:eastAsia="Arial" w:cs="Arial"/>
                <w:sz w:val="20"/>
                <w:szCs w:val="19"/>
              </w:rPr>
              <w:t xml:space="preserve"> amounting to </w:t>
            </w:r>
            <w:r>
              <w:rPr>
                <w:rFonts w:ascii="Arial" w:hAnsi="Arial" w:eastAsia="Arial" w:cs="Arial"/>
                <w:b/>
                <w:sz w:val="20"/>
                <w:szCs w:val="19"/>
              </w:rPr>
              <w:t>993,220.00</w:t>
            </w:r>
            <w:r>
              <w:rPr>
                <w:rFonts w:ascii="Arial" w:hAnsi="Arial" w:eastAsia="Arial" w:cs="Arial"/>
                <w:sz w:val="20"/>
                <w:szCs w:val="19"/>
              </w:rPr>
              <w:t xml:space="preserve"> were released to the IP barangays in Alimodian, Iloilo.</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r>
        <w:rPr>
          <w:rFonts w:ascii="Arial" w:hAnsi="Arial" w:eastAsia="Arial" w:cs="Arial"/>
          <w:b/>
          <w:sz w:val="24"/>
          <w:szCs w:val="24"/>
        </w:rPr>
        <w:t>DSWD-FO VII</w:t>
      </w:r>
    </w:p>
    <w:tbl>
      <w:tblPr>
        <w:tblStyle w:val="343"/>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sz w:val="20"/>
                <w:szCs w:val="19"/>
              </w:rPr>
            </w:pPr>
            <w:r>
              <w:rPr>
                <w:rFonts w:ascii="Arial" w:hAnsi="Arial" w:eastAsia="Arial" w:cs="Arial"/>
                <w:sz w:val="20"/>
                <w:szCs w:val="19"/>
              </w:rPr>
              <w:t>11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DSWD-FO VII provided cash assistance to </w:t>
            </w:r>
            <w:r>
              <w:rPr>
                <w:rFonts w:ascii="Arial" w:hAnsi="Arial" w:eastAsia="Arial" w:cs="Arial"/>
                <w:b/>
                <w:sz w:val="20"/>
                <w:szCs w:val="19"/>
              </w:rPr>
              <w:t>8,930 individuals</w:t>
            </w:r>
            <w:r>
              <w:rPr>
                <w:rFonts w:ascii="Arial" w:hAnsi="Arial" w:eastAsia="Arial" w:cs="Arial"/>
                <w:sz w:val="20"/>
                <w:szCs w:val="19"/>
              </w:rPr>
              <w:t xml:space="preserve"> amounting to a total of </w:t>
            </w:r>
            <w:r>
              <w:rPr>
                <w:rFonts w:ascii="Arial" w:hAnsi="Arial" w:eastAsia="Arial" w:cs="Arial"/>
                <w:b/>
                <w:sz w:val="20"/>
                <w:szCs w:val="19"/>
              </w:rPr>
              <w:t>₱14,056,500.00.</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sz w:val="20"/>
                <w:szCs w:val="19"/>
              </w:rPr>
              <w:t xml:space="preserve">Continuous repacking in the 3 warehouses and in the other two additional repacking sites/areas: Negros Oriental Convention Center and Dauis Gymnasium in Bohol. </w:t>
            </w:r>
          </w:p>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 xml:space="preserve">As of 09 June 2020, a total of </w:t>
            </w:r>
            <w:r>
              <w:rPr>
                <w:rFonts w:ascii="Arial" w:hAnsi="Arial" w:eastAsia="Arial" w:cs="Arial"/>
                <w:b/>
                <w:sz w:val="20"/>
                <w:szCs w:val="19"/>
              </w:rPr>
              <w:t>3,345 volunteers</w:t>
            </w:r>
            <w:r>
              <w:rPr>
                <w:rFonts w:ascii="Arial" w:hAnsi="Arial" w:eastAsia="Arial" w:cs="Arial"/>
                <w:sz w:val="20"/>
                <w:szCs w:val="19"/>
              </w:rPr>
              <w:t xml:space="preserve"> were recorded in the different warehouses. Of the total number, 1,820 individuals are from the (873) PNP, (263) PCG, (115) AFP, (31) DPWH and (538) ROTC students from BISU and Philippine Maritime Institute, SK Members from Dauis, all from Bohol. Remaining number are workforce of the DSWD Provincial and Regional Offices. Today, 30 volunteers were recorded.</w:t>
            </w:r>
          </w:p>
          <w:p>
            <w:pPr>
              <w:pStyle w:val="29"/>
              <w:pBdr>
                <w:top w:val="none" w:color="000000" w:sz="0" w:space="0"/>
                <w:bottom w:val="none" w:color="000000" w:sz="0" w:space="0"/>
              </w:pBdr>
              <w:spacing w:after="0" w:line="240" w:lineRule="auto"/>
              <w:ind w:left="360"/>
              <w:jc w:val="both"/>
              <w:rPr>
                <w:rFonts w:ascii="Arial" w:hAnsi="Arial" w:eastAsia="Arial" w:cs="Arial"/>
                <w:sz w:val="20"/>
                <w:szCs w:val="19"/>
              </w:rPr>
            </w:pPr>
          </w:p>
          <w:p>
            <w:pPr>
              <w:pBdr>
                <w:top w:val="none" w:color="000000" w:sz="0" w:space="0"/>
                <w:bottom w:val="none" w:color="000000" w:sz="0" w:space="0"/>
              </w:pBd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Region VII’s final payout rate for the 1</w:t>
            </w:r>
            <w:r>
              <w:rPr>
                <w:rFonts w:ascii="Arial" w:hAnsi="Arial" w:eastAsia="Arial" w:cs="Arial"/>
                <w:sz w:val="20"/>
                <w:szCs w:val="19"/>
                <w:vertAlign w:val="superscript"/>
              </w:rPr>
              <w:t>st</w:t>
            </w:r>
            <w:r>
              <w:rPr>
                <w:rFonts w:ascii="Arial" w:hAnsi="Arial" w:eastAsia="Arial" w:cs="Arial"/>
                <w:sz w:val="20"/>
                <w:szCs w:val="19"/>
              </w:rPr>
              <w:t xml:space="preserve"> tranche is 97% with 1,026,858 families paid amounting to ₱6,156,840,000.00 distributed in all 132 implementing LGUs in the Region.</w:t>
            </w:r>
          </w:p>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Liquidation rate is now at 96% or 127 LGUs who have submitted their liquidation report.</w:t>
            </w:r>
          </w:p>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Only 37% or 49 LGUs list of paid beneficiaries has so far been posted in the DSWD website while accomplishment rate for SACUP encoding or uploading of encoded SAC forms into the system is only at 15%.</w:t>
            </w:r>
          </w:p>
          <w:p>
            <w:pPr>
              <w:pStyle w:val="29"/>
              <w:numPr>
                <w:ilvl w:val="0"/>
                <w:numId w:val="3"/>
              </w:numPr>
              <w:pBdr>
                <w:top w:val="none" w:color="000000" w:sz="0" w:space="0"/>
                <w:bottom w:val="none" w:color="000000" w:sz="0" w:space="0"/>
              </w:pBdr>
              <w:spacing w:after="0" w:line="240" w:lineRule="auto"/>
              <w:jc w:val="both"/>
              <w:rPr>
                <w:rFonts w:ascii="Arial" w:hAnsi="Arial" w:eastAsia="Arial" w:cs="Arial"/>
                <w:sz w:val="20"/>
                <w:szCs w:val="19"/>
              </w:rPr>
            </w:pPr>
            <w:r>
              <w:rPr>
                <w:rFonts w:ascii="Arial" w:hAnsi="Arial" w:eastAsia="Arial" w:cs="Arial"/>
                <w:sz w:val="20"/>
                <w:szCs w:val="19"/>
              </w:rPr>
              <w:t>Submission of left-out/wait-listed families is set on 10 June 2020 by the DSWD Secretary. Certification of Eligibility shall be required from the LGUs.</w:t>
            </w:r>
          </w:p>
        </w:tc>
      </w:tr>
    </w:tbl>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r>
        <w:rPr>
          <w:rFonts w:ascii="Arial" w:hAnsi="Arial" w:eastAsia="Arial" w:cs="Arial"/>
          <w:b/>
          <w:sz w:val="24"/>
          <w:szCs w:val="24"/>
        </w:rPr>
        <w:t>DSWD-FO VIII</w:t>
      </w:r>
    </w:p>
    <w:tbl>
      <w:tblPr>
        <w:tblStyle w:val="345"/>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Bdr>
                <w:top w:val="none" w:color="000000" w:sz="0" w:space="0"/>
                <w:left w:val="none" w:color="000000" w:sz="0" w:space="0"/>
                <w:bottom w:val="none" w:color="000000" w:sz="0" w:space="0"/>
                <w:right w:val="none" w:color="000000" w:sz="0" w:space="0"/>
                <w:between w:val="none" w:color="000000" w:sz="0" w:space="0"/>
              </w:pBdr>
              <w:spacing w:after="0" w:line="240" w:lineRule="auto"/>
              <w:rPr>
                <w:rFonts w:ascii="Arial" w:hAnsi="Arial" w:eastAsia="Arial" w:cs="Arial"/>
                <w:sz w:val="20"/>
                <w:szCs w:val="19"/>
              </w:rPr>
            </w:pPr>
            <w:r>
              <w:rPr>
                <w:rFonts w:ascii="Arial" w:hAnsi="Arial" w:eastAsia="Arial" w:cs="Arial"/>
                <w:sz w:val="20"/>
                <w:szCs w:val="19"/>
              </w:rPr>
              <w:t>14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The Crisis Intervention Unit (CIU) was able to extend assistance to </w:t>
            </w:r>
            <w:r>
              <w:rPr>
                <w:rFonts w:ascii="Arial" w:hAnsi="Arial" w:eastAsia="Arial" w:cs="Arial"/>
                <w:b/>
                <w:sz w:val="20"/>
                <w:szCs w:val="19"/>
              </w:rPr>
              <w:t>6,931 walk-in clients</w:t>
            </w:r>
            <w:r>
              <w:rPr>
                <w:rFonts w:ascii="Arial" w:hAnsi="Arial" w:eastAsia="Arial" w:cs="Arial"/>
                <w:sz w:val="20"/>
                <w:szCs w:val="19"/>
              </w:rPr>
              <w:t xml:space="preserve"> amounting to a total of </w:t>
            </w:r>
            <w:r>
              <w:rPr>
                <w:rFonts w:ascii="Arial" w:hAnsi="Arial" w:eastAsia="Arial" w:cs="Arial"/>
                <w:b/>
                <w:sz w:val="20"/>
                <w:szCs w:val="19"/>
              </w:rPr>
              <w:t>₱34,648,823.04.</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The Social Pension Unit was able to extend assistance to </w:t>
            </w:r>
            <w:r>
              <w:rPr>
                <w:rFonts w:ascii="Arial" w:hAnsi="Arial" w:eastAsia="Arial" w:cs="Arial"/>
                <w:b/>
                <w:sz w:val="20"/>
                <w:szCs w:val="19"/>
              </w:rPr>
              <w:t>141,940 Senior Citizens</w:t>
            </w:r>
            <w:r>
              <w:rPr>
                <w:rFonts w:ascii="Arial" w:hAnsi="Arial" w:eastAsia="Arial" w:cs="Arial"/>
                <w:sz w:val="20"/>
                <w:szCs w:val="19"/>
              </w:rPr>
              <w:t xml:space="preserve"> amounting to </w:t>
            </w:r>
            <w:r>
              <w:rPr>
                <w:rFonts w:ascii="Arial" w:hAnsi="Arial" w:eastAsia="Arial" w:cs="Arial"/>
                <w:b/>
                <w:sz w:val="20"/>
                <w:szCs w:val="19"/>
              </w:rPr>
              <w:t>₱846,552,000.00.</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DSWD-FO VIII DRMD was able to extend assistance to </w:t>
            </w:r>
            <w:r>
              <w:rPr>
                <w:rFonts w:ascii="Arial" w:hAnsi="Arial" w:eastAsia="Arial" w:cs="Arial"/>
                <w:b/>
                <w:sz w:val="20"/>
                <w:szCs w:val="19"/>
              </w:rPr>
              <w:t>7,596 families</w:t>
            </w:r>
            <w:r>
              <w:rPr>
                <w:rFonts w:ascii="Arial" w:hAnsi="Arial" w:eastAsia="Arial" w:cs="Arial"/>
                <w:sz w:val="20"/>
                <w:szCs w:val="19"/>
              </w:rPr>
              <w:t xml:space="preserve"> and to </w:t>
            </w:r>
            <w:r>
              <w:rPr>
                <w:rFonts w:ascii="Arial" w:hAnsi="Arial" w:eastAsia="Arial" w:cs="Arial"/>
                <w:b/>
                <w:sz w:val="20"/>
                <w:szCs w:val="19"/>
              </w:rPr>
              <w:t>17 stranded sale representatives</w:t>
            </w:r>
            <w:r>
              <w:rPr>
                <w:rFonts w:ascii="Arial" w:hAnsi="Arial" w:eastAsia="Arial" w:cs="Arial"/>
                <w:sz w:val="20"/>
                <w:szCs w:val="19"/>
              </w:rPr>
              <w:t xml:space="preserve"> with a sum of </w:t>
            </w:r>
            <w:r>
              <w:rPr>
                <w:rFonts w:ascii="Arial" w:hAnsi="Arial" w:eastAsia="Arial" w:cs="Arial"/>
                <w:b/>
                <w:sz w:val="20"/>
                <w:szCs w:val="19"/>
              </w:rPr>
              <w:t>₱3,653,343.51.</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The Sustainable Livelihood Program was able to extended assistance to their </w:t>
            </w:r>
            <w:r>
              <w:rPr>
                <w:rFonts w:ascii="Arial" w:hAnsi="Arial" w:eastAsia="Arial" w:cs="Arial"/>
                <w:b/>
                <w:sz w:val="20"/>
                <w:szCs w:val="19"/>
              </w:rPr>
              <w:t xml:space="preserve">170 </w:t>
            </w:r>
            <w:r>
              <w:rPr>
                <w:rFonts w:ascii="Arial" w:hAnsi="Arial" w:eastAsia="Arial" w:cs="Arial"/>
                <w:sz w:val="20"/>
                <w:szCs w:val="19"/>
              </w:rPr>
              <w:t xml:space="preserve">beneficiaries amounting to a total of </w:t>
            </w:r>
            <w:r>
              <w:rPr>
                <w:rFonts w:ascii="Arial" w:hAnsi="Arial" w:eastAsia="Arial" w:cs="Arial"/>
                <w:b/>
                <w:sz w:val="20"/>
                <w:szCs w:val="19"/>
              </w:rPr>
              <w:t>₱2,261,210.07</w:t>
            </w:r>
            <w:r>
              <w:rPr>
                <w:rFonts w:ascii="Arial" w:hAnsi="Arial" w:eastAsia="Arial" w:cs="Arial"/>
                <w:sz w:val="20"/>
                <w:szCs w:val="19"/>
              </w:rPr>
              <w:t>.</w:t>
            </w:r>
          </w:p>
          <w:p>
            <w:pPr>
              <w:pStyle w:val="29"/>
              <w:pBdr>
                <w:top w:val="none" w:color="000000" w:sz="0" w:space="0"/>
                <w:left w:val="none" w:color="000000" w:sz="0" w:space="0"/>
                <w:bottom w:val="none" w:color="000000" w:sz="0" w:space="0"/>
                <w:right w:val="none" w:color="000000" w:sz="0" w:space="0"/>
                <w:between w:val="none" w:color="000000" w:sz="0" w:space="0"/>
              </w:pBdr>
              <w:spacing w:after="0" w:line="240" w:lineRule="auto"/>
              <w:ind w:left="312"/>
              <w:jc w:val="both"/>
              <w:rPr>
                <w:rFonts w:ascii="Arial" w:hAnsi="Arial" w:eastAsia="Arial" w:cs="Arial"/>
                <w:sz w:val="20"/>
                <w:szCs w:val="19"/>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DSWD-FO VIII DRMD was able to record the distribution of SAP assistance extended to the </w:t>
            </w:r>
            <w:r>
              <w:rPr>
                <w:rFonts w:ascii="Arial" w:hAnsi="Arial" w:eastAsia="Arial" w:cs="Arial"/>
                <w:b/>
                <w:sz w:val="20"/>
                <w:szCs w:val="19"/>
              </w:rPr>
              <w:t>550,630 non-4Ps beneficiaries</w:t>
            </w:r>
            <w:r>
              <w:rPr>
                <w:rFonts w:ascii="Arial" w:hAnsi="Arial" w:eastAsia="Arial" w:cs="Arial"/>
                <w:sz w:val="20"/>
                <w:szCs w:val="19"/>
              </w:rPr>
              <w:t xml:space="preserve"> amounting to </w:t>
            </w:r>
            <w:r>
              <w:rPr>
                <w:rFonts w:ascii="Arial" w:hAnsi="Arial" w:eastAsia="Arial" w:cs="Arial"/>
                <w:b/>
                <w:sz w:val="20"/>
                <w:szCs w:val="19"/>
              </w:rPr>
              <w:t>₱</w:t>
            </w:r>
            <w:r>
              <w:rPr>
                <w:rFonts w:ascii="Arial" w:hAnsi="Arial" w:eastAsia="Arial" w:cs="Arial"/>
                <w:b/>
                <w:sz w:val="20"/>
                <w:szCs w:val="24"/>
              </w:rPr>
              <w:t>2,753,033,000.00</w:t>
            </w:r>
            <w:r>
              <w:rPr>
                <w:rFonts w:ascii="Arial" w:hAnsi="Arial" w:eastAsia="Arial" w:cs="Arial"/>
                <w:b/>
                <w:sz w:val="20"/>
                <w:szCs w:val="19"/>
              </w:rPr>
              <w:t>.</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 xml:space="preserve">The Pantawid Pamilyang Pilipino Program (4Ps) was able to extend assistance to their </w:t>
            </w:r>
            <w:r>
              <w:rPr>
                <w:rFonts w:ascii="Arial" w:hAnsi="Arial" w:eastAsia="Arial" w:cs="Arial"/>
                <w:b/>
                <w:sz w:val="20"/>
                <w:szCs w:val="19"/>
              </w:rPr>
              <w:t>258,936 cash card</w:t>
            </w:r>
            <w:r>
              <w:rPr>
                <w:rFonts w:ascii="Arial" w:hAnsi="Arial" w:eastAsia="Arial" w:cs="Arial"/>
                <w:sz w:val="20"/>
                <w:szCs w:val="19"/>
              </w:rPr>
              <w:t xml:space="preserve"> </w:t>
            </w:r>
            <w:r>
              <w:rPr>
                <w:rFonts w:ascii="Arial" w:hAnsi="Arial" w:eastAsia="Arial" w:cs="Arial"/>
                <w:b/>
                <w:sz w:val="20"/>
                <w:szCs w:val="19"/>
              </w:rPr>
              <w:t>holder beneficiaries</w:t>
            </w:r>
            <w:r>
              <w:rPr>
                <w:rFonts w:ascii="Arial" w:hAnsi="Arial" w:eastAsia="Arial" w:cs="Arial"/>
                <w:sz w:val="20"/>
                <w:szCs w:val="19"/>
              </w:rPr>
              <w:t xml:space="preserve"> with a sum of </w:t>
            </w:r>
            <w:r>
              <w:rPr>
                <w:rFonts w:ascii="Arial" w:hAnsi="Arial" w:eastAsia="Arial" w:cs="Arial"/>
                <w:b/>
                <w:sz w:val="20"/>
                <w:szCs w:val="19"/>
              </w:rPr>
              <w:t>₱945,116,400.00</w:t>
            </w:r>
            <w:r>
              <w:rPr>
                <w:rFonts w:ascii="Arial" w:hAnsi="Arial" w:eastAsia="Arial" w:cs="Arial"/>
                <w:sz w:val="20"/>
                <w:szCs w:val="19"/>
              </w:rPr>
              <w:t xml:space="preserve"> and </w:t>
            </w:r>
            <w:r>
              <w:rPr>
                <w:rFonts w:ascii="Arial" w:hAnsi="Arial" w:eastAsia="Arial" w:cs="Arial"/>
                <w:b/>
                <w:sz w:val="20"/>
                <w:szCs w:val="19"/>
              </w:rPr>
              <w:t>21,142 non-cash card holder beneficiaries</w:t>
            </w:r>
            <w:r>
              <w:rPr>
                <w:rFonts w:ascii="Arial" w:hAnsi="Arial" w:eastAsia="Arial" w:cs="Arial"/>
                <w:sz w:val="20"/>
                <w:szCs w:val="19"/>
              </w:rPr>
              <w:t xml:space="preserve"> with a sum of </w:t>
            </w:r>
            <w:r>
              <w:rPr>
                <w:rFonts w:ascii="Arial" w:hAnsi="Arial" w:eastAsia="Arial" w:cs="Arial"/>
                <w:b/>
                <w:sz w:val="20"/>
                <w:szCs w:val="19"/>
              </w:rPr>
              <w:t>₱77,171,950.00.</w:t>
            </w:r>
          </w:p>
          <w:p>
            <w:pPr>
              <w:pStyle w:val="29"/>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12" w:hanging="283"/>
              <w:jc w:val="both"/>
              <w:rPr>
                <w:rFonts w:ascii="Arial" w:hAnsi="Arial" w:eastAsia="Arial" w:cs="Arial"/>
                <w:sz w:val="20"/>
                <w:szCs w:val="19"/>
              </w:rPr>
            </w:pPr>
            <w:r>
              <w:rPr>
                <w:rFonts w:ascii="Arial" w:hAnsi="Arial" w:eastAsia="Arial" w:cs="Arial"/>
                <w:sz w:val="20"/>
                <w:szCs w:val="19"/>
              </w:rPr>
              <w:t>A total of</w:t>
            </w:r>
            <w:r>
              <w:rPr>
                <w:rFonts w:ascii="Arial" w:hAnsi="Arial" w:eastAsia="Arial" w:cs="Arial"/>
                <w:b/>
                <w:sz w:val="20"/>
                <w:szCs w:val="19"/>
              </w:rPr>
              <w:t xml:space="preserve"> ₱2,980,470,000.00</w:t>
            </w:r>
            <w:r>
              <w:rPr>
                <w:rFonts w:ascii="Arial" w:hAnsi="Arial" w:eastAsia="Arial" w:cs="Arial"/>
                <w:sz w:val="20"/>
                <w:szCs w:val="19"/>
              </w:rPr>
              <w:t xml:space="preserve"> has been transferred to 143 LGUs intended for the distribution of SAP assistance to </w:t>
            </w:r>
            <w:r>
              <w:rPr>
                <w:rFonts w:ascii="Arial" w:hAnsi="Arial" w:eastAsia="Arial" w:cs="Arial"/>
                <w:b/>
                <w:sz w:val="20"/>
                <w:szCs w:val="19"/>
              </w:rPr>
              <w:t>596,094 non-4Ps beneficiaries</w:t>
            </w:r>
            <w:r>
              <w:rPr>
                <w:rFonts w:ascii="Arial" w:hAnsi="Arial" w:eastAsia="Arial" w:cs="Arial"/>
                <w:sz w:val="20"/>
                <w:szCs w:val="19"/>
              </w:rPr>
              <w:t xml:space="preserve">. All LGUs have completed their payout; of which, </w:t>
            </w:r>
            <w:r>
              <w:rPr>
                <w:rFonts w:ascii="Arial" w:hAnsi="Arial" w:eastAsia="Arial" w:cs="Arial"/>
                <w:b/>
                <w:sz w:val="20"/>
                <w:szCs w:val="19"/>
              </w:rPr>
              <w:t xml:space="preserve">118 </w:t>
            </w:r>
            <w:r>
              <w:rPr>
                <w:rFonts w:ascii="Arial" w:hAnsi="Arial" w:eastAsia="Arial" w:cs="Arial"/>
                <w:sz w:val="20"/>
                <w:szCs w:val="19"/>
              </w:rPr>
              <w:t>LGUs have completed liquidation.</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r>
        <w:rPr>
          <w:rFonts w:ascii="Arial" w:hAnsi="Arial" w:eastAsia="Arial" w:cs="Arial"/>
          <w:b/>
          <w:sz w:val="24"/>
          <w:szCs w:val="24"/>
        </w:rPr>
        <w:t>DSWD-FO IX</w:t>
      </w:r>
    </w:p>
    <w:tbl>
      <w:tblPr>
        <w:tblStyle w:val="346"/>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5"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55"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sz w:val="20"/>
                <w:szCs w:val="19"/>
              </w:rPr>
              <w:t>05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numPr>
                <w:ilvl w:val="0"/>
                <w:numId w:val="5"/>
              </w:numP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 xml:space="preserve">DSWD-FO IX DRMD continues to facilitate the repacking of FFPs in order to maintain the required number of FFPs at any given time considering the influx of requests from concerned LGUs for augmentation. </w:t>
            </w:r>
          </w:p>
          <w:p>
            <w:pPr>
              <w:widowControl/>
              <w:numPr>
                <w:ilvl w:val="0"/>
                <w:numId w:val="5"/>
              </w:numPr>
              <w:spacing w:after="0" w:line="240" w:lineRule="auto"/>
              <w:ind w:left="307" w:hanging="284"/>
              <w:contextualSpacing/>
              <w:jc w:val="both"/>
              <w:rPr>
                <w:rFonts w:ascii="Arial" w:hAnsi="Arial" w:eastAsia="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pPr>
              <w:widowControl/>
              <w:numPr>
                <w:ilvl w:val="0"/>
                <w:numId w:val="5"/>
              </w:numPr>
              <w:spacing w:after="0" w:line="240" w:lineRule="auto"/>
              <w:ind w:left="307" w:hanging="284"/>
              <w:contextualSpacing/>
              <w:jc w:val="both"/>
              <w:rPr>
                <w:rFonts w:ascii="Arial" w:hAnsi="Arial" w:eastAsia="Arial" w:cs="Arial"/>
                <w:sz w:val="20"/>
                <w:szCs w:val="19"/>
              </w:rPr>
            </w:pPr>
            <w:r>
              <w:rPr>
                <w:rFonts w:ascii="Arial" w:hAnsi="Arial" w:cs="Arial"/>
                <w:sz w:val="20"/>
                <w:szCs w:val="19"/>
              </w:rPr>
              <w:t>DSWD-FO IX DRMD-DRIMS is continuously monitoring the number of FFPs released to the LGUs in Zamboanga Peninsula.</w:t>
            </w:r>
          </w:p>
          <w:p>
            <w:pPr>
              <w:widowControl/>
              <w:numPr>
                <w:ilvl w:val="0"/>
                <w:numId w:val="5"/>
              </w:numPr>
              <w:spacing w:after="0" w:line="240" w:lineRule="auto"/>
              <w:contextualSpacing/>
              <w:jc w:val="both"/>
              <w:rPr>
                <w:rFonts w:ascii="Arial" w:hAnsi="Arial" w:eastAsia="Arial" w:cs="Arial"/>
                <w:sz w:val="20"/>
                <w:szCs w:val="19"/>
              </w:rPr>
            </w:pPr>
            <w:r>
              <w:rPr>
                <w:rFonts w:ascii="Arial" w:hAnsi="Arial" w:eastAsia="Arial" w:cs="Arial"/>
                <w:sz w:val="20"/>
                <w:szCs w:val="19"/>
              </w:rPr>
              <w:t>DSWD-FO IX provided 18 Hygiene Kits, 18 Sleeping Kits and 40 Family Food Packs to the stranded Badjao Families at Brgy. Licomo, Zambaonga City last May 30, 2020.</w:t>
            </w:r>
          </w:p>
          <w:p>
            <w:pPr>
              <w:widowControl/>
              <w:spacing w:after="0" w:line="240" w:lineRule="auto"/>
              <w:contextualSpacing/>
              <w:jc w:val="both"/>
              <w:rPr>
                <w:rFonts w:ascii="Arial" w:hAnsi="Arial" w:eastAsia="Arial" w:cs="Arial"/>
                <w:b/>
                <w:sz w:val="20"/>
                <w:szCs w:val="19"/>
              </w:rPr>
            </w:pPr>
          </w:p>
          <w:p>
            <w:pPr>
              <w:widowControl/>
              <w:spacing w:after="0" w:line="240" w:lineRule="auto"/>
              <w:contextualSpacing/>
              <w:jc w:val="both"/>
              <w:rPr>
                <w:rFonts w:ascii="Arial" w:hAnsi="Arial" w:eastAsia="Arial" w:cs="Arial"/>
                <w:sz w:val="20"/>
                <w:szCs w:val="19"/>
              </w:rPr>
            </w:pPr>
            <w:r>
              <w:rPr>
                <w:rFonts w:ascii="Arial" w:hAnsi="Arial" w:eastAsia="Arial" w:cs="Arial"/>
                <w:b/>
                <w:sz w:val="20"/>
                <w:szCs w:val="19"/>
              </w:rPr>
              <w:t>Social Amelioration Program (SAP)</w:t>
            </w:r>
          </w:p>
          <w:p>
            <w:pPr>
              <w:widowControl/>
              <w:numPr>
                <w:ilvl w:val="0"/>
                <w:numId w:val="5"/>
              </w:numPr>
              <w:spacing w:after="0" w:line="240" w:lineRule="auto"/>
              <w:ind w:left="307" w:hanging="284"/>
              <w:contextualSpacing/>
              <w:jc w:val="both"/>
              <w:rPr>
                <w:rFonts w:ascii="Arial" w:hAnsi="Arial" w:eastAsia="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pPr>
              <w:widowControl/>
              <w:numPr>
                <w:ilvl w:val="0"/>
                <w:numId w:val="5"/>
              </w:numPr>
              <w:spacing w:after="0" w:line="240" w:lineRule="auto"/>
              <w:ind w:left="307" w:hanging="284"/>
              <w:contextualSpacing/>
              <w:jc w:val="both"/>
              <w:rPr>
                <w:rFonts w:ascii="Arial" w:hAnsi="Arial" w:eastAsia="Arial" w:cs="Arial"/>
                <w:sz w:val="20"/>
                <w:szCs w:val="19"/>
              </w:rPr>
            </w:pPr>
            <w:r>
              <w:rPr>
                <w:rFonts w:ascii="Arial" w:hAnsi="Arial" w:cs="Arial"/>
                <w:sz w:val="20"/>
                <w:szCs w:val="19"/>
              </w:rPr>
              <w:t>DSWD-FO IX DRMD-DRIMS assists in the gathering of data on served beneficiaries of SAP/ESP.</w:t>
            </w:r>
          </w:p>
        </w:tc>
      </w:tr>
    </w:tbl>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r>
        <w:rPr>
          <w:rFonts w:ascii="Arial" w:hAnsi="Arial" w:eastAsia="Arial" w:cs="Arial"/>
          <w:b/>
          <w:sz w:val="24"/>
          <w:szCs w:val="24"/>
        </w:rPr>
        <w:t>DSWD-FO X</w:t>
      </w:r>
    </w:p>
    <w:tbl>
      <w:tblPr>
        <w:tblStyle w:val="347"/>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14 June 2020</w:t>
            </w:r>
          </w:p>
        </w:tc>
        <w:tc>
          <w:tcPr>
            <w:tcW w:w="8188"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Augmentation of staff members along with Cash for Work beneficiaries for the repacking of FFPs in preparation for possible relief distribution.</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Regular coordination and attendance to the NorMin COVID-19 Response Inter-Agency Task Force Press Conference every Monday, Wednesday and Friday of the week.</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Ongoing procurement of additional supplies for production of FFPs.</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Regional QRT works full force in the monitoring and reporting of the regional operational activities in line with the COVID-19 response operation.</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Continuous monitoring, response and reporting at the Agency Operations Center.</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bCs/>
                <w:sz w:val="20"/>
                <w:szCs w:val="19"/>
              </w:rPr>
              <w:t>Repacking and preparation of FFPs are simultaneously done and still in progress for both the Cagayan de Oro Regional Warehouse and Dalipuga, Iligan City Warehouse.</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The additional Transitory Family Support Package (TFSP) for the IDPs in Marawi City with 17,905 target beneficiaries from Most Affected Areas (MAA) Homeowners is on its 2</w:t>
            </w:r>
            <w:r>
              <w:rPr>
                <w:rFonts w:ascii="Arial" w:hAnsi="Arial" w:eastAsia="Arial" w:cs="Arial"/>
                <w:sz w:val="20"/>
                <w:szCs w:val="19"/>
                <w:vertAlign w:val="superscript"/>
              </w:rPr>
              <w:t>nd</w:t>
            </w:r>
            <w:r>
              <w:rPr>
                <w:rFonts w:ascii="Arial" w:hAnsi="Arial" w:eastAsia="Arial" w:cs="Arial"/>
                <w:sz w:val="20"/>
                <w:szCs w:val="19"/>
              </w:rPr>
              <w:t xml:space="preserve"> day of pay-out. To date, there are 621 beneficiaries served involving a total amount of </w:t>
            </w:r>
            <w:r>
              <w:rPr>
                <w:rFonts w:ascii="Arial" w:hAnsi="Arial" w:cs="Arial"/>
                <w:b/>
                <w:bCs/>
                <w:sz w:val="20"/>
                <w:szCs w:val="19"/>
                <w:lang w:val="en-US"/>
              </w:rPr>
              <w:t>₱</w:t>
            </w:r>
            <w:r>
              <w:rPr>
                <w:rFonts w:ascii="Arial" w:hAnsi="Arial" w:eastAsia="Arial" w:cs="Arial"/>
                <w:b/>
                <w:sz w:val="20"/>
                <w:szCs w:val="19"/>
              </w:rPr>
              <w:t>8,942,400.00</w:t>
            </w:r>
            <w:r>
              <w:rPr>
                <w:rFonts w:ascii="Arial" w:hAnsi="Arial" w:eastAsia="Arial" w:cs="Arial"/>
                <w:sz w:val="20"/>
                <w:szCs w:val="19"/>
              </w:rPr>
              <w:t xml:space="preserve"> disbursed.</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b/>
                <w:sz w:val="20"/>
                <w:szCs w:val="19"/>
              </w:rPr>
              <w:t>Social Amelioration Program (SAP)</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DSWD-FO X has served </w:t>
            </w:r>
            <w:r>
              <w:rPr>
                <w:rFonts w:ascii="Arial" w:hAnsi="Arial" w:eastAsia="Arial" w:cs="Arial"/>
                <w:b/>
                <w:sz w:val="20"/>
                <w:szCs w:val="19"/>
              </w:rPr>
              <w:t>626,251</w:t>
            </w:r>
            <w:r>
              <w:rPr>
                <w:rFonts w:ascii="Arial" w:hAnsi="Arial" w:eastAsia="Arial" w:cs="Arial"/>
                <w:sz w:val="20"/>
                <w:szCs w:val="19"/>
              </w:rPr>
              <w:t xml:space="preserve"> beneficiaries amounting to </w:t>
            </w:r>
            <w:r>
              <w:rPr>
                <w:rFonts w:ascii="Arial" w:hAnsi="Arial" w:cs="Arial"/>
                <w:b/>
                <w:bCs/>
                <w:sz w:val="20"/>
                <w:szCs w:val="19"/>
                <w:lang w:val="en-US"/>
              </w:rPr>
              <w:t xml:space="preserve">₱3,756,633,950.00 </w:t>
            </w:r>
            <w:r>
              <w:rPr>
                <w:rFonts w:ascii="Arial" w:hAnsi="Arial" w:cs="Arial"/>
                <w:sz w:val="20"/>
                <w:szCs w:val="19"/>
              </w:rPr>
              <w:t>as of 14 June 2020, 3PM.</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Continuously coordinating with LGUs regarding implementation of SAP.</w:t>
            </w:r>
          </w:p>
          <w:p>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07" w:hanging="284"/>
              <w:contextualSpacing/>
              <w:jc w:val="both"/>
              <w:rPr>
                <w:rFonts w:ascii="Arial" w:hAnsi="Arial" w:eastAsia="Arial" w:cs="Arial"/>
                <w:sz w:val="20"/>
                <w:szCs w:val="19"/>
              </w:rPr>
            </w:pPr>
            <w:r>
              <w:rPr>
                <w:rFonts w:ascii="Arial" w:hAnsi="Arial" w:eastAsia="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pPr>
        <w:spacing w:after="0" w:line="240" w:lineRule="auto"/>
        <w:contextualSpacing/>
        <w:rPr>
          <w:rFonts w:ascii="Arial" w:hAnsi="Arial" w:eastAsia="Arial" w:cs="Arial"/>
          <w:b/>
          <w:sz w:val="24"/>
          <w:szCs w:val="24"/>
        </w:rPr>
      </w:pPr>
    </w:p>
    <w:p>
      <w:pPr>
        <w:spacing w:after="0" w:line="240" w:lineRule="auto"/>
        <w:contextualSpacing/>
        <w:rPr>
          <w:rFonts w:ascii="Arial" w:hAnsi="Arial" w:eastAsia="Arial" w:cs="Arial"/>
          <w:b/>
          <w:sz w:val="24"/>
          <w:szCs w:val="24"/>
        </w:rPr>
      </w:pPr>
      <w:r>
        <w:rPr>
          <w:rFonts w:ascii="Arial" w:hAnsi="Arial" w:eastAsia="Arial" w:cs="Arial"/>
          <w:b/>
          <w:sz w:val="24"/>
          <w:szCs w:val="24"/>
        </w:rPr>
        <w:t>DSWD-FO XI</w:t>
      </w:r>
    </w:p>
    <w:tbl>
      <w:tblPr>
        <w:tblStyle w:val="348"/>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sz w:val="20"/>
                <w:szCs w:val="19"/>
              </w:rPr>
              <w:t>12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29"/>
              <w:widowControl/>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63"/>
              <w:jc w:val="both"/>
              <w:rPr>
                <w:rFonts w:ascii="Arial" w:hAnsi="Arial" w:eastAsia="Arial" w:cs="Arial"/>
                <w:b/>
                <w:sz w:val="20"/>
                <w:szCs w:val="19"/>
              </w:rPr>
            </w:pPr>
            <w:r>
              <w:rPr>
                <w:rFonts w:ascii="Arial" w:hAnsi="Arial" w:eastAsia="Arial" w:cs="Arial"/>
                <w:b/>
                <w:sz w:val="20"/>
                <w:szCs w:val="19"/>
              </w:rPr>
              <w:t xml:space="preserve">222,828 </w:t>
            </w:r>
            <w:r>
              <w:rPr>
                <w:rFonts w:ascii="Arial" w:hAnsi="Arial" w:eastAsia="Arial" w:cs="Arial"/>
                <w:sz w:val="20"/>
                <w:szCs w:val="19"/>
              </w:rPr>
              <w:t xml:space="preserve">beneficiaries received Social Pension amounting to </w:t>
            </w:r>
            <w:r>
              <w:rPr>
                <w:rFonts w:ascii="Arial" w:hAnsi="Arial" w:cs="Arial"/>
                <w:b/>
                <w:sz w:val="20"/>
                <w:szCs w:val="19"/>
              </w:rPr>
              <w:t>₱668,484,000.00.</w:t>
            </w:r>
          </w:p>
          <w:p>
            <w:pPr>
              <w:pStyle w:val="29"/>
              <w:widowControl/>
              <w:numPr>
                <w:ilvl w:val="0"/>
                <w:numId w:val="4"/>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363"/>
              <w:jc w:val="both"/>
              <w:rPr>
                <w:rFonts w:ascii="Arial" w:hAnsi="Arial" w:eastAsia="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A total of </w:t>
            </w:r>
            <w:r>
              <w:rPr>
                <w:rFonts w:ascii="Arial" w:hAnsi="Arial" w:eastAsia="Arial" w:cs="Arial"/>
                <w:b/>
                <w:sz w:val="20"/>
                <w:szCs w:val="19"/>
              </w:rPr>
              <w:t>685,547 non-CCT beneficiaries</w:t>
            </w:r>
            <w:r>
              <w:rPr>
                <w:rFonts w:ascii="Arial" w:hAnsi="Arial" w:eastAsia="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hAnsi="Arial" w:eastAsia="Arial" w:cs="Arial"/>
                <w:sz w:val="20"/>
                <w:szCs w:val="19"/>
              </w:rPr>
              <w:t>in the region.</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Ongoing Retrieval of liquidation reports from LGUs that have completed payout; of which </w:t>
            </w:r>
            <w:r>
              <w:rPr>
                <w:rFonts w:ascii="Arial" w:hAnsi="Arial" w:eastAsia="Arial" w:cs="Arial"/>
                <w:b/>
                <w:sz w:val="20"/>
                <w:szCs w:val="19"/>
              </w:rPr>
              <w:t>39 LGUs</w:t>
            </w:r>
            <w:r>
              <w:rPr>
                <w:rFonts w:ascii="Arial" w:hAnsi="Arial" w:eastAsia="Arial" w:cs="Arial"/>
                <w:sz w:val="20"/>
                <w:szCs w:val="19"/>
              </w:rPr>
              <w:t xml:space="preserve"> have submitted.</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Ongoing encoding of SAC of verified/validated beneficiaries outside allocation/left out; of which </w:t>
            </w:r>
            <w:r>
              <w:rPr>
                <w:rFonts w:ascii="Arial" w:hAnsi="Arial" w:eastAsia="Arial" w:cs="Arial"/>
                <w:b/>
                <w:sz w:val="20"/>
                <w:szCs w:val="19"/>
              </w:rPr>
              <w:t>103,432</w:t>
            </w:r>
            <w:r>
              <w:rPr>
                <w:rFonts w:ascii="Arial" w:hAnsi="Arial" w:eastAsia="Arial" w:cs="Arial"/>
                <w:sz w:val="20"/>
                <w:szCs w:val="19"/>
              </w:rPr>
              <w:t xml:space="preserve"> were encoded.</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Ongoing encoding of SAC of paid beneficiaries; of which </w:t>
            </w:r>
            <w:r>
              <w:rPr>
                <w:rFonts w:ascii="Arial" w:hAnsi="Arial" w:eastAsia="Arial" w:cs="Arial"/>
                <w:b/>
                <w:sz w:val="20"/>
                <w:szCs w:val="19"/>
              </w:rPr>
              <w:t>254,759</w:t>
            </w:r>
            <w:r>
              <w:rPr>
                <w:rFonts w:ascii="Arial" w:hAnsi="Arial" w:eastAsia="Arial" w:cs="Arial"/>
                <w:sz w:val="20"/>
                <w:szCs w:val="19"/>
              </w:rPr>
              <w:t xml:space="preserve"> or </w:t>
            </w:r>
            <w:r>
              <w:rPr>
                <w:rFonts w:ascii="Arial" w:hAnsi="Arial" w:eastAsia="Arial" w:cs="Arial"/>
                <w:b/>
                <w:sz w:val="20"/>
                <w:szCs w:val="19"/>
              </w:rPr>
              <w:t>16%</w:t>
            </w:r>
            <w:r>
              <w:rPr>
                <w:rFonts w:ascii="Arial" w:hAnsi="Arial" w:eastAsia="Arial" w:cs="Arial"/>
                <w:sz w:val="20"/>
                <w:szCs w:val="19"/>
              </w:rPr>
              <w:t xml:space="preserve"> were encoded.</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 xml:space="preserve">Uploading of List of SAP Beneficiaries in the regional website; of which </w:t>
            </w:r>
            <w:r>
              <w:rPr>
                <w:rFonts w:ascii="Arial" w:hAnsi="Arial" w:eastAsia="Arial" w:cs="Arial"/>
                <w:b/>
                <w:sz w:val="20"/>
                <w:szCs w:val="19"/>
              </w:rPr>
              <w:t>469,673</w:t>
            </w:r>
            <w:r>
              <w:rPr>
                <w:rFonts w:ascii="Arial" w:hAnsi="Arial" w:eastAsia="Arial" w:cs="Arial"/>
                <w:sz w:val="20"/>
                <w:szCs w:val="19"/>
              </w:rPr>
              <w:t xml:space="preserve"> or </w:t>
            </w:r>
            <w:r>
              <w:rPr>
                <w:rFonts w:ascii="Arial" w:hAnsi="Arial" w:eastAsia="Arial" w:cs="Arial"/>
                <w:b/>
                <w:sz w:val="20"/>
                <w:szCs w:val="19"/>
              </w:rPr>
              <w:t>68.51%</w:t>
            </w:r>
            <w:r>
              <w:rPr>
                <w:rFonts w:ascii="Arial" w:hAnsi="Arial" w:eastAsia="Arial" w:cs="Arial"/>
                <w:sz w:val="20"/>
                <w:szCs w:val="19"/>
              </w:rPr>
              <w:t xml:space="preserve"> has been uploaded.</w:t>
            </w:r>
          </w:p>
          <w:p>
            <w:pPr>
              <w:pStyle w:val="29"/>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b/>
                <w:sz w:val="20"/>
                <w:szCs w:val="19"/>
              </w:rPr>
            </w:pPr>
            <w:r>
              <w:rPr>
                <w:rFonts w:ascii="Arial" w:hAnsi="Arial" w:eastAsia="Arial" w:cs="Arial"/>
                <w:sz w:val="20"/>
                <w:szCs w:val="19"/>
              </w:rPr>
              <w:t xml:space="preserve">A total of </w:t>
            </w:r>
            <w:r>
              <w:rPr>
                <w:rFonts w:ascii="Arial" w:hAnsi="Arial" w:eastAsia="Arial" w:cs="Arial"/>
                <w:b/>
                <w:sz w:val="20"/>
                <w:szCs w:val="19"/>
              </w:rPr>
              <w:t xml:space="preserve">2,079 </w:t>
            </w:r>
            <w:r>
              <w:rPr>
                <w:rFonts w:ascii="Arial" w:hAnsi="Arial" w:eastAsia="Arial" w:cs="Arial"/>
                <w:sz w:val="20"/>
                <w:szCs w:val="19"/>
              </w:rPr>
              <w:t xml:space="preserve">beneficiaries amounting to </w:t>
            </w:r>
            <w:r>
              <w:rPr>
                <w:rFonts w:ascii="Arial" w:hAnsi="Arial" w:cs="Arial"/>
                <w:b/>
                <w:sz w:val="20"/>
                <w:szCs w:val="19"/>
              </w:rPr>
              <w:t xml:space="preserve">₱12,474,000.00 </w:t>
            </w:r>
            <w:r>
              <w:rPr>
                <w:rFonts w:ascii="Arial" w:hAnsi="Arial" w:eastAsia="Arial" w:cs="Arial"/>
                <w:sz w:val="20"/>
                <w:szCs w:val="19"/>
              </w:rPr>
              <w:t xml:space="preserve">returned SAP subsidy. </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0"/>
                <w:szCs w:val="19"/>
              </w:rPr>
            </w:pPr>
            <w:r>
              <w:rPr>
                <w:rFonts w:ascii="Arial" w:hAnsi="Arial" w:eastAsia="Arial" w:cs="Arial"/>
                <w:sz w:val="20"/>
                <w:szCs w:val="19"/>
              </w:rPr>
              <w:t>The Regional Agency Operation Center (AOC) is manned by 15 personnel who are tasked to monitor real-time data online, respond to the hotline calls, text, and social media posts; and address concerns/grievances.</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4"/>
          <w:szCs w:val="24"/>
        </w:rPr>
      </w:pPr>
      <w:r>
        <w:rPr>
          <w:rFonts w:ascii="Arial" w:hAnsi="Arial" w:eastAsia="Arial" w:cs="Arial"/>
          <w:b/>
          <w:sz w:val="24"/>
          <w:szCs w:val="24"/>
        </w:rPr>
        <w:t>DSWD-FO XII</w:t>
      </w:r>
    </w:p>
    <w:tbl>
      <w:tblPr>
        <w:tblStyle w:val="349"/>
        <w:tblW w:w="97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DATE</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center"/>
              <w:rPr>
                <w:rFonts w:ascii="Arial" w:hAnsi="Arial" w:eastAsia="Arial" w:cs="Arial"/>
                <w:b/>
                <w:sz w:val="20"/>
                <w:szCs w:val="19"/>
              </w:rPr>
            </w:pPr>
            <w:r>
              <w:rPr>
                <w:rFonts w:ascii="Arial" w:hAnsi="Arial" w:eastAsia="Arial" w:cs="Arial"/>
                <w:sz w:val="20"/>
                <w:szCs w:val="19"/>
              </w:rPr>
              <w:t>08 June 2020</w:t>
            </w:r>
          </w:p>
        </w:tc>
        <w:tc>
          <w:tcPr>
            <w:tcW w:w="81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r>
              <w:rPr>
                <w:rFonts w:ascii="Arial" w:hAnsi="Arial" w:eastAsia="Arial" w:cs="Arial"/>
                <w:sz w:val="20"/>
                <w:szCs w:val="19"/>
              </w:rPr>
              <w:t>DSWD-FO XII released 500 family food packs to each LGUs of Kidapawan City, Magpet, and Makilala.</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b/>
                <w:sz w:val="20"/>
                <w:szCs w:val="19"/>
              </w:rPr>
            </w:pPr>
            <w:r>
              <w:rPr>
                <w:rFonts w:ascii="Arial" w:hAnsi="Arial" w:eastAsia="Arial" w:cs="Arial"/>
                <w:sz w:val="20"/>
                <w:szCs w:val="19"/>
              </w:rPr>
              <w:t>DSWD-FO XII released</w:t>
            </w:r>
            <w:r>
              <w:t xml:space="preserve"> </w:t>
            </w:r>
            <w:r>
              <w:rPr>
                <w:rFonts w:ascii="Arial" w:hAnsi="Arial" w:eastAsia="Arial" w:cs="Arial"/>
                <w:sz w:val="20"/>
                <w:szCs w:val="19"/>
              </w:rPr>
              <w:t>1,000 family food packs to each LGUs of Aleosan, Libungan, Midsayap.</w:t>
            </w:r>
            <w:r>
              <w:rPr>
                <w:rFonts w:ascii="Arial" w:hAnsi="Arial" w:eastAsia="Arial" w:cs="Arial"/>
                <w:b/>
                <w:sz w:val="20"/>
                <w:szCs w:val="19"/>
              </w:rPr>
              <w:t xml:space="preserve"> </w:t>
            </w:r>
            <w:r>
              <w:rPr>
                <w:rFonts w:ascii="Arial" w:hAnsi="Arial" w:eastAsia="Arial" w:cs="Arial"/>
                <w:sz w:val="20"/>
                <w:szCs w:val="19"/>
              </w:rPr>
              <w:t>Pikit, and Pigcawayan.</w:t>
            </w:r>
          </w:p>
        </w:tc>
      </w:tr>
    </w:tbl>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contextualSpacing/>
        <w:jc w:val="both"/>
        <w:rPr>
          <w:rFonts w:ascii="Arial" w:hAnsi="Arial" w:eastAsia="Arial" w:cs="Arial"/>
          <w:sz w:val="24"/>
          <w:szCs w:val="24"/>
        </w:rPr>
      </w:pPr>
    </w:p>
    <w:p>
      <w:pPr>
        <w:spacing w:after="0" w:line="240" w:lineRule="auto"/>
        <w:contextualSpacing/>
        <w:rPr>
          <w:rFonts w:ascii="Arial" w:hAnsi="Arial" w:eastAsia="Arial" w:cs="Arial"/>
          <w:b/>
          <w:sz w:val="24"/>
          <w:szCs w:val="24"/>
        </w:rPr>
      </w:pPr>
      <w:bookmarkStart w:id="1" w:name="_heading=h.30j0zll" w:colFirst="0" w:colLast="0"/>
      <w:bookmarkEnd w:id="1"/>
      <w:r>
        <w:rPr>
          <w:rFonts w:ascii="Arial" w:hAnsi="Arial" w:eastAsia="Arial" w:cs="Arial"/>
          <w:b/>
          <w:sz w:val="24"/>
          <w:szCs w:val="24"/>
        </w:rPr>
        <w:t>DSWD-FO CARAGA</w:t>
      </w:r>
    </w:p>
    <w:tbl>
      <w:tblPr>
        <w:tblStyle w:val="350"/>
        <w:tblW w:w="9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1555"/>
        <w:gridCol w:w="8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blHeader/>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right="57"/>
              <w:contextualSpacing/>
              <w:jc w:val="center"/>
              <w:rPr>
                <w:rFonts w:ascii="Arial" w:hAnsi="Arial" w:eastAsia="Arial" w:cs="Arial"/>
                <w:sz w:val="20"/>
                <w:szCs w:val="19"/>
              </w:rPr>
            </w:pPr>
            <w:r>
              <w:rPr>
                <w:rFonts w:ascii="Arial" w:hAnsi="Arial" w:eastAsia="Arial" w:cs="Arial"/>
                <w:b/>
                <w:sz w:val="20"/>
                <w:szCs w:val="19"/>
              </w:rPr>
              <w:t>DATE</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right="57"/>
              <w:contextualSpacing/>
              <w:jc w:val="center"/>
              <w:rPr>
                <w:rFonts w:ascii="Arial" w:hAnsi="Arial" w:eastAsia="Arial" w:cs="Arial"/>
                <w:sz w:val="20"/>
                <w:szCs w:val="19"/>
              </w:rPr>
            </w:pPr>
            <w:r>
              <w:rPr>
                <w:rFonts w:ascii="Arial" w:hAnsi="Arial" w:eastAsia="Arial" w:cs="Arial"/>
                <w:b/>
                <w:sz w:val="20"/>
                <w:szCs w:val="19"/>
              </w:rPr>
              <w:t>SITUATIONS / ACTIONS UNDERTAKEN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0" w:hRule="atLeast"/>
        </w:trPr>
        <w:tc>
          <w:tcPr>
            <w:tcW w:w="15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jc w:val="center"/>
              <w:rPr>
                <w:rFonts w:ascii="Arial" w:hAnsi="Arial" w:eastAsia="Arial" w:cs="Arial"/>
                <w:sz w:val="20"/>
                <w:szCs w:val="19"/>
              </w:rPr>
            </w:pPr>
            <w:r>
              <w:rPr>
                <w:rFonts w:ascii="Arial" w:hAnsi="Arial" w:eastAsia="Arial" w:cs="Arial"/>
                <w:sz w:val="20"/>
                <w:szCs w:val="19"/>
              </w:rPr>
              <w:t>10 June 2020</w:t>
            </w:r>
          </w:p>
        </w:tc>
        <w:tc>
          <w:tcPr>
            <w:tcW w:w="81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DSWD-FO Caraga is in constant coordination and monitoring with LGUs on their response and relief operations.</w:t>
            </w:r>
          </w:p>
          <w:p>
            <w:pPr>
              <w:pStyle w:val="29"/>
              <w:numPr>
                <w:ilvl w:val="0"/>
                <w:numId w:val="3"/>
              </w:numPr>
              <w:spacing w:after="0" w:line="240" w:lineRule="auto"/>
              <w:rPr>
                <w:rFonts w:ascii="Arial" w:hAnsi="Arial" w:eastAsia="Arial" w:cs="Arial"/>
                <w:sz w:val="20"/>
                <w:szCs w:val="19"/>
              </w:rPr>
            </w:pPr>
            <w:r>
              <w:rPr>
                <w:rFonts w:ascii="Arial" w:hAnsi="Arial" w:eastAsia="Arial" w:cs="Arial"/>
                <w:sz w:val="20"/>
                <w:szCs w:val="19"/>
              </w:rPr>
              <w:t>DSWD-FO Caraga facilitated the loading of 800 FFPs to complete the 3,500 FFPs requested by the LGU of Jabonga, Agusan del Norte.</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DSWD-FO Caraga facilitated the loading of 1,307 FFPs requested by the LGU of San Agustin, Surigao del Sur.</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DSWD-FO Caraga assisted in the 1 st round distribution of 3,800 FFPs in the municipality of Claver, Surigao del Norte, which started on June 08, 2020.</w:t>
            </w:r>
          </w:p>
          <w:p>
            <w:pPr>
              <w:widowControl/>
              <w:spacing w:after="0" w:line="240" w:lineRule="auto"/>
              <w:contextualSpacing/>
              <w:jc w:val="both"/>
              <w:rPr>
                <w:rFonts w:ascii="Arial" w:hAnsi="Arial" w:eastAsia="Arial" w:cs="Arial"/>
                <w:b/>
                <w:sz w:val="20"/>
                <w:szCs w:val="19"/>
              </w:rPr>
            </w:pPr>
          </w:p>
          <w:p>
            <w:pPr>
              <w:widowControl/>
              <w:spacing w:after="0" w:line="240" w:lineRule="auto"/>
              <w:contextualSpacing/>
              <w:jc w:val="both"/>
              <w:rPr>
                <w:rFonts w:ascii="Arial" w:hAnsi="Arial" w:eastAsia="Arial" w:cs="Arial"/>
                <w:b/>
                <w:sz w:val="20"/>
                <w:szCs w:val="19"/>
              </w:rPr>
            </w:pPr>
            <w:r>
              <w:rPr>
                <w:rFonts w:ascii="Arial" w:hAnsi="Arial" w:eastAsia="Arial" w:cs="Arial"/>
                <w:b/>
                <w:sz w:val="20"/>
                <w:szCs w:val="19"/>
              </w:rPr>
              <w:t>Social Amelioration Program (SAP)</w:t>
            </w:r>
          </w:p>
          <w:p>
            <w:pPr>
              <w:widowControl/>
              <w:numPr>
                <w:ilvl w:val="0"/>
                <w:numId w:val="3"/>
              </w:numPr>
              <w:spacing w:after="0" w:line="240" w:lineRule="auto"/>
              <w:contextualSpacing/>
              <w:jc w:val="both"/>
              <w:rPr>
                <w:rFonts w:ascii="Arial" w:hAnsi="Arial" w:eastAsia="Arial" w:cs="Arial"/>
                <w:b/>
                <w:sz w:val="20"/>
                <w:szCs w:val="19"/>
              </w:rPr>
            </w:pPr>
            <w:r>
              <w:rPr>
                <w:rFonts w:ascii="Arial" w:hAnsi="Arial" w:eastAsia="Arial" w:cs="Arial"/>
                <w:sz w:val="20"/>
                <w:szCs w:val="19"/>
              </w:rPr>
              <w:t xml:space="preserve">To date, </w:t>
            </w:r>
            <w:r>
              <w:rPr>
                <w:rFonts w:ascii="Arial" w:hAnsi="Arial" w:eastAsia="Arial" w:cs="Arial"/>
                <w:b/>
                <w:sz w:val="20"/>
                <w:szCs w:val="19"/>
              </w:rPr>
              <w:t>305,096 Non-4Ps beneficiaries</w:t>
            </w:r>
            <w:r>
              <w:rPr>
                <w:rFonts w:ascii="Arial" w:hAnsi="Arial" w:eastAsia="Arial" w:cs="Arial"/>
                <w:sz w:val="20"/>
                <w:szCs w:val="19"/>
              </w:rPr>
              <w:t xml:space="preserve"> were paid amounting to </w:t>
            </w:r>
            <w:r>
              <w:rPr>
                <w:rFonts w:ascii="Arial" w:hAnsi="Arial" w:eastAsia="Arial" w:cs="Arial"/>
                <w:b/>
                <w:sz w:val="20"/>
                <w:szCs w:val="19"/>
              </w:rPr>
              <w:t xml:space="preserve">₱1,525,480,000.00 </w:t>
            </w:r>
            <w:r>
              <w:rPr>
                <w:rFonts w:ascii="Arial" w:hAnsi="Arial" w:eastAsia="Arial" w:cs="Arial"/>
                <w:sz w:val="20"/>
                <w:szCs w:val="19"/>
              </w:rPr>
              <w:t xml:space="preserve">while a total of </w:t>
            </w:r>
            <w:r>
              <w:rPr>
                <w:rFonts w:ascii="Arial" w:hAnsi="Arial" w:eastAsia="Arial" w:cs="Arial"/>
                <w:b/>
                <w:sz w:val="20"/>
                <w:szCs w:val="19"/>
              </w:rPr>
              <w:t xml:space="preserve">189,853 </w:t>
            </w:r>
            <w:r>
              <w:rPr>
                <w:rFonts w:ascii="Arial" w:hAnsi="Arial" w:eastAsia="Arial" w:cs="Arial"/>
                <w:sz w:val="20"/>
                <w:szCs w:val="19"/>
              </w:rPr>
              <w:t xml:space="preserve">4Ps beneficiaries (cash card and non-cash card holders) were paid amounting to </w:t>
            </w:r>
            <w:r>
              <w:rPr>
                <w:rFonts w:ascii="Arial" w:hAnsi="Arial" w:eastAsia="Arial" w:cs="Arial"/>
                <w:b/>
                <w:sz w:val="20"/>
                <w:szCs w:val="19"/>
              </w:rPr>
              <w:t xml:space="preserve">₱687,860,750.00. </w:t>
            </w:r>
            <w:r>
              <w:rPr>
                <w:rFonts w:ascii="Arial" w:hAnsi="Arial" w:eastAsia="Arial" w:cs="Arial"/>
                <w:sz w:val="20"/>
                <w:szCs w:val="19"/>
              </w:rPr>
              <w:t>Out of the total paid 4Ps beneficiaries, 180,673 were paid thru cash-cards; 7,782 were paid thru DSWD SDO payout and 1,398 were paid by LGU/DOLE TUPAD.</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b/>
                <w:sz w:val="20"/>
                <w:szCs w:val="19"/>
              </w:rPr>
              <w:t>72</w:t>
            </w:r>
            <w:r>
              <w:rPr>
                <w:rFonts w:ascii="Arial" w:hAnsi="Arial" w:eastAsia="Arial" w:cs="Arial"/>
                <w:sz w:val="20"/>
                <w:szCs w:val="19"/>
              </w:rPr>
              <w:t xml:space="preserve"> LGUs have already submitted their liquidation reports for the SAP implementation.</w:t>
            </w:r>
          </w:p>
          <w:p>
            <w:pPr>
              <w:pStyle w:val="29"/>
              <w:numPr>
                <w:ilvl w:val="0"/>
                <w:numId w:val="3"/>
              </w:numPr>
              <w:spacing w:after="0" w:line="240" w:lineRule="auto"/>
              <w:jc w:val="both"/>
              <w:rPr>
                <w:rFonts w:ascii="Arial" w:hAnsi="Arial" w:eastAsia="Arial" w:cs="Arial"/>
                <w:sz w:val="20"/>
                <w:szCs w:val="19"/>
              </w:rPr>
            </w:pPr>
            <w:r>
              <w:rPr>
                <w:rFonts w:ascii="Arial" w:hAnsi="Arial" w:eastAsia="Arial" w:cs="Arial"/>
                <w:b/>
                <w:sz w:val="20"/>
                <w:szCs w:val="19"/>
              </w:rPr>
              <w:t>65</w:t>
            </w:r>
            <w:r>
              <w:rPr>
                <w:rFonts w:ascii="Arial" w:hAnsi="Arial" w:eastAsia="Arial" w:cs="Arial"/>
                <w:sz w:val="20"/>
                <w:szCs w:val="19"/>
              </w:rPr>
              <w:t xml:space="preserve"> LGUs have already submitted the list of left-out/unserved families, with a total of 109,198 families encoded in the google sheets. The rest of 8 LGUs have no left-out/unserved families based on MC#9.</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DSWD-FO Caraga IT Staff is facilitating the encoding of SAC Forms to the google sheet.</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All 73 LGUs were already monitored by DSWD FO Monitoring Teams to ensure proper implementation of SAP and assessment on the eligibility of the SAP beneficiaries.</w:t>
            </w:r>
          </w:p>
          <w:p>
            <w:pPr>
              <w:widowControl/>
              <w:numPr>
                <w:ilvl w:val="0"/>
                <w:numId w:val="3"/>
              </w:numPr>
              <w:spacing w:after="0" w:line="240" w:lineRule="auto"/>
              <w:contextualSpacing/>
              <w:jc w:val="both"/>
              <w:rPr>
                <w:rFonts w:ascii="Arial" w:hAnsi="Arial" w:eastAsia="Arial" w:cs="Arial"/>
                <w:sz w:val="20"/>
                <w:szCs w:val="19"/>
              </w:rPr>
            </w:pPr>
            <w:r>
              <w:rPr>
                <w:rFonts w:ascii="Arial" w:hAnsi="Arial" w:eastAsia="Arial" w:cs="Arial"/>
                <w:sz w:val="20"/>
                <w:szCs w:val="19"/>
              </w:rPr>
              <w:t>Grievance teams for SAP/ESP are continuously handling grievances and answering queries from different platforms.</w:t>
            </w:r>
          </w:p>
        </w:tc>
      </w:tr>
    </w:tbl>
    <w:p>
      <w:pPr>
        <w:spacing w:after="0" w:line="240" w:lineRule="auto"/>
        <w:contextualSpacing/>
        <w:jc w:val="center"/>
        <w:rPr>
          <w:rFonts w:ascii="Arial" w:hAnsi="Arial" w:eastAsia="Arial" w:cs="Arial"/>
          <w:b/>
          <w:i/>
          <w:sz w:val="20"/>
          <w:szCs w:val="20"/>
        </w:rPr>
      </w:pPr>
    </w:p>
    <w:p>
      <w:pPr>
        <w:spacing w:after="0" w:line="240" w:lineRule="auto"/>
        <w:contextualSpacing/>
        <w:jc w:val="center"/>
        <w:rPr>
          <w:rFonts w:ascii="Arial" w:hAnsi="Arial" w:eastAsia="Arial" w:cs="Arial"/>
          <w:b/>
          <w:i/>
          <w:sz w:val="20"/>
          <w:szCs w:val="20"/>
        </w:rPr>
      </w:pPr>
      <w:r>
        <w:rPr>
          <w:rFonts w:ascii="Arial" w:hAnsi="Arial" w:eastAsia="Arial" w:cs="Arial"/>
          <w:b/>
          <w:i/>
          <w:sz w:val="20"/>
          <w:szCs w:val="20"/>
        </w:rPr>
        <w:t>*****</w:t>
      </w:r>
    </w:p>
    <w:p>
      <w:pPr>
        <w:spacing w:after="0" w:line="240" w:lineRule="auto"/>
        <w:contextualSpacing/>
        <w:jc w:val="both"/>
        <w:rPr>
          <w:rFonts w:ascii="Arial" w:hAnsi="Arial" w:eastAsia="Arial" w:cs="Arial"/>
          <w:i/>
          <w:sz w:val="20"/>
          <w:szCs w:val="20"/>
        </w:rPr>
      </w:pPr>
      <w:r>
        <w:rPr>
          <w:rFonts w:ascii="Arial" w:hAnsi="Arial" w:eastAsia="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pPr>
        <w:spacing w:after="0" w:line="240" w:lineRule="auto"/>
        <w:contextualSpacing/>
        <w:jc w:val="both"/>
        <w:rPr>
          <w:rFonts w:ascii="Arial" w:hAnsi="Arial" w:eastAsia="Arial" w:cs="Arial"/>
          <w:szCs w:val="24"/>
          <w:highlight w:val="white"/>
        </w:rPr>
      </w:pPr>
    </w:p>
    <w:p>
      <w:pPr>
        <w:tabs>
          <w:tab w:val="left" w:pos="4164"/>
        </w:tabs>
        <w:spacing w:after="0" w:line="240" w:lineRule="auto"/>
        <w:contextualSpacing/>
        <w:jc w:val="both"/>
        <w:rPr>
          <w:rFonts w:ascii="Arial" w:hAnsi="Arial" w:eastAsia="Arial" w:cs="Arial"/>
          <w:szCs w:val="24"/>
        </w:rPr>
      </w:pPr>
      <w:r>
        <w:rPr>
          <w:rFonts w:ascii="Arial" w:hAnsi="Arial" w:eastAsia="Arial" w:cs="Arial"/>
          <w:szCs w:val="24"/>
          <w:highlight w:val="white"/>
        </w:rPr>
        <w:t>Prepared by:</w:t>
      </w:r>
      <w:r>
        <w:rPr>
          <w:rFonts w:ascii="Arial" w:hAnsi="Arial" w:eastAsia="Arial" w:cs="Arial"/>
          <w:szCs w:val="24"/>
          <w:highlight w:val="white"/>
        </w:rPr>
        <w:tab/>
      </w:r>
      <w:r>
        <w:rPr>
          <w:rFonts w:ascii="Arial" w:hAnsi="Arial" w:eastAsia="Arial" w:cs="Arial"/>
          <w:szCs w:val="24"/>
          <w:highlight w:val="white"/>
        </w:rPr>
        <w:tab/>
      </w:r>
      <w:r>
        <w:rPr>
          <w:rFonts w:ascii="Arial" w:hAnsi="Arial" w:eastAsia="Arial" w:cs="Arial"/>
          <w:szCs w:val="24"/>
          <w:highlight w:val="white"/>
        </w:rPr>
        <w:tab/>
      </w:r>
      <w:r>
        <w:rPr>
          <w:rFonts w:ascii="Arial" w:hAnsi="Arial" w:eastAsia="Arial" w:cs="Arial"/>
          <w:szCs w:val="24"/>
          <w:highlight w:val="white"/>
        </w:rPr>
        <w:t>Releasing Officer:</w:t>
      </w:r>
    </w:p>
    <w:p>
      <w:pPr>
        <w:tabs>
          <w:tab w:val="left" w:pos="4164"/>
        </w:tabs>
        <w:spacing w:after="0" w:line="240" w:lineRule="auto"/>
        <w:contextualSpacing/>
        <w:jc w:val="both"/>
        <w:rPr>
          <w:rFonts w:ascii="Arial" w:hAnsi="Arial" w:eastAsia="Arial" w:cs="Arial"/>
          <w:b/>
          <w:color w:val="002060"/>
          <w:sz w:val="28"/>
          <w:szCs w:val="28"/>
        </w:rPr>
      </w:pPr>
    </w:p>
    <w:p>
      <w:pPr>
        <w:spacing w:after="0" w:line="240" w:lineRule="auto"/>
        <w:contextualSpacing/>
        <w:jc w:val="both"/>
        <w:rPr>
          <w:rFonts w:ascii="Arial" w:hAnsi="Arial" w:eastAsia="Arial" w:cs="Arial"/>
          <w:b/>
          <w:lang w:val="en-US"/>
        </w:rPr>
      </w:pPr>
      <w:r>
        <w:rPr>
          <w:rFonts w:ascii="Arial" w:hAnsi="Arial" w:eastAsia="Arial" w:cs="Arial"/>
          <w:b/>
          <w:lang w:val="en-US"/>
        </w:rPr>
        <w:t>JOANNA CAMILLE R. JACINTO</w:t>
      </w:r>
      <w:r>
        <w:rPr>
          <w:rFonts w:ascii="Arial" w:hAnsi="Arial" w:eastAsia="Arial" w:cs="Arial"/>
          <w:b/>
          <w:lang w:val="en-US"/>
        </w:rPr>
        <w:tab/>
      </w:r>
      <w:r>
        <w:rPr>
          <w:rFonts w:ascii="Arial" w:hAnsi="Arial" w:eastAsia="Arial" w:cs="Arial"/>
          <w:b/>
          <w:lang w:val="en-US"/>
        </w:rPr>
        <w:tab/>
      </w:r>
      <w:r>
        <w:rPr>
          <w:rFonts w:ascii="Arial" w:hAnsi="Arial" w:eastAsia="Arial" w:cs="Arial"/>
          <w:b/>
          <w:lang w:val="en-US"/>
        </w:rPr>
        <w:tab/>
      </w:r>
      <w:r>
        <w:rPr>
          <w:rFonts w:ascii="Arial" w:hAnsi="Arial" w:eastAsia="Arial" w:cs="Arial"/>
          <w:b/>
          <w:lang w:val="en-US"/>
        </w:rPr>
        <w:t>RODEL V. CABADDU</w:t>
      </w:r>
    </w:p>
    <w:p>
      <w:pPr>
        <w:spacing w:after="0" w:line="240" w:lineRule="auto"/>
        <w:contextualSpacing/>
        <w:jc w:val="both"/>
        <w:rPr>
          <w:rFonts w:ascii="Arial" w:hAnsi="Arial" w:eastAsia="Arial" w:cs="Arial"/>
          <w:b/>
          <w:lang w:val="en-US"/>
        </w:rPr>
      </w:pPr>
      <w:r>
        <w:rPr>
          <w:rFonts w:ascii="Arial" w:hAnsi="Arial" w:eastAsia="Arial" w:cs="Arial"/>
          <w:b/>
          <w:lang w:val="en-US"/>
        </w:rPr>
        <w:t>MARIEL B. FERRARIZ</w:t>
      </w:r>
    </w:p>
    <w:p>
      <w:pPr>
        <w:spacing w:after="0" w:line="240" w:lineRule="auto"/>
        <w:contextualSpacing/>
        <w:jc w:val="both"/>
        <w:rPr>
          <w:rFonts w:ascii="Arial" w:hAnsi="Arial" w:eastAsia="Arial" w:cs="Arial"/>
          <w:b/>
          <w:lang w:val="en-US"/>
        </w:rPr>
      </w:pPr>
      <w:r>
        <w:rPr>
          <w:rFonts w:ascii="Arial" w:hAnsi="Arial" w:eastAsia="Arial" w:cs="Arial"/>
          <w:b/>
          <w:lang w:val="en-US"/>
        </w:rPr>
        <w:t>JEM ERIC F. FAMORCAN</w:t>
      </w: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both"/>
        <w:rPr>
          <w:rFonts w:ascii="Arial" w:hAnsi="Arial" w:eastAsia="Arial" w:cs="Arial"/>
          <w:b/>
          <w:color w:val="002060"/>
          <w:sz w:val="28"/>
          <w:szCs w:val="28"/>
        </w:rPr>
      </w:pPr>
      <w:r>
        <w:rPr>
          <w:rFonts w:ascii="Arial" w:hAnsi="Arial" w:eastAsia="Arial" w:cs="Arial"/>
          <w:b/>
          <w:color w:val="002060"/>
          <w:sz w:val="28"/>
          <w:szCs w:val="28"/>
        </w:rPr>
        <w:t>PHOTO DOCUMENTATION</w:t>
      </w:r>
    </w:p>
    <w:p>
      <w:pPr>
        <w:tabs>
          <w:tab w:val="left" w:pos="4164"/>
        </w:tabs>
        <w:spacing w:after="0" w:line="240" w:lineRule="auto"/>
        <w:contextualSpacing/>
        <w:jc w:val="both"/>
        <w:rPr>
          <w:rFonts w:ascii="Arial" w:hAnsi="Arial" w:eastAsia="Arial" w:cs="Arial"/>
          <w:b/>
          <w:color w:val="002060"/>
          <w:sz w:val="28"/>
          <w:szCs w:val="28"/>
        </w:rPr>
      </w:pPr>
    </w:p>
    <w:p>
      <w:pPr>
        <w:tabs>
          <w:tab w:val="left" w:pos="4164"/>
        </w:tabs>
        <w:spacing w:after="0" w:line="240" w:lineRule="auto"/>
        <w:contextualSpacing/>
        <w:jc w:val="center"/>
        <w:rPr>
          <w:rFonts w:ascii="Arial" w:hAnsi="Arial" w:eastAsia="Arial" w:cs="Arial"/>
          <w:b/>
          <w:color w:val="002060"/>
          <w:sz w:val="28"/>
          <w:szCs w:val="28"/>
        </w:rPr>
      </w:pPr>
      <w:r>
        <w:rPr>
          <w:rFonts w:ascii="Arial" w:hAnsi="Arial" w:eastAsia="Arial" w:cs="Arial"/>
          <w:b/>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pPr>
        <w:tabs>
          <w:tab w:val="left" w:pos="4164"/>
        </w:tabs>
        <w:spacing w:after="0" w:line="240" w:lineRule="auto"/>
        <w:contextualSpacing/>
        <w:jc w:val="center"/>
        <w:rPr>
          <w:rFonts w:ascii="Arial" w:hAnsi="Arial" w:eastAsia="Arial" w:cs="Arial"/>
          <w:b/>
          <w:color w:val="002060"/>
          <w:sz w:val="28"/>
          <w:szCs w:val="28"/>
        </w:rPr>
      </w:pPr>
    </w:p>
    <w:p>
      <w:pPr>
        <w:tabs>
          <w:tab w:val="left" w:pos="4164"/>
        </w:tabs>
        <w:spacing w:after="0" w:line="240" w:lineRule="auto"/>
        <w:contextualSpacing/>
        <w:jc w:val="center"/>
        <w:rPr>
          <w:rFonts w:ascii="Arial" w:hAnsi="Arial" w:eastAsia="Arial" w:cs="Arial"/>
          <w:b/>
          <w:color w:val="002060"/>
          <w:sz w:val="28"/>
          <w:szCs w:val="28"/>
        </w:rPr>
      </w:pPr>
      <w:r>
        <w:rPr>
          <w:rFonts w:ascii="Arial" w:hAnsi="Arial" w:eastAsia="Arial" w:cs="Arial"/>
          <w:b/>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pPr>
        <w:rPr>
          <w:rFonts w:ascii="Arial" w:hAnsi="Arial" w:eastAsia="Arial" w:cs="Arial"/>
          <w:b/>
          <w:color w:val="002060"/>
          <w:sz w:val="28"/>
          <w:szCs w:val="28"/>
        </w:rPr>
      </w:pPr>
    </w:p>
    <w:sectPr>
      <w:headerReference r:id="rId5" w:type="first"/>
      <w:footerReference r:id="rId8" w:type="first"/>
      <w:headerReference r:id="rId3" w:type="default"/>
      <w:footerReference r:id="rId6" w:type="default"/>
      <w:headerReference r:id="rId4" w:type="even"/>
      <w:footerReference r:id="rId7" w:type="even"/>
      <w:pgSz w:w="11907" w:h="16839"/>
      <w:pgMar w:top="14" w:right="1077" w:bottom="851" w:left="1077" w:header="357" w:footer="28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1"/>
      </w:pBdr>
      <w:tabs>
        <w:tab w:val="left" w:pos="2371"/>
        <w:tab w:val="center" w:pos="5233"/>
      </w:tabs>
      <w:spacing w:after="0" w:line="240" w:lineRule="auto"/>
      <w:jc w:val="right"/>
      <w:rPr>
        <w:sz w:val="16"/>
        <w:szCs w:val="16"/>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right"/>
      <w:rPr>
        <w:rFonts w:ascii="Arial" w:hAnsi="Arial" w:eastAsia="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 xml:space="preserve">PAGE</w:instrText>
    </w:r>
    <w:r>
      <w:rPr>
        <w:b/>
        <w:sz w:val="16"/>
        <w:szCs w:val="16"/>
      </w:rPr>
      <w:fldChar w:fldCharType="separate"/>
    </w:r>
    <w:r>
      <w:rPr>
        <w:b/>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 xml:space="preserve">NUMPAGES</w:instrText>
    </w:r>
    <w:r>
      <w:rPr>
        <w:b/>
        <w:sz w:val="16"/>
        <w:szCs w:val="16"/>
      </w:rPr>
      <w:fldChar w:fldCharType="separate"/>
    </w:r>
    <w:r>
      <w:rPr>
        <w:b/>
        <w:sz w:val="16"/>
        <w:szCs w:val="16"/>
      </w:rPr>
      <w:t>32</w:t>
    </w:r>
    <w:r>
      <w:rPr>
        <w:b/>
        <w:sz w:val="16"/>
        <w:szCs w:val="16"/>
      </w:rPr>
      <w:fldChar w:fldCharType="end"/>
    </w:r>
    <w:r>
      <w:rPr>
        <w:b/>
        <w:sz w:val="16"/>
        <w:szCs w:val="16"/>
      </w:rPr>
      <w:t xml:space="preserve"> </w:t>
    </w:r>
    <w:r>
      <w:rPr>
        <w:sz w:val="16"/>
        <w:szCs w:val="16"/>
      </w:rPr>
      <w:t xml:space="preserve">| </w:t>
    </w:r>
    <w:r>
      <w:rPr>
        <w:rFonts w:ascii="Arial" w:hAnsi="Arial" w:eastAsia="Arial" w:cs="Arial"/>
        <w:sz w:val="14"/>
        <w:szCs w:val="14"/>
      </w:rPr>
      <w:t>DSWD DROMIC Report #168 on the Coronavirus Disease (COVID19) as of 15 June 2020, 6PM</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pPr>
    <w: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pPr>
      <w:pBdr>
        <w:bottom w:val="single" w:color="000000" w:sz="6" w:space="1"/>
      </w:pBdr>
      <w:tabs>
        <w:tab w:val="center" w:pos="4680"/>
        <w:tab w:val="right" w:pos="9360"/>
      </w:tabs>
      <w:spacing w:after="0" w:line="240" w:lineRule="auto"/>
      <w:jc w:val="center"/>
      <w:rPr>
        <w:sz w:val="1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068AC"/>
    <w:multiLevelType w:val="multilevel"/>
    <w:tmpl w:val="2F4068A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3565A8"/>
    <w:multiLevelType w:val="multilevel"/>
    <w:tmpl w:val="4B3565A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1817BC2"/>
    <w:multiLevelType w:val="multilevel"/>
    <w:tmpl w:val="51817B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77340A"/>
    <w:multiLevelType w:val="multilevel"/>
    <w:tmpl w:val="537734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3EB5739"/>
    <w:multiLevelType w:val="multilevel"/>
    <w:tmpl w:val="73EB5739"/>
    <w:lvl w:ilvl="0" w:tentative="0">
      <w:start w:val="1"/>
      <w:numFmt w:val="bullet"/>
      <w:lvlText w:val="●"/>
      <w:lvlJc w:val="left"/>
      <w:pPr>
        <w:ind w:left="36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Calibri"/>
      <w:sz w:val="22"/>
      <w:szCs w:val="22"/>
      <w:lang w:val="en-PH" w:eastAsia="en-PH" w:bidi="ar-SA"/>
    </w:rPr>
  </w:style>
  <w:style w:type="paragraph" w:styleId="2">
    <w:name w:val="heading 1"/>
    <w:basedOn w:val="1"/>
    <w:next w:val="1"/>
    <w:qFormat/>
    <w:uiPriority w:val="0"/>
    <w:pPr>
      <w:widowControl/>
      <w:spacing w:before="100" w:after="100" w:line="240" w:lineRule="auto"/>
      <w:outlineLvl w:val="0"/>
    </w:pPr>
    <w:rPr>
      <w:rFonts w:ascii="Times New Roman" w:hAnsi="Times New Roman" w:eastAsia="Times New Roman" w:cs="Times New Roman"/>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17">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3"/>
    <w:unhideWhenUsed/>
    <w:uiPriority w:val="99"/>
    <w:pPr>
      <w:spacing w:after="0" w:line="240" w:lineRule="auto"/>
    </w:pPr>
    <w:rPr>
      <w:rFonts w:ascii="Tahoma" w:hAnsi="Tahoma" w:cs="Tahoma"/>
      <w:sz w:val="16"/>
      <w:szCs w:val="16"/>
    </w:rPr>
  </w:style>
  <w:style w:type="paragraph" w:styleId="10">
    <w:name w:val="annotation text"/>
    <w:basedOn w:val="1"/>
    <w:link w:val="371"/>
    <w:semiHidden/>
    <w:unhideWhenUsed/>
    <w:uiPriority w:val="99"/>
    <w:pPr>
      <w:spacing w:line="240" w:lineRule="auto"/>
    </w:pPr>
    <w:rPr>
      <w:sz w:val="20"/>
      <w:szCs w:val="20"/>
    </w:rPr>
  </w:style>
  <w:style w:type="paragraph" w:styleId="11">
    <w:name w:val="annotation subject"/>
    <w:basedOn w:val="10"/>
    <w:next w:val="10"/>
    <w:link w:val="372"/>
    <w:semiHidden/>
    <w:unhideWhenUsed/>
    <w:uiPriority w:val="99"/>
    <w:rPr>
      <w:b/>
      <w:bCs/>
    </w:rPr>
  </w:style>
  <w:style w:type="paragraph" w:styleId="12">
    <w:name w:val="footnote text"/>
    <w:basedOn w:val="1"/>
    <w:link w:val="48"/>
    <w:semiHidden/>
    <w:unhideWhenUsed/>
    <w:uiPriority w:val="99"/>
    <w:pPr>
      <w:widowControl/>
      <w:spacing w:after="0" w:line="240" w:lineRule="auto"/>
    </w:pPr>
    <w:rPr>
      <w:rFonts w:asciiTheme="minorHAnsi" w:hAnsiTheme="minorHAnsi" w:eastAsiaTheme="minorHAnsi" w:cstheme="minorBidi"/>
      <w:sz w:val="20"/>
      <w:szCs w:val="20"/>
    </w:rPr>
  </w:style>
  <w:style w:type="paragraph" w:styleId="13">
    <w:name w:val="header"/>
    <w:basedOn w:val="1"/>
    <w:link w:val="30"/>
    <w:semiHidden/>
    <w:unhideWhenUsed/>
    <w:uiPriority w:val="99"/>
    <w:pPr>
      <w:tabs>
        <w:tab w:val="center" w:pos="4680"/>
        <w:tab w:val="right" w:pos="9360"/>
      </w:tabs>
      <w:spacing w:after="0" w:line="240" w:lineRule="auto"/>
    </w:pPr>
  </w:style>
  <w:style w:type="paragraph" w:styleId="14">
    <w:name w:val="Normal (Web)"/>
    <w:basedOn w:val="1"/>
    <w:semiHidden/>
    <w:unhideWhenUsed/>
    <w:uiPriority w:val="99"/>
    <w:pPr>
      <w:widowControl/>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character" w:styleId="18">
    <w:name w:val="annotation reference"/>
    <w:basedOn w:val="17"/>
    <w:semiHidden/>
    <w:unhideWhenUsed/>
    <w:uiPriority w:val="99"/>
    <w:rPr>
      <w:sz w:val="16"/>
      <w:szCs w:val="16"/>
    </w:rPr>
  </w:style>
  <w:style w:type="character" w:styleId="19">
    <w:name w:val="FollowedHyperlink"/>
    <w:basedOn w:val="17"/>
    <w:semiHidden/>
    <w:unhideWhenUsed/>
    <w:qFormat/>
    <w:uiPriority w:val="99"/>
    <w:rPr>
      <w:color w:val="0563C1"/>
      <w:u w:val="single"/>
    </w:rPr>
  </w:style>
  <w:style w:type="character" w:styleId="20">
    <w:name w:val="footnote reference"/>
    <w:basedOn w:val="17"/>
    <w:semiHidden/>
    <w:unhideWhenUsed/>
    <w:uiPriority w:val="99"/>
    <w:rPr>
      <w:vertAlign w:val="superscript"/>
    </w:rPr>
  </w:style>
  <w:style w:type="character" w:styleId="21">
    <w:name w:val="Hyperlink"/>
    <w:basedOn w:val="17"/>
    <w:unhideWhenUsed/>
    <w:qFormat/>
    <w:uiPriority w:val="99"/>
    <w:rPr>
      <w:color w:val="0563C1"/>
      <w:u w:val="single"/>
    </w:rPr>
  </w:style>
  <w:style w:type="table" w:styleId="23">
    <w:name w:val="Table Grid"/>
    <w:basedOn w:val="2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7 Char"/>
    <w:basedOn w:val="17"/>
    <w:link w:val="8"/>
    <w:semiHidden/>
    <w:qFormat/>
    <w:uiPriority w:val="9"/>
    <w:rPr>
      <w:rFonts w:asciiTheme="majorHAnsi" w:hAnsiTheme="majorHAnsi" w:eastAsiaTheme="majorEastAsia" w:cstheme="majorBidi"/>
      <w:i/>
      <w:iCs/>
      <w:color w:val="254061" w:themeColor="accent1" w:themeShade="80"/>
    </w:rPr>
  </w:style>
  <w:style w:type="table" w:customStyle="1" w:styleId="25">
    <w:name w:val="213"/>
    <w:basedOn w:val="22"/>
    <w:uiPriority w:val="0"/>
    <w:tblPr>
      <w:tblCellMar>
        <w:left w:w="115" w:type="dxa"/>
        <w:right w:w="115" w:type="dxa"/>
      </w:tblCellMar>
    </w:tblPr>
  </w:style>
  <w:style w:type="table" w:customStyle="1" w:styleId="26">
    <w:name w:val="212"/>
    <w:basedOn w:val="22"/>
    <w:uiPriority w:val="0"/>
    <w:tblPr>
      <w:tblCellMar>
        <w:left w:w="115" w:type="dxa"/>
        <w:right w:w="115" w:type="dxa"/>
      </w:tblCellMar>
    </w:tblPr>
  </w:style>
  <w:style w:type="table" w:customStyle="1" w:styleId="27">
    <w:name w:val="211"/>
    <w:basedOn w:val="22"/>
    <w:qFormat/>
    <w:uiPriority w:val="0"/>
    <w:tblPr>
      <w:tblCellMar>
        <w:top w:w="15" w:type="dxa"/>
        <w:left w:w="15" w:type="dxa"/>
        <w:bottom w:w="15" w:type="dxa"/>
        <w:right w:w="15" w:type="dxa"/>
      </w:tblCellMar>
    </w:tblPr>
  </w:style>
  <w:style w:type="table" w:customStyle="1" w:styleId="28">
    <w:name w:val="210"/>
    <w:basedOn w:val="22"/>
    <w:uiPriority w:val="0"/>
    <w:tblPr>
      <w:tblCellMar>
        <w:top w:w="15" w:type="dxa"/>
        <w:left w:w="15" w:type="dxa"/>
        <w:bottom w:w="15" w:type="dxa"/>
        <w:right w:w="15" w:type="dxa"/>
      </w:tblCellMar>
    </w:tblPr>
  </w:style>
  <w:style w:type="paragraph" w:styleId="29">
    <w:name w:val="List Paragraph"/>
    <w:basedOn w:val="1"/>
    <w:qFormat/>
    <w:uiPriority w:val="34"/>
    <w:pPr>
      <w:ind w:left="720"/>
      <w:contextualSpacing/>
    </w:pPr>
  </w:style>
  <w:style w:type="character" w:customStyle="1" w:styleId="30">
    <w:name w:val="Header Char"/>
    <w:basedOn w:val="17"/>
    <w:link w:val="13"/>
    <w:semiHidden/>
    <w:qFormat/>
    <w:uiPriority w:val="99"/>
  </w:style>
  <w:style w:type="paragraph" w:customStyle="1" w:styleId="31">
    <w:name w:val="No Spacing1"/>
    <w:link w:val="32"/>
    <w:qFormat/>
    <w:uiPriority w:val="1"/>
    <w:pPr>
      <w:widowControl/>
      <w:spacing w:after="0" w:line="240" w:lineRule="auto"/>
    </w:pPr>
    <w:rPr>
      <w:rFonts w:ascii="Calibri" w:hAnsi="Calibri" w:eastAsia="SimSun" w:cs="Times New Roman"/>
      <w:sz w:val="22"/>
      <w:szCs w:val="22"/>
      <w:lang w:val="en-US" w:eastAsia="en-PH" w:bidi="ar-SA"/>
    </w:rPr>
  </w:style>
  <w:style w:type="character" w:customStyle="1" w:styleId="32">
    <w:name w:val="No Spacing Char"/>
    <w:link w:val="31"/>
    <w:qFormat/>
    <w:uiPriority w:val="1"/>
    <w:rPr>
      <w:rFonts w:eastAsia="SimSun" w:cs="Times New Roman"/>
      <w:lang w:val="en-US" w:eastAsia="en-US"/>
    </w:rPr>
  </w:style>
  <w:style w:type="character" w:customStyle="1" w:styleId="33">
    <w:name w:val="Balloon Text Char"/>
    <w:basedOn w:val="17"/>
    <w:link w:val="9"/>
    <w:uiPriority w:val="99"/>
    <w:rPr>
      <w:rFonts w:ascii="Tahoma" w:hAnsi="Tahoma" w:cs="Tahoma"/>
      <w:sz w:val="16"/>
      <w:szCs w:val="16"/>
    </w:rPr>
  </w:style>
  <w:style w:type="paragraph" w:customStyle="1" w:styleId="34">
    <w:name w:val="m_6794652266622014926gmail-msonormal"/>
    <w:basedOn w:val="1"/>
    <w:uiPriority w:val="0"/>
    <w:pPr>
      <w:widowControl/>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5">
    <w:name w:val="m_6794652266622014926gmail-nospacing1"/>
    <w:basedOn w:val="1"/>
    <w:uiPriority w:val="0"/>
    <w:pPr>
      <w:widowControl/>
      <w:spacing w:before="100" w:beforeAutospacing="1" w:after="100" w:afterAutospacing="1" w:line="240" w:lineRule="auto"/>
    </w:pPr>
    <w:rPr>
      <w:rFonts w:ascii="Times New Roman" w:hAnsi="Times New Roman" w:eastAsia="Times New Roman" w:cs="Times New Roman"/>
      <w:sz w:val="24"/>
      <w:szCs w:val="24"/>
    </w:rPr>
  </w:style>
  <w:style w:type="table" w:customStyle="1" w:styleId="36">
    <w:name w:val="209"/>
    <w:basedOn w:val="22"/>
    <w:uiPriority w:val="0"/>
    <w:tblPr>
      <w:tblCellMar>
        <w:top w:w="100" w:type="dxa"/>
        <w:left w:w="100" w:type="dxa"/>
        <w:bottom w:w="100" w:type="dxa"/>
        <w:right w:w="100" w:type="dxa"/>
      </w:tblCellMar>
    </w:tblPr>
  </w:style>
  <w:style w:type="table" w:customStyle="1" w:styleId="37">
    <w:name w:val="208"/>
    <w:basedOn w:val="22"/>
    <w:qFormat/>
    <w:uiPriority w:val="0"/>
    <w:tblPr>
      <w:tblCellMar>
        <w:left w:w="115" w:type="dxa"/>
        <w:right w:w="115" w:type="dxa"/>
      </w:tblCellMar>
    </w:tblPr>
  </w:style>
  <w:style w:type="table" w:customStyle="1" w:styleId="38">
    <w:name w:val="207"/>
    <w:basedOn w:val="22"/>
    <w:qFormat/>
    <w:uiPriority w:val="0"/>
    <w:tblPr>
      <w:tblCellMar>
        <w:left w:w="115" w:type="dxa"/>
        <w:right w:w="115" w:type="dxa"/>
      </w:tblCellMar>
    </w:tblPr>
  </w:style>
  <w:style w:type="table" w:customStyle="1" w:styleId="39">
    <w:name w:val="206"/>
    <w:basedOn w:val="22"/>
    <w:qFormat/>
    <w:uiPriority w:val="0"/>
    <w:tblPr>
      <w:tblCellMar>
        <w:left w:w="115" w:type="dxa"/>
        <w:right w:w="115" w:type="dxa"/>
      </w:tblCellMar>
    </w:tblPr>
  </w:style>
  <w:style w:type="table" w:customStyle="1" w:styleId="40">
    <w:name w:val="205"/>
    <w:basedOn w:val="22"/>
    <w:qFormat/>
    <w:uiPriority w:val="0"/>
    <w:tblPr>
      <w:tblCellMar>
        <w:left w:w="115" w:type="dxa"/>
        <w:right w:w="115" w:type="dxa"/>
      </w:tblCellMar>
    </w:tblPr>
  </w:style>
  <w:style w:type="table" w:customStyle="1" w:styleId="41">
    <w:name w:val="204"/>
    <w:basedOn w:val="22"/>
    <w:qFormat/>
    <w:uiPriority w:val="0"/>
    <w:tblPr>
      <w:tblCellMar>
        <w:left w:w="115" w:type="dxa"/>
        <w:right w:w="115" w:type="dxa"/>
      </w:tblCellMar>
    </w:tblPr>
  </w:style>
  <w:style w:type="table" w:customStyle="1" w:styleId="42">
    <w:name w:val="203"/>
    <w:basedOn w:val="22"/>
    <w:qFormat/>
    <w:uiPriority w:val="0"/>
    <w:tblPr>
      <w:tblCellMar>
        <w:left w:w="115" w:type="dxa"/>
        <w:right w:w="115" w:type="dxa"/>
      </w:tblCellMar>
    </w:tblPr>
  </w:style>
  <w:style w:type="table" w:customStyle="1" w:styleId="43">
    <w:name w:val="202"/>
    <w:basedOn w:val="22"/>
    <w:qFormat/>
    <w:uiPriority w:val="0"/>
    <w:tblPr>
      <w:tblCellMar>
        <w:left w:w="115" w:type="dxa"/>
        <w:right w:w="115" w:type="dxa"/>
      </w:tblCellMar>
    </w:tblPr>
  </w:style>
  <w:style w:type="table" w:customStyle="1" w:styleId="44">
    <w:name w:val="201"/>
    <w:basedOn w:val="22"/>
    <w:uiPriority w:val="0"/>
    <w:tblPr>
      <w:tblCellMar>
        <w:left w:w="115" w:type="dxa"/>
        <w:right w:w="115" w:type="dxa"/>
      </w:tblCellMar>
    </w:tblPr>
  </w:style>
  <w:style w:type="table" w:customStyle="1" w:styleId="45">
    <w:name w:val="200"/>
    <w:basedOn w:val="22"/>
    <w:qFormat/>
    <w:uiPriority w:val="0"/>
    <w:tblPr>
      <w:tblCellMar>
        <w:left w:w="115" w:type="dxa"/>
        <w:right w:w="115" w:type="dxa"/>
      </w:tblCellMar>
    </w:tblPr>
  </w:style>
  <w:style w:type="paragraph" w:customStyle="1" w:styleId="46">
    <w:name w:val="List Paragraph1"/>
    <w:basedOn w:val="1"/>
    <w:qFormat/>
    <w:uiPriority w:val="34"/>
    <w:pPr>
      <w:ind w:left="720"/>
      <w:contextualSpacing/>
    </w:pPr>
    <w:rPr>
      <w:lang w:val="en-US" w:eastAsia="zh-CN"/>
    </w:rPr>
  </w:style>
  <w:style w:type="paragraph" w:styleId="47">
    <w:name w:val="No Spacing"/>
    <w:qFormat/>
    <w:uiPriority w:val="1"/>
    <w:pPr>
      <w:widowControl/>
      <w:spacing w:after="0" w:line="240" w:lineRule="auto"/>
    </w:pPr>
    <w:rPr>
      <w:rFonts w:asciiTheme="minorHAnsi" w:hAnsiTheme="minorHAnsi" w:eastAsiaTheme="minorHAnsi" w:cstheme="minorBidi"/>
      <w:sz w:val="22"/>
      <w:szCs w:val="22"/>
      <w:lang w:val="en-US" w:eastAsia="en-PH" w:bidi="ar-SA"/>
    </w:rPr>
  </w:style>
  <w:style w:type="character" w:customStyle="1" w:styleId="48">
    <w:name w:val="Footnote Text Char"/>
    <w:basedOn w:val="17"/>
    <w:link w:val="12"/>
    <w:semiHidden/>
    <w:qFormat/>
    <w:uiPriority w:val="99"/>
    <w:rPr>
      <w:rFonts w:asciiTheme="minorHAnsi" w:hAnsiTheme="minorHAnsi" w:eastAsiaTheme="minorHAnsi" w:cstheme="minorBidi"/>
      <w:sz w:val="20"/>
      <w:szCs w:val="20"/>
    </w:rPr>
  </w:style>
  <w:style w:type="paragraph" w:customStyle="1" w:styleId="49">
    <w:name w:val="Default"/>
    <w:qFormat/>
    <w:uiPriority w:val="0"/>
    <w:pPr>
      <w:widowControl/>
      <w:autoSpaceDE w:val="0"/>
      <w:autoSpaceDN w:val="0"/>
      <w:adjustRightInd w:val="0"/>
      <w:spacing w:after="0" w:line="240" w:lineRule="auto"/>
    </w:pPr>
    <w:rPr>
      <w:rFonts w:ascii="Times New Roman" w:hAnsi="Times New Roman" w:eastAsia="Times New Roman" w:cs="Times New Roman"/>
      <w:color w:val="000000"/>
      <w:sz w:val="24"/>
      <w:szCs w:val="24"/>
      <w:lang w:val="en-US" w:eastAsia="en-PH" w:bidi="ar-SA"/>
    </w:rPr>
  </w:style>
  <w:style w:type="table" w:customStyle="1" w:styleId="50">
    <w:name w:val="199"/>
    <w:basedOn w:val="22"/>
    <w:qFormat/>
    <w:uiPriority w:val="0"/>
    <w:tblPr>
      <w:tblCellMar>
        <w:left w:w="115" w:type="dxa"/>
        <w:right w:w="115" w:type="dxa"/>
      </w:tblCellMar>
    </w:tblPr>
  </w:style>
  <w:style w:type="table" w:customStyle="1" w:styleId="51">
    <w:name w:val="198"/>
    <w:basedOn w:val="22"/>
    <w:qFormat/>
    <w:uiPriority w:val="0"/>
    <w:pPr>
      <w:spacing w:after="0" w:line="240" w:lineRule="auto"/>
    </w:pPr>
    <w:tblPr>
      <w:tblCellMar>
        <w:top w:w="100" w:type="dxa"/>
        <w:left w:w="115" w:type="dxa"/>
        <w:bottom w:w="100" w:type="dxa"/>
        <w:right w:w="115" w:type="dxa"/>
      </w:tblCellMar>
    </w:tblPr>
  </w:style>
  <w:style w:type="table" w:customStyle="1" w:styleId="52">
    <w:name w:val="197"/>
    <w:basedOn w:val="22"/>
    <w:qFormat/>
    <w:uiPriority w:val="0"/>
    <w:pPr>
      <w:spacing w:after="0" w:line="240" w:lineRule="auto"/>
    </w:pPr>
    <w:tblPr>
      <w:tblCellMar>
        <w:top w:w="100" w:type="dxa"/>
        <w:left w:w="115" w:type="dxa"/>
        <w:bottom w:w="100" w:type="dxa"/>
        <w:right w:w="115" w:type="dxa"/>
      </w:tblCellMar>
    </w:tblPr>
  </w:style>
  <w:style w:type="table" w:customStyle="1" w:styleId="53">
    <w:name w:val="196"/>
    <w:basedOn w:val="22"/>
    <w:qFormat/>
    <w:uiPriority w:val="0"/>
    <w:tblPr>
      <w:tblCellMar>
        <w:left w:w="0" w:type="dxa"/>
        <w:right w:w="0" w:type="dxa"/>
      </w:tblCellMar>
    </w:tblPr>
  </w:style>
  <w:style w:type="table" w:customStyle="1" w:styleId="54">
    <w:name w:val="195"/>
    <w:basedOn w:val="22"/>
    <w:qFormat/>
    <w:uiPriority w:val="0"/>
    <w:pPr>
      <w:spacing w:after="0" w:line="240" w:lineRule="auto"/>
    </w:pPr>
    <w:tblPr>
      <w:tblCellMar>
        <w:top w:w="100" w:type="dxa"/>
        <w:left w:w="115" w:type="dxa"/>
        <w:bottom w:w="100" w:type="dxa"/>
        <w:right w:w="115" w:type="dxa"/>
      </w:tblCellMar>
    </w:tblPr>
  </w:style>
  <w:style w:type="table" w:customStyle="1" w:styleId="55">
    <w:name w:val="194"/>
    <w:basedOn w:val="22"/>
    <w:uiPriority w:val="0"/>
    <w:tblPr>
      <w:tblCellMar>
        <w:left w:w="115" w:type="dxa"/>
        <w:right w:w="115" w:type="dxa"/>
      </w:tblCellMar>
    </w:tblPr>
  </w:style>
  <w:style w:type="table" w:customStyle="1" w:styleId="56">
    <w:name w:val="193"/>
    <w:basedOn w:val="22"/>
    <w:qFormat/>
    <w:uiPriority w:val="0"/>
    <w:tblPr>
      <w:tblCellMar>
        <w:left w:w="115" w:type="dxa"/>
        <w:right w:w="115" w:type="dxa"/>
      </w:tblCellMar>
    </w:tblPr>
  </w:style>
  <w:style w:type="table" w:customStyle="1" w:styleId="57">
    <w:name w:val="192"/>
    <w:basedOn w:val="22"/>
    <w:uiPriority w:val="0"/>
    <w:tblPr>
      <w:tblCellMar>
        <w:left w:w="115" w:type="dxa"/>
        <w:right w:w="115" w:type="dxa"/>
      </w:tblCellMar>
    </w:tblPr>
  </w:style>
  <w:style w:type="table" w:customStyle="1" w:styleId="58">
    <w:name w:val="191"/>
    <w:basedOn w:val="22"/>
    <w:qFormat/>
    <w:uiPriority w:val="0"/>
    <w:pPr>
      <w:spacing w:after="0" w:line="240" w:lineRule="auto"/>
    </w:pPr>
    <w:tblPr>
      <w:tblCellMar>
        <w:top w:w="100" w:type="dxa"/>
        <w:left w:w="115" w:type="dxa"/>
        <w:bottom w:w="100" w:type="dxa"/>
        <w:right w:w="115" w:type="dxa"/>
      </w:tblCellMar>
    </w:tblPr>
  </w:style>
  <w:style w:type="table" w:customStyle="1" w:styleId="59">
    <w:name w:val="190"/>
    <w:basedOn w:val="22"/>
    <w:qFormat/>
    <w:uiPriority w:val="0"/>
    <w:pPr>
      <w:spacing w:after="0" w:line="240" w:lineRule="auto"/>
    </w:pPr>
    <w:tblPr>
      <w:tblCellMar>
        <w:top w:w="100" w:type="dxa"/>
        <w:left w:w="115" w:type="dxa"/>
        <w:bottom w:w="100" w:type="dxa"/>
        <w:right w:w="115" w:type="dxa"/>
      </w:tblCellMar>
    </w:tblPr>
  </w:style>
  <w:style w:type="table" w:customStyle="1" w:styleId="60">
    <w:name w:val="189"/>
    <w:basedOn w:val="22"/>
    <w:uiPriority w:val="0"/>
    <w:pPr>
      <w:spacing w:after="0" w:line="240" w:lineRule="auto"/>
    </w:pPr>
    <w:tblPr>
      <w:tblCellMar>
        <w:top w:w="100" w:type="dxa"/>
        <w:left w:w="115" w:type="dxa"/>
        <w:bottom w:w="100" w:type="dxa"/>
        <w:right w:w="115" w:type="dxa"/>
      </w:tblCellMar>
    </w:tblPr>
  </w:style>
  <w:style w:type="table" w:customStyle="1" w:styleId="61">
    <w:name w:val="188"/>
    <w:basedOn w:val="22"/>
    <w:qFormat/>
    <w:uiPriority w:val="0"/>
    <w:pPr>
      <w:spacing w:after="0" w:line="240" w:lineRule="auto"/>
    </w:pPr>
    <w:tblPr>
      <w:tblCellMar>
        <w:top w:w="100" w:type="dxa"/>
        <w:left w:w="115" w:type="dxa"/>
        <w:bottom w:w="100" w:type="dxa"/>
        <w:right w:w="115" w:type="dxa"/>
      </w:tblCellMar>
    </w:tblPr>
  </w:style>
  <w:style w:type="table" w:customStyle="1" w:styleId="62">
    <w:name w:val="187"/>
    <w:basedOn w:val="22"/>
    <w:qFormat/>
    <w:uiPriority w:val="0"/>
    <w:pPr>
      <w:spacing w:after="0" w:line="240" w:lineRule="auto"/>
    </w:pPr>
    <w:tblPr>
      <w:tblCellMar>
        <w:top w:w="100" w:type="dxa"/>
        <w:left w:w="115" w:type="dxa"/>
        <w:bottom w:w="100" w:type="dxa"/>
        <w:right w:w="115" w:type="dxa"/>
      </w:tblCellMar>
    </w:tblPr>
  </w:style>
  <w:style w:type="table" w:customStyle="1" w:styleId="63">
    <w:name w:val="186"/>
    <w:basedOn w:val="22"/>
    <w:qFormat/>
    <w:uiPriority w:val="0"/>
    <w:tblPr>
      <w:tblCellMar>
        <w:left w:w="115" w:type="dxa"/>
        <w:right w:w="115" w:type="dxa"/>
      </w:tblCellMar>
    </w:tblPr>
  </w:style>
  <w:style w:type="table" w:customStyle="1" w:styleId="64">
    <w:name w:val="185"/>
    <w:basedOn w:val="22"/>
    <w:uiPriority w:val="0"/>
    <w:pPr>
      <w:spacing w:after="0" w:line="240" w:lineRule="auto"/>
    </w:pPr>
    <w:tblPr>
      <w:tblCellMar>
        <w:top w:w="100" w:type="dxa"/>
        <w:left w:w="115" w:type="dxa"/>
        <w:bottom w:w="100" w:type="dxa"/>
        <w:right w:w="115" w:type="dxa"/>
      </w:tblCellMar>
    </w:tblPr>
  </w:style>
  <w:style w:type="table" w:customStyle="1" w:styleId="65">
    <w:name w:val="184"/>
    <w:basedOn w:val="22"/>
    <w:uiPriority w:val="0"/>
    <w:pPr>
      <w:spacing w:after="0" w:line="240" w:lineRule="auto"/>
    </w:pPr>
    <w:tblPr>
      <w:tblCellMar>
        <w:top w:w="100" w:type="dxa"/>
        <w:left w:w="115" w:type="dxa"/>
        <w:bottom w:w="100" w:type="dxa"/>
        <w:right w:w="115" w:type="dxa"/>
      </w:tblCellMar>
    </w:tblPr>
  </w:style>
  <w:style w:type="table" w:customStyle="1" w:styleId="66">
    <w:name w:val="183"/>
    <w:basedOn w:val="22"/>
    <w:uiPriority w:val="0"/>
    <w:pPr>
      <w:spacing w:after="0" w:line="240" w:lineRule="auto"/>
    </w:pPr>
    <w:tblPr>
      <w:tblCellMar>
        <w:top w:w="100" w:type="dxa"/>
        <w:left w:w="115" w:type="dxa"/>
        <w:bottom w:w="100" w:type="dxa"/>
        <w:right w:w="115" w:type="dxa"/>
      </w:tblCellMar>
    </w:tblPr>
  </w:style>
  <w:style w:type="table" w:customStyle="1" w:styleId="67">
    <w:name w:val="182"/>
    <w:basedOn w:val="22"/>
    <w:uiPriority w:val="0"/>
    <w:pPr>
      <w:spacing w:after="0" w:line="240" w:lineRule="auto"/>
    </w:pPr>
    <w:tblPr>
      <w:tblCellMar>
        <w:top w:w="100" w:type="dxa"/>
        <w:left w:w="115" w:type="dxa"/>
        <w:bottom w:w="100" w:type="dxa"/>
        <w:right w:w="115" w:type="dxa"/>
      </w:tblCellMar>
    </w:tblPr>
  </w:style>
  <w:style w:type="table" w:customStyle="1" w:styleId="68">
    <w:name w:val="181"/>
    <w:basedOn w:val="22"/>
    <w:uiPriority w:val="0"/>
    <w:tblPr>
      <w:tblCellMar>
        <w:left w:w="115" w:type="dxa"/>
        <w:right w:w="115" w:type="dxa"/>
      </w:tblCellMar>
    </w:tblPr>
  </w:style>
  <w:style w:type="table" w:customStyle="1" w:styleId="69">
    <w:name w:val="180"/>
    <w:basedOn w:val="22"/>
    <w:qFormat/>
    <w:uiPriority w:val="0"/>
    <w:pPr>
      <w:spacing w:after="0" w:line="240" w:lineRule="auto"/>
    </w:pPr>
    <w:tblPr>
      <w:tblCellMar>
        <w:top w:w="100" w:type="dxa"/>
        <w:left w:w="115" w:type="dxa"/>
        <w:bottom w:w="100" w:type="dxa"/>
        <w:right w:w="115" w:type="dxa"/>
      </w:tblCellMar>
    </w:tblPr>
  </w:style>
  <w:style w:type="table" w:customStyle="1" w:styleId="70">
    <w:name w:val="179"/>
    <w:basedOn w:val="22"/>
    <w:uiPriority w:val="0"/>
    <w:tblPr>
      <w:tblCellMar>
        <w:left w:w="115" w:type="dxa"/>
        <w:right w:w="115" w:type="dxa"/>
      </w:tblCellMar>
    </w:tblPr>
  </w:style>
  <w:style w:type="table" w:customStyle="1" w:styleId="71">
    <w:name w:val="178"/>
    <w:basedOn w:val="22"/>
    <w:qFormat/>
    <w:uiPriority w:val="0"/>
    <w:pPr>
      <w:spacing w:after="0" w:line="240" w:lineRule="auto"/>
    </w:pPr>
    <w:tblPr>
      <w:tblCellMar>
        <w:top w:w="100" w:type="dxa"/>
        <w:left w:w="115" w:type="dxa"/>
        <w:bottom w:w="100" w:type="dxa"/>
        <w:right w:w="115" w:type="dxa"/>
      </w:tblCellMar>
    </w:tblPr>
  </w:style>
  <w:style w:type="table" w:customStyle="1" w:styleId="72">
    <w:name w:val="177"/>
    <w:basedOn w:val="22"/>
    <w:uiPriority w:val="0"/>
    <w:pPr>
      <w:spacing w:after="0" w:line="240" w:lineRule="auto"/>
    </w:pPr>
    <w:tblPr>
      <w:tblCellMar>
        <w:top w:w="100" w:type="dxa"/>
        <w:left w:w="115" w:type="dxa"/>
        <w:bottom w:w="100" w:type="dxa"/>
        <w:right w:w="115" w:type="dxa"/>
      </w:tblCellMar>
    </w:tblPr>
  </w:style>
  <w:style w:type="table" w:customStyle="1" w:styleId="73">
    <w:name w:val="176"/>
    <w:basedOn w:val="22"/>
    <w:qFormat/>
    <w:uiPriority w:val="0"/>
    <w:pPr>
      <w:spacing w:after="0" w:line="240" w:lineRule="auto"/>
    </w:pPr>
    <w:tblPr>
      <w:tblCellMar>
        <w:top w:w="100" w:type="dxa"/>
        <w:left w:w="115" w:type="dxa"/>
        <w:bottom w:w="100" w:type="dxa"/>
        <w:right w:w="115" w:type="dxa"/>
      </w:tblCellMar>
    </w:tblPr>
  </w:style>
  <w:style w:type="table" w:customStyle="1" w:styleId="74">
    <w:name w:val="175"/>
    <w:basedOn w:val="22"/>
    <w:qFormat/>
    <w:uiPriority w:val="0"/>
    <w:pPr>
      <w:spacing w:after="0" w:line="240" w:lineRule="auto"/>
    </w:pPr>
    <w:tblPr>
      <w:tblCellMar>
        <w:top w:w="100" w:type="dxa"/>
        <w:left w:w="115" w:type="dxa"/>
        <w:bottom w:w="100" w:type="dxa"/>
        <w:right w:w="115" w:type="dxa"/>
      </w:tblCellMar>
    </w:tblPr>
  </w:style>
  <w:style w:type="table" w:customStyle="1" w:styleId="75">
    <w:name w:val="174"/>
    <w:basedOn w:val="22"/>
    <w:uiPriority w:val="0"/>
    <w:pPr>
      <w:spacing w:after="0" w:line="240" w:lineRule="auto"/>
    </w:pPr>
    <w:tblPr>
      <w:tblCellMar>
        <w:top w:w="100" w:type="dxa"/>
        <w:left w:w="115" w:type="dxa"/>
        <w:bottom w:w="100" w:type="dxa"/>
        <w:right w:w="115" w:type="dxa"/>
      </w:tblCellMar>
    </w:tblPr>
  </w:style>
  <w:style w:type="character" w:styleId="76">
    <w:name w:val="Placeholder Text"/>
    <w:basedOn w:val="17"/>
    <w:semiHidden/>
    <w:qFormat/>
    <w:uiPriority w:val="99"/>
    <w:rPr>
      <w:color w:val="808080"/>
    </w:rPr>
  </w:style>
  <w:style w:type="table" w:customStyle="1" w:styleId="77">
    <w:name w:val="173"/>
    <w:basedOn w:val="22"/>
    <w:qFormat/>
    <w:uiPriority w:val="0"/>
    <w:tblPr>
      <w:tblCellMar>
        <w:left w:w="0" w:type="dxa"/>
        <w:right w:w="0" w:type="dxa"/>
      </w:tblCellMar>
    </w:tblPr>
  </w:style>
  <w:style w:type="table" w:customStyle="1" w:styleId="78">
    <w:name w:val="172"/>
    <w:basedOn w:val="22"/>
    <w:qFormat/>
    <w:uiPriority w:val="0"/>
    <w:pPr>
      <w:spacing w:after="0" w:line="240" w:lineRule="auto"/>
    </w:pPr>
    <w:tblPr>
      <w:tblCellMar>
        <w:top w:w="100" w:type="dxa"/>
        <w:left w:w="115" w:type="dxa"/>
        <w:bottom w:w="100" w:type="dxa"/>
        <w:right w:w="115" w:type="dxa"/>
      </w:tblCellMar>
    </w:tblPr>
  </w:style>
  <w:style w:type="table" w:customStyle="1" w:styleId="79">
    <w:name w:val="171"/>
    <w:basedOn w:val="22"/>
    <w:qFormat/>
    <w:uiPriority w:val="0"/>
    <w:pPr>
      <w:spacing w:after="0" w:line="240" w:lineRule="auto"/>
    </w:pPr>
    <w:tblPr>
      <w:tblCellMar>
        <w:top w:w="100" w:type="dxa"/>
        <w:left w:w="115" w:type="dxa"/>
        <w:bottom w:w="100" w:type="dxa"/>
        <w:right w:w="115" w:type="dxa"/>
      </w:tblCellMar>
    </w:tblPr>
  </w:style>
  <w:style w:type="table" w:customStyle="1" w:styleId="80">
    <w:name w:val="170"/>
    <w:basedOn w:val="22"/>
    <w:uiPriority w:val="0"/>
    <w:pPr>
      <w:spacing w:after="0" w:line="240" w:lineRule="auto"/>
    </w:pPr>
    <w:tblPr>
      <w:tblCellMar>
        <w:top w:w="100" w:type="dxa"/>
        <w:left w:w="115" w:type="dxa"/>
        <w:bottom w:w="100" w:type="dxa"/>
        <w:right w:w="115" w:type="dxa"/>
      </w:tblCellMar>
    </w:tblPr>
  </w:style>
  <w:style w:type="table" w:customStyle="1" w:styleId="81">
    <w:name w:val="169"/>
    <w:basedOn w:val="22"/>
    <w:qFormat/>
    <w:uiPriority w:val="0"/>
    <w:pPr>
      <w:spacing w:after="0" w:line="240" w:lineRule="auto"/>
    </w:pPr>
    <w:tblPr>
      <w:tblCellMar>
        <w:top w:w="100" w:type="dxa"/>
        <w:left w:w="115" w:type="dxa"/>
        <w:bottom w:w="100" w:type="dxa"/>
        <w:right w:w="115" w:type="dxa"/>
      </w:tblCellMar>
    </w:tblPr>
  </w:style>
  <w:style w:type="table" w:customStyle="1" w:styleId="82">
    <w:name w:val="168"/>
    <w:basedOn w:val="22"/>
    <w:qFormat/>
    <w:uiPriority w:val="0"/>
    <w:pPr>
      <w:spacing w:after="0" w:line="240" w:lineRule="auto"/>
    </w:pPr>
    <w:tblPr>
      <w:tblCellMar>
        <w:top w:w="100" w:type="dxa"/>
        <w:left w:w="115" w:type="dxa"/>
        <w:bottom w:w="100" w:type="dxa"/>
        <w:right w:w="115" w:type="dxa"/>
      </w:tblCellMar>
    </w:tblPr>
  </w:style>
  <w:style w:type="table" w:customStyle="1" w:styleId="83">
    <w:name w:val="167"/>
    <w:basedOn w:val="22"/>
    <w:uiPriority w:val="0"/>
    <w:pPr>
      <w:spacing w:after="0" w:line="240" w:lineRule="auto"/>
    </w:pPr>
    <w:tblPr>
      <w:tblCellMar>
        <w:top w:w="100" w:type="dxa"/>
        <w:left w:w="115" w:type="dxa"/>
        <w:bottom w:w="100" w:type="dxa"/>
        <w:right w:w="115" w:type="dxa"/>
      </w:tblCellMar>
    </w:tblPr>
  </w:style>
  <w:style w:type="table" w:customStyle="1" w:styleId="84">
    <w:name w:val="166"/>
    <w:basedOn w:val="22"/>
    <w:qFormat/>
    <w:uiPriority w:val="0"/>
    <w:pPr>
      <w:spacing w:after="0" w:line="240" w:lineRule="auto"/>
    </w:pPr>
    <w:tblPr>
      <w:tblCellMar>
        <w:top w:w="100" w:type="dxa"/>
        <w:left w:w="115" w:type="dxa"/>
        <w:bottom w:w="100" w:type="dxa"/>
        <w:right w:w="115" w:type="dxa"/>
      </w:tblCellMar>
    </w:tblPr>
  </w:style>
  <w:style w:type="table" w:customStyle="1" w:styleId="85">
    <w:name w:val="165"/>
    <w:basedOn w:val="22"/>
    <w:qFormat/>
    <w:uiPriority w:val="0"/>
    <w:pPr>
      <w:spacing w:after="0" w:line="240" w:lineRule="auto"/>
    </w:pPr>
    <w:tblPr>
      <w:tblCellMar>
        <w:top w:w="100" w:type="dxa"/>
        <w:left w:w="115" w:type="dxa"/>
        <w:bottom w:w="100" w:type="dxa"/>
        <w:right w:w="115" w:type="dxa"/>
      </w:tblCellMar>
    </w:tblPr>
  </w:style>
  <w:style w:type="table" w:customStyle="1" w:styleId="86">
    <w:name w:val="164"/>
    <w:basedOn w:val="22"/>
    <w:qFormat/>
    <w:uiPriority w:val="0"/>
    <w:pPr>
      <w:spacing w:after="0" w:line="240" w:lineRule="auto"/>
    </w:pPr>
    <w:tblPr>
      <w:tblCellMar>
        <w:top w:w="100" w:type="dxa"/>
        <w:left w:w="115" w:type="dxa"/>
        <w:bottom w:w="100" w:type="dxa"/>
        <w:right w:w="115" w:type="dxa"/>
      </w:tblCellMar>
    </w:tblPr>
  </w:style>
  <w:style w:type="table" w:customStyle="1" w:styleId="87">
    <w:name w:val="163"/>
    <w:basedOn w:val="22"/>
    <w:qFormat/>
    <w:uiPriority w:val="0"/>
    <w:pPr>
      <w:spacing w:after="0" w:line="240" w:lineRule="auto"/>
    </w:pPr>
    <w:tblPr>
      <w:tblCellMar>
        <w:top w:w="100" w:type="dxa"/>
        <w:left w:w="115" w:type="dxa"/>
        <w:bottom w:w="100" w:type="dxa"/>
        <w:right w:w="115" w:type="dxa"/>
      </w:tblCellMar>
    </w:tblPr>
  </w:style>
  <w:style w:type="table" w:customStyle="1" w:styleId="88">
    <w:name w:val="162"/>
    <w:basedOn w:val="22"/>
    <w:uiPriority w:val="0"/>
    <w:pPr>
      <w:spacing w:after="0" w:line="240" w:lineRule="auto"/>
    </w:pPr>
    <w:tblPr>
      <w:tblCellMar>
        <w:top w:w="100" w:type="dxa"/>
        <w:left w:w="115" w:type="dxa"/>
        <w:bottom w:w="100" w:type="dxa"/>
        <w:right w:w="115" w:type="dxa"/>
      </w:tblCellMar>
    </w:tblPr>
  </w:style>
  <w:style w:type="table" w:customStyle="1" w:styleId="89">
    <w:name w:val="161"/>
    <w:basedOn w:val="22"/>
    <w:qFormat/>
    <w:uiPriority w:val="0"/>
    <w:pPr>
      <w:spacing w:after="0" w:line="240" w:lineRule="auto"/>
    </w:pPr>
    <w:tblPr>
      <w:tblCellMar>
        <w:top w:w="100" w:type="dxa"/>
        <w:left w:w="115" w:type="dxa"/>
        <w:bottom w:w="100" w:type="dxa"/>
        <w:right w:w="115" w:type="dxa"/>
      </w:tblCellMar>
    </w:tblPr>
  </w:style>
  <w:style w:type="table" w:customStyle="1" w:styleId="90">
    <w:name w:val="160"/>
    <w:basedOn w:val="22"/>
    <w:qFormat/>
    <w:uiPriority w:val="0"/>
    <w:pPr>
      <w:spacing w:after="0" w:line="240" w:lineRule="auto"/>
    </w:pPr>
    <w:tblPr>
      <w:tblCellMar>
        <w:top w:w="100" w:type="dxa"/>
        <w:left w:w="115" w:type="dxa"/>
        <w:bottom w:w="100" w:type="dxa"/>
        <w:right w:w="115" w:type="dxa"/>
      </w:tblCellMar>
    </w:tblPr>
  </w:style>
  <w:style w:type="table" w:customStyle="1" w:styleId="91">
    <w:name w:val="159"/>
    <w:basedOn w:val="22"/>
    <w:qFormat/>
    <w:uiPriority w:val="0"/>
    <w:pPr>
      <w:spacing w:after="0" w:line="240" w:lineRule="auto"/>
    </w:pPr>
    <w:tblPr>
      <w:tblCellMar>
        <w:top w:w="100" w:type="dxa"/>
        <w:left w:w="115" w:type="dxa"/>
        <w:bottom w:w="100" w:type="dxa"/>
        <w:right w:w="115" w:type="dxa"/>
      </w:tblCellMar>
    </w:tblPr>
  </w:style>
  <w:style w:type="table" w:customStyle="1" w:styleId="92">
    <w:name w:val="158"/>
    <w:basedOn w:val="22"/>
    <w:qFormat/>
    <w:uiPriority w:val="0"/>
    <w:pPr>
      <w:spacing w:after="0" w:line="240" w:lineRule="auto"/>
    </w:pPr>
    <w:tblPr>
      <w:tblCellMar>
        <w:top w:w="100" w:type="dxa"/>
        <w:left w:w="115" w:type="dxa"/>
        <w:bottom w:w="100" w:type="dxa"/>
        <w:right w:w="115" w:type="dxa"/>
      </w:tblCellMar>
    </w:tblPr>
  </w:style>
  <w:style w:type="table" w:customStyle="1" w:styleId="93">
    <w:name w:val="157"/>
    <w:basedOn w:val="22"/>
    <w:qFormat/>
    <w:uiPriority w:val="0"/>
    <w:pPr>
      <w:spacing w:after="0" w:line="240" w:lineRule="auto"/>
    </w:pPr>
    <w:tblPr>
      <w:tblCellMar>
        <w:top w:w="100" w:type="dxa"/>
        <w:left w:w="115" w:type="dxa"/>
        <w:bottom w:w="100" w:type="dxa"/>
        <w:right w:w="115" w:type="dxa"/>
      </w:tblCellMar>
    </w:tblPr>
  </w:style>
  <w:style w:type="table" w:customStyle="1" w:styleId="94">
    <w:name w:val="156"/>
    <w:basedOn w:val="22"/>
    <w:qFormat/>
    <w:uiPriority w:val="0"/>
    <w:pPr>
      <w:spacing w:after="0" w:line="240" w:lineRule="auto"/>
    </w:pPr>
    <w:tblPr>
      <w:tblCellMar>
        <w:top w:w="100" w:type="dxa"/>
        <w:left w:w="115" w:type="dxa"/>
        <w:bottom w:w="100" w:type="dxa"/>
        <w:right w:w="115" w:type="dxa"/>
      </w:tblCellMar>
    </w:tblPr>
  </w:style>
  <w:style w:type="table" w:customStyle="1" w:styleId="95">
    <w:name w:val="155"/>
    <w:basedOn w:val="22"/>
    <w:qFormat/>
    <w:uiPriority w:val="0"/>
    <w:pPr>
      <w:spacing w:after="0" w:line="240" w:lineRule="auto"/>
    </w:pPr>
    <w:tblPr>
      <w:tblCellMar>
        <w:top w:w="100" w:type="dxa"/>
        <w:left w:w="115" w:type="dxa"/>
        <w:bottom w:w="100" w:type="dxa"/>
        <w:right w:w="115" w:type="dxa"/>
      </w:tblCellMar>
    </w:tblPr>
  </w:style>
  <w:style w:type="table" w:customStyle="1" w:styleId="96">
    <w:name w:val="154"/>
    <w:basedOn w:val="22"/>
    <w:qFormat/>
    <w:uiPriority w:val="0"/>
    <w:pPr>
      <w:spacing w:after="0" w:line="240" w:lineRule="auto"/>
    </w:pPr>
    <w:tblPr>
      <w:tblCellMar>
        <w:top w:w="100" w:type="dxa"/>
        <w:left w:w="115" w:type="dxa"/>
        <w:bottom w:w="100" w:type="dxa"/>
        <w:right w:w="115" w:type="dxa"/>
      </w:tblCellMar>
    </w:tblPr>
  </w:style>
  <w:style w:type="table" w:customStyle="1" w:styleId="97">
    <w:name w:val="153"/>
    <w:basedOn w:val="22"/>
    <w:uiPriority w:val="0"/>
    <w:pPr>
      <w:spacing w:after="0" w:line="240" w:lineRule="auto"/>
    </w:pPr>
    <w:tblPr>
      <w:tblCellMar>
        <w:top w:w="100" w:type="dxa"/>
        <w:left w:w="115" w:type="dxa"/>
        <w:bottom w:w="100" w:type="dxa"/>
        <w:right w:w="115" w:type="dxa"/>
      </w:tblCellMar>
    </w:tblPr>
  </w:style>
  <w:style w:type="table" w:customStyle="1" w:styleId="98">
    <w:name w:val="152"/>
    <w:basedOn w:val="22"/>
    <w:qFormat/>
    <w:uiPriority w:val="0"/>
    <w:pPr>
      <w:spacing w:after="0" w:line="240" w:lineRule="auto"/>
    </w:pPr>
    <w:tblPr>
      <w:tblCellMar>
        <w:top w:w="100" w:type="dxa"/>
        <w:left w:w="115" w:type="dxa"/>
        <w:bottom w:w="100" w:type="dxa"/>
        <w:right w:w="115" w:type="dxa"/>
      </w:tblCellMar>
    </w:tblPr>
  </w:style>
  <w:style w:type="table" w:customStyle="1" w:styleId="99">
    <w:name w:val="151"/>
    <w:basedOn w:val="22"/>
    <w:qFormat/>
    <w:uiPriority w:val="0"/>
    <w:pPr>
      <w:spacing w:after="0" w:line="240" w:lineRule="auto"/>
    </w:pPr>
    <w:tblPr>
      <w:tblCellMar>
        <w:top w:w="100" w:type="dxa"/>
        <w:left w:w="115" w:type="dxa"/>
        <w:bottom w:w="100" w:type="dxa"/>
        <w:right w:w="115" w:type="dxa"/>
      </w:tblCellMar>
    </w:tblPr>
  </w:style>
  <w:style w:type="table" w:customStyle="1" w:styleId="100">
    <w:name w:val="150"/>
    <w:basedOn w:val="22"/>
    <w:qFormat/>
    <w:uiPriority w:val="0"/>
    <w:pPr>
      <w:spacing w:after="0" w:line="240" w:lineRule="auto"/>
    </w:pPr>
    <w:tblPr>
      <w:tblCellMar>
        <w:top w:w="100" w:type="dxa"/>
        <w:left w:w="115" w:type="dxa"/>
        <w:bottom w:w="100" w:type="dxa"/>
        <w:right w:w="115" w:type="dxa"/>
      </w:tblCellMar>
    </w:tblPr>
  </w:style>
  <w:style w:type="table" w:customStyle="1" w:styleId="101">
    <w:name w:val="149"/>
    <w:basedOn w:val="22"/>
    <w:qFormat/>
    <w:uiPriority w:val="0"/>
    <w:pPr>
      <w:spacing w:after="0" w:line="240" w:lineRule="auto"/>
    </w:pPr>
    <w:tblPr>
      <w:tblCellMar>
        <w:top w:w="100" w:type="dxa"/>
        <w:left w:w="115" w:type="dxa"/>
        <w:bottom w:w="100" w:type="dxa"/>
        <w:right w:w="115" w:type="dxa"/>
      </w:tblCellMar>
    </w:tblPr>
  </w:style>
  <w:style w:type="table" w:customStyle="1" w:styleId="102">
    <w:name w:val="148"/>
    <w:basedOn w:val="22"/>
    <w:qFormat/>
    <w:uiPriority w:val="0"/>
    <w:tblPr>
      <w:tblCellMar>
        <w:left w:w="0" w:type="dxa"/>
        <w:right w:w="0" w:type="dxa"/>
      </w:tblCellMar>
    </w:tblPr>
  </w:style>
  <w:style w:type="table" w:customStyle="1" w:styleId="103">
    <w:name w:val="147"/>
    <w:basedOn w:val="22"/>
    <w:qFormat/>
    <w:uiPriority w:val="0"/>
    <w:tblPr>
      <w:tblCellMar>
        <w:left w:w="115" w:type="dxa"/>
        <w:right w:w="115" w:type="dxa"/>
      </w:tblCellMar>
    </w:tblPr>
  </w:style>
  <w:style w:type="table" w:customStyle="1" w:styleId="104">
    <w:name w:val="146"/>
    <w:basedOn w:val="22"/>
    <w:qFormat/>
    <w:uiPriority w:val="0"/>
    <w:pPr>
      <w:spacing w:after="0" w:line="240" w:lineRule="auto"/>
    </w:pPr>
    <w:tblPr>
      <w:tblCellMar>
        <w:top w:w="100" w:type="dxa"/>
        <w:left w:w="115" w:type="dxa"/>
        <w:bottom w:w="100" w:type="dxa"/>
        <w:right w:w="115" w:type="dxa"/>
      </w:tblCellMar>
    </w:tblPr>
  </w:style>
  <w:style w:type="table" w:customStyle="1" w:styleId="105">
    <w:name w:val="145"/>
    <w:basedOn w:val="22"/>
    <w:qFormat/>
    <w:uiPriority w:val="0"/>
    <w:pPr>
      <w:spacing w:after="0" w:line="240" w:lineRule="auto"/>
    </w:pPr>
    <w:tblPr>
      <w:tblCellMar>
        <w:top w:w="100" w:type="dxa"/>
        <w:left w:w="115" w:type="dxa"/>
        <w:bottom w:w="100" w:type="dxa"/>
        <w:right w:w="115" w:type="dxa"/>
      </w:tblCellMar>
    </w:tblPr>
  </w:style>
  <w:style w:type="table" w:customStyle="1" w:styleId="106">
    <w:name w:val="144"/>
    <w:basedOn w:val="22"/>
    <w:qFormat/>
    <w:uiPriority w:val="0"/>
    <w:pPr>
      <w:spacing w:after="0" w:line="240" w:lineRule="auto"/>
    </w:pPr>
    <w:tblPr>
      <w:tblCellMar>
        <w:top w:w="100" w:type="dxa"/>
        <w:left w:w="115" w:type="dxa"/>
        <w:bottom w:w="100" w:type="dxa"/>
        <w:right w:w="115" w:type="dxa"/>
      </w:tblCellMar>
    </w:tblPr>
  </w:style>
  <w:style w:type="table" w:customStyle="1" w:styleId="107">
    <w:name w:val="143"/>
    <w:basedOn w:val="22"/>
    <w:qFormat/>
    <w:uiPriority w:val="0"/>
    <w:pPr>
      <w:spacing w:after="0" w:line="240" w:lineRule="auto"/>
    </w:pPr>
    <w:tblPr>
      <w:tblCellMar>
        <w:top w:w="100" w:type="dxa"/>
        <w:left w:w="115" w:type="dxa"/>
        <w:bottom w:w="100" w:type="dxa"/>
        <w:right w:w="115" w:type="dxa"/>
      </w:tblCellMar>
    </w:tblPr>
  </w:style>
  <w:style w:type="table" w:customStyle="1" w:styleId="108">
    <w:name w:val="142"/>
    <w:basedOn w:val="22"/>
    <w:qFormat/>
    <w:uiPriority w:val="0"/>
    <w:pPr>
      <w:spacing w:after="0" w:line="240" w:lineRule="auto"/>
    </w:pPr>
    <w:tblPr>
      <w:tblCellMar>
        <w:top w:w="100" w:type="dxa"/>
        <w:left w:w="115" w:type="dxa"/>
        <w:bottom w:w="100" w:type="dxa"/>
        <w:right w:w="115" w:type="dxa"/>
      </w:tblCellMar>
    </w:tblPr>
  </w:style>
  <w:style w:type="table" w:customStyle="1" w:styleId="109">
    <w:name w:val="141"/>
    <w:basedOn w:val="22"/>
    <w:qFormat/>
    <w:uiPriority w:val="0"/>
    <w:pPr>
      <w:spacing w:after="0" w:line="240" w:lineRule="auto"/>
    </w:pPr>
    <w:tblPr>
      <w:tblCellMar>
        <w:top w:w="100" w:type="dxa"/>
        <w:left w:w="115" w:type="dxa"/>
        <w:bottom w:w="100" w:type="dxa"/>
        <w:right w:w="115" w:type="dxa"/>
      </w:tblCellMar>
    </w:tblPr>
  </w:style>
  <w:style w:type="table" w:customStyle="1" w:styleId="110">
    <w:name w:val="140"/>
    <w:basedOn w:val="22"/>
    <w:qFormat/>
    <w:uiPriority w:val="0"/>
    <w:pPr>
      <w:spacing w:after="0" w:line="240" w:lineRule="auto"/>
    </w:pPr>
    <w:tblPr>
      <w:tblCellMar>
        <w:top w:w="100" w:type="dxa"/>
        <w:left w:w="115" w:type="dxa"/>
        <w:bottom w:w="100" w:type="dxa"/>
        <w:right w:w="115" w:type="dxa"/>
      </w:tblCellMar>
    </w:tblPr>
  </w:style>
  <w:style w:type="table" w:customStyle="1" w:styleId="111">
    <w:name w:val="139"/>
    <w:basedOn w:val="22"/>
    <w:qFormat/>
    <w:uiPriority w:val="0"/>
    <w:pPr>
      <w:spacing w:after="0" w:line="240" w:lineRule="auto"/>
    </w:pPr>
    <w:tblPr>
      <w:tblCellMar>
        <w:top w:w="100" w:type="dxa"/>
        <w:left w:w="115" w:type="dxa"/>
        <w:bottom w:w="100" w:type="dxa"/>
        <w:right w:w="115" w:type="dxa"/>
      </w:tblCellMar>
    </w:tblPr>
  </w:style>
  <w:style w:type="table" w:customStyle="1" w:styleId="112">
    <w:name w:val="138"/>
    <w:basedOn w:val="22"/>
    <w:qFormat/>
    <w:uiPriority w:val="0"/>
    <w:pPr>
      <w:spacing w:after="0" w:line="240" w:lineRule="auto"/>
    </w:pPr>
    <w:tblPr>
      <w:tblCellMar>
        <w:top w:w="100" w:type="dxa"/>
        <w:left w:w="115" w:type="dxa"/>
        <w:bottom w:w="100" w:type="dxa"/>
        <w:right w:w="115" w:type="dxa"/>
      </w:tblCellMar>
    </w:tblPr>
  </w:style>
  <w:style w:type="table" w:customStyle="1" w:styleId="113">
    <w:name w:val="137"/>
    <w:basedOn w:val="22"/>
    <w:qFormat/>
    <w:uiPriority w:val="0"/>
    <w:pPr>
      <w:spacing w:after="0" w:line="240" w:lineRule="auto"/>
    </w:pPr>
    <w:tblPr>
      <w:tblCellMar>
        <w:top w:w="100" w:type="dxa"/>
        <w:left w:w="115" w:type="dxa"/>
        <w:bottom w:w="100" w:type="dxa"/>
        <w:right w:w="115" w:type="dxa"/>
      </w:tblCellMar>
    </w:tblPr>
  </w:style>
  <w:style w:type="table" w:customStyle="1" w:styleId="114">
    <w:name w:val="136"/>
    <w:basedOn w:val="22"/>
    <w:qFormat/>
    <w:uiPriority w:val="0"/>
    <w:pPr>
      <w:spacing w:after="0" w:line="240" w:lineRule="auto"/>
    </w:pPr>
    <w:tblPr>
      <w:tblCellMar>
        <w:top w:w="100" w:type="dxa"/>
        <w:left w:w="115" w:type="dxa"/>
        <w:bottom w:w="100" w:type="dxa"/>
        <w:right w:w="115" w:type="dxa"/>
      </w:tblCellMar>
    </w:tblPr>
  </w:style>
  <w:style w:type="table" w:customStyle="1" w:styleId="115">
    <w:name w:val="135"/>
    <w:basedOn w:val="22"/>
    <w:qFormat/>
    <w:uiPriority w:val="0"/>
    <w:pPr>
      <w:spacing w:after="0" w:line="240" w:lineRule="auto"/>
    </w:pPr>
    <w:tblPr>
      <w:tblCellMar>
        <w:top w:w="100" w:type="dxa"/>
        <w:left w:w="115" w:type="dxa"/>
        <w:bottom w:w="100" w:type="dxa"/>
        <w:right w:w="115" w:type="dxa"/>
      </w:tblCellMar>
    </w:tblPr>
  </w:style>
  <w:style w:type="table" w:customStyle="1" w:styleId="116">
    <w:name w:val="134"/>
    <w:basedOn w:val="22"/>
    <w:qFormat/>
    <w:uiPriority w:val="0"/>
    <w:pPr>
      <w:spacing w:after="0" w:line="240" w:lineRule="auto"/>
    </w:pPr>
    <w:tblPr>
      <w:tblCellMar>
        <w:top w:w="100" w:type="dxa"/>
        <w:left w:w="115" w:type="dxa"/>
        <w:bottom w:w="100" w:type="dxa"/>
        <w:right w:w="115" w:type="dxa"/>
      </w:tblCellMar>
    </w:tblPr>
  </w:style>
  <w:style w:type="table" w:customStyle="1" w:styleId="117">
    <w:name w:val="133"/>
    <w:basedOn w:val="22"/>
    <w:qFormat/>
    <w:uiPriority w:val="0"/>
    <w:pPr>
      <w:spacing w:after="0" w:line="240" w:lineRule="auto"/>
    </w:pPr>
    <w:tblPr>
      <w:tblCellMar>
        <w:top w:w="100" w:type="dxa"/>
        <w:left w:w="115" w:type="dxa"/>
        <w:bottom w:w="100" w:type="dxa"/>
        <w:right w:w="115" w:type="dxa"/>
      </w:tblCellMar>
    </w:tblPr>
  </w:style>
  <w:style w:type="table" w:customStyle="1" w:styleId="118">
    <w:name w:val="132"/>
    <w:basedOn w:val="22"/>
    <w:qFormat/>
    <w:uiPriority w:val="0"/>
    <w:pPr>
      <w:spacing w:after="0" w:line="240" w:lineRule="auto"/>
    </w:pPr>
    <w:tblPr>
      <w:tblCellMar>
        <w:top w:w="100" w:type="dxa"/>
        <w:left w:w="115" w:type="dxa"/>
        <w:bottom w:w="100" w:type="dxa"/>
        <w:right w:w="115" w:type="dxa"/>
      </w:tblCellMar>
    </w:tblPr>
  </w:style>
  <w:style w:type="table" w:customStyle="1" w:styleId="119">
    <w:name w:val="131"/>
    <w:basedOn w:val="22"/>
    <w:qFormat/>
    <w:uiPriority w:val="0"/>
    <w:pPr>
      <w:spacing w:after="0" w:line="240" w:lineRule="auto"/>
    </w:pPr>
    <w:tblPr>
      <w:tblCellMar>
        <w:top w:w="100" w:type="dxa"/>
        <w:left w:w="115" w:type="dxa"/>
        <w:bottom w:w="100" w:type="dxa"/>
        <w:right w:w="115" w:type="dxa"/>
      </w:tblCellMar>
    </w:tblPr>
  </w:style>
  <w:style w:type="table" w:customStyle="1" w:styleId="120">
    <w:name w:val="130"/>
    <w:basedOn w:val="22"/>
    <w:qFormat/>
    <w:uiPriority w:val="0"/>
    <w:pPr>
      <w:spacing w:after="0" w:line="240" w:lineRule="auto"/>
    </w:pPr>
    <w:tblPr>
      <w:tblCellMar>
        <w:top w:w="100" w:type="dxa"/>
        <w:left w:w="115" w:type="dxa"/>
        <w:bottom w:w="100" w:type="dxa"/>
        <w:right w:w="115" w:type="dxa"/>
      </w:tblCellMar>
    </w:tblPr>
  </w:style>
  <w:style w:type="table" w:customStyle="1" w:styleId="121">
    <w:name w:val="129"/>
    <w:basedOn w:val="22"/>
    <w:qFormat/>
    <w:uiPriority w:val="0"/>
    <w:pPr>
      <w:spacing w:after="0" w:line="240" w:lineRule="auto"/>
    </w:pPr>
    <w:tblPr>
      <w:tblCellMar>
        <w:top w:w="100" w:type="dxa"/>
        <w:left w:w="115" w:type="dxa"/>
        <w:bottom w:w="100" w:type="dxa"/>
        <w:right w:w="115" w:type="dxa"/>
      </w:tblCellMar>
    </w:tblPr>
  </w:style>
  <w:style w:type="table" w:customStyle="1" w:styleId="122">
    <w:name w:val="128"/>
    <w:basedOn w:val="22"/>
    <w:qFormat/>
    <w:uiPriority w:val="0"/>
    <w:pPr>
      <w:spacing w:after="0" w:line="240" w:lineRule="auto"/>
    </w:pPr>
    <w:tblPr>
      <w:tblCellMar>
        <w:top w:w="100" w:type="dxa"/>
        <w:left w:w="115" w:type="dxa"/>
        <w:bottom w:w="100" w:type="dxa"/>
        <w:right w:w="115" w:type="dxa"/>
      </w:tblCellMar>
    </w:tblPr>
  </w:style>
  <w:style w:type="table" w:customStyle="1" w:styleId="123">
    <w:name w:val="127"/>
    <w:basedOn w:val="22"/>
    <w:qFormat/>
    <w:uiPriority w:val="0"/>
    <w:pPr>
      <w:spacing w:after="0" w:line="240" w:lineRule="auto"/>
    </w:pPr>
    <w:tblPr>
      <w:tblCellMar>
        <w:top w:w="100" w:type="dxa"/>
        <w:left w:w="115" w:type="dxa"/>
        <w:bottom w:w="100" w:type="dxa"/>
        <w:right w:w="115" w:type="dxa"/>
      </w:tblCellMar>
    </w:tblPr>
  </w:style>
  <w:style w:type="table" w:customStyle="1" w:styleId="124">
    <w:name w:val="126"/>
    <w:basedOn w:val="22"/>
    <w:qFormat/>
    <w:uiPriority w:val="0"/>
    <w:pPr>
      <w:spacing w:after="0" w:line="240" w:lineRule="auto"/>
    </w:pPr>
    <w:tblPr>
      <w:tblCellMar>
        <w:top w:w="100" w:type="dxa"/>
        <w:left w:w="115" w:type="dxa"/>
        <w:bottom w:w="100" w:type="dxa"/>
        <w:right w:w="115" w:type="dxa"/>
      </w:tblCellMar>
    </w:tblPr>
  </w:style>
  <w:style w:type="table" w:customStyle="1" w:styleId="125">
    <w:name w:val="125"/>
    <w:basedOn w:val="22"/>
    <w:qFormat/>
    <w:uiPriority w:val="0"/>
    <w:pPr>
      <w:spacing w:after="0" w:line="240" w:lineRule="auto"/>
    </w:pPr>
    <w:tblPr>
      <w:tblCellMar>
        <w:top w:w="100" w:type="dxa"/>
        <w:left w:w="115" w:type="dxa"/>
        <w:bottom w:w="100" w:type="dxa"/>
        <w:right w:w="115" w:type="dxa"/>
      </w:tblCellMar>
    </w:tblPr>
  </w:style>
  <w:style w:type="table" w:customStyle="1" w:styleId="126">
    <w:name w:val="124"/>
    <w:basedOn w:val="22"/>
    <w:qFormat/>
    <w:uiPriority w:val="0"/>
    <w:pPr>
      <w:spacing w:after="0" w:line="240" w:lineRule="auto"/>
    </w:pPr>
    <w:tblPr>
      <w:tblCellMar>
        <w:top w:w="100" w:type="dxa"/>
        <w:left w:w="115" w:type="dxa"/>
        <w:bottom w:w="100" w:type="dxa"/>
        <w:right w:w="115" w:type="dxa"/>
      </w:tblCellMar>
    </w:tblPr>
  </w:style>
  <w:style w:type="table" w:customStyle="1" w:styleId="127">
    <w:name w:val="123"/>
    <w:basedOn w:val="22"/>
    <w:qFormat/>
    <w:uiPriority w:val="0"/>
    <w:pPr>
      <w:spacing w:after="0" w:line="240" w:lineRule="auto"/>
    </w:pPr>
    <w:tblPr>
      <w:tblCellMar>
        <w:top w:w="100" w:type="dxa"/>
        <w:left w:w="115" w:type="dxa"/>
        <w:bottom w:w="100" w:type="dxa"/>
        <w:right w:w="115" w:type="dxa"/>
      </w:tblCellMar>
    </w:tblPr>
  </w:style>
  <w:style w:type="table" w:customStyle="1" w:styleId="128">
    <w:name w:val="122"/>
    <w:basedOn w:val="22"/>
    <w:qFormat/>
    <w:uiPriority w:val="0"/>
    <w:tblPr>
      <w:tblCellMar>
        <w:left w:w="0" w:type="dxa"/>
        <w:right w:w="0" w:type="dxa"/>
      </w:tblCellMar>
    </w:tblPr>
  </w:style>
  <w:style w:type="table" w:customStyle="1" w:styleId="129">
    <w:name w:val="121"/>
    <w:basedOn w:val="22"/>
    <w:qFormat/>
    <w:uiPriority w:val="0"/>
    <w:pPr>
      <w:spacing w:after="0" w:line="240" w:lineRule="auto"/>
    </w:pPr>
    <w:tblPr>
      <w:tblCellMar>
        <w:top w:w="100" w:type="dxa"/>
        <w:left w:w="115" w:type="dxa"/>
        <w:bottom w:w="100" w:type="dxa"/>
        <w:right w:w="115" w:type="dxa"/>
      </w:tblCellMar>
    </w:tblPr>
  </w:style>
  <w:style w:type="table" w:customStyle="1" w:styleId="130">
    <w:name w:val="120"/>
    <w:basedOn w:val="22"/>
    <w:qFormat/>
    <w:uiPriority w:val="0"/>
    <w:pPr>
      <w:spacing w:after="0" w:line="240" w:lineRule="auto"/>
    </w:pPr>
    <w:tblPr>
      <w:tblCellMar>
        <w:top w:w="100" w:type="dxa"/>
        <w:left w:w="115" w:type="dxa"/>
        <w:bottom w:w="100" w:type="dxa"/>
        <w:right w:w="115" w:type="dxa"/>
      </w:tblCellMar>
    </w:tblPr>
  </w:style>
  <w:style w:type="table" w:customStyle="1" w:styleId="131">
    <w:name w:val="119"/>
    <w:basedOn w:val="22"/>
    <w:qFormat/>
    <w:uiPriority w:val="0"/>
    <w:pPr>
      <w:spacing w:after="0" w:line="240" w:lineRule="auto"/>
    </w:pPr>
    <w:tblPr>
      <w:tblCellMar>
        <w:top w:w="100" w:type="dxa"/>
        <w:left w:w="115" w:type="dxa"/>
        <w:bottom w:w="100" w:type="dxa"/>
        <w:right w:w="115" w:type="dxa"/>
      </w:tblCellMar>
    </w:tblPr>
  </w:style>
  <w:style w:type="table" w:customStyle="1" w:styleId="132">
    <w:name w:val="118"/>
    <w:basedOn w:val="22"/>
    <w:qFormat/>
    <w:uiPriority w:val="0"/>
    <w:pPr>
      <w:spacing w:after="0" w:line="240" w:lineRule="auto"/>
    </w:pPr>
    <w:tblPr>
      <w:tblCellMar>
        <w:top w:w="100" w:type="dxa"/>
        <w:left w:w="115" w:type="dxa"/>
        <w:bottom w:w="100" w:type="dxa"/>
        <w:right w:w="115" w:type="dxa"/>
      </w:tblCellMar>
    </w:tblPr>
  </w:style>
  <w:style w:type="table" w:customStyle="1" w:styleId="133">
    <w:name w:val="117"/>
    <w:basedOn w:val="22"/>
    <w:qFormat/>
    <w:uiPriority w:val="0"/>
    <w:pPr>
      <w:spacing w:after="0" w:line="240" w:lineRule="auto"/>
    </w:pPr>
    <w:tblPr>
      <w:tblCellMar>
        <w:top w:w="100" w:type="dxa"/>
        <w:left w:w="115" w:type="dxa"/>
        <w:bottom w:w="100" w:type="dxa"/>
        <w:right w:w="115" w:type="dxa"/>
      </w:tblCellMar>
    </w:tblPr>
  </w:style>
  <w:style w:type="table" w:customStyle="1" w:styleId="134">
    <w:name w:val="116"/>
    <w:basedOn w:val="22"/>
    <w:qFormat/>
    <w:uiPriority w:val="0"/>
    <w:pPr>
      <w:spacing w:after="0" w:line="240" w:lineRule="auto"/>
    </w:pPr>
    <w:tblPr>
      <w:tblCellMar>
        <w:top w:w="100" w:type="dxa"/>
        <w:left w:w="115" w:type="dxa"/>
        <w:bottom w:w="100" w:type="dxa"/>
        <w:right w:w="115" w:type="dxa"/>
      </w:tblCellMar>
    </w:tblPr>
  </w:style>
  <w:style w:type="table" w:customStyle="1" w:styleId="135">
    <w:name w:val="115"/>
    <w:basedOn w:val="22"/>
    <w:qFormat/>
    <w:uiPriority w:val="0"/>
    <w:pPr>
      <w:spacing w:after="0" w:line="240" w:lineRule="auto"/>
    </w:pPr>
    <w:tblPr>
      <w:tblCellMar>
        <w:top w:w="100" w:type="dxa"/>
        <w:left w:w="115" w:type="dxa"/>
        <w:bottom w:w="100" w:type="dxa"/>
        <w:right w:w="115" w:type="dxa"/>
      </w:tblCellMar>
    </w:tblPr>
  </w:style>
  <w:style w:type="table" w:customStyle="1" w:styleId="136">
    <w:name w:val="114"/>
    <w:basedOn w:val="22"/>
    <w:qFormat/>
    <w:uiPriority w:val="0"/>
    <w:pPr>
      <w:spacing w:after="0" w:line="240" w:lineRule="auto"/>
    </w:pPr>
    <w:tblPr>
      <w:tblCellMar>
        <w:top w:w="100" w:type="dxa"/>
        <w:left w:w="115" w:type="dxa"/>
        <w:bottom w:w="100" w:type="dxa"/>
        <w:right w:w="115" w:type="dxa"/>
      </w:tblCellMar>
    </w:tblPr>
  </w:style>
  <w:style w:type="table" w:customStyle="1" w:styleId="137">
    <w:name w:val="113"/>
    <w:basedOn w:val="22"/>
    <w:qFormat/>
    <w:uiPriority w:val="0"/>
    <w:pPr>
      <w:spacing w:after="0" w:line="240" w:lineRule="auto"/>
    </w:pPr>
    <w:tblPr>
      <w:tblCellMar>
        <w:top w:w="100" w:type="dxa"/>
        <w:left w:w="115" w:type="dxa"/>
        <w:bottom w:w="100" w:type="dxa"/>
        <w:right w:w="115" w:type="dxa"/>
      </w:tblCellMar>
    </w:tblPr>
  </w:style>
  <w:style w:type="table" w:customStyle="1" w:styleId="138">
    <w:name w:val="112"/>
    <w:basedOn w:val="22"/>
    <w:qFormat/>
    <w:uiPriority w:val="0"/>
    <w:pPr>
      <w:spacing w:after="0" w:line="240" w:lineRule="auto"/>
    </w:pPr>
    <w:tblPr>
      <w:tblCellMar>
        <w:top w:w="100" w:type="dxa"/>
        <w:left w:w="115" w:type="dxa"/>
        <w:bottom w:w="100" w:type="dxa"/>
        <w:right w:w="115" w:type="dxa"/>
      </w:tblCellMar>
    </w:tblPr>
  </w:style>
  <w:style w:type="table" w:customStyle="1" w:styleId="139">
    <w:name w:val="111"/>
    <w:basedOn w:val="22"/>
    <w:qFormat/>
    <w:uiPriority w:val="0"/>
    <w:pPr>
      <w:spacing w:after="0" w:line="240" w:lineRule="auto"/>
    </w:pPr>
    <w:tblPr>
      <w:tblCellMar>
        <w:top w:w="100" w:type="dxa"/>
        <w:left w:w="115" w:type="dxa"/>
        <w:bottom w:w="100" w:type="dxa"/>
        <w:right w:w="115" w:type="dxa"/>
      </w:tblCellMar>
    </w:tblPr>
  </w:style>
  <w:style w:type="table" w:customStyle="1" w:styleId="140">
    <w:name w:val="110"/>
    <w:basedOn w:val="22"/>
    <w:qFormat/>
    <w:uiPriority w:val="0"/>
    <w:pPr>
      <w:spacing w:after="0" w:line="240" w:lineRule="auto"/>
    </w:pPr>
    <w:tblPr>
      <w:tblCellMar>
        <w:top w:w="100" w:type="dxa"/>
        <w:left w:w="115" w:type="dxa"/>
        <w:bottom w:w="100" w:type="dxa"/>
        <w:right w:w="115" w:type="dxa"/>
      </w:tblCellMar>
    </w:tblPr>
  </w:style>
  <w:style w:type="table" w:customStyle="1" w:styleId="141">
    <w:name w:val="109"/>
    <w:basedOn w:val="22"/>
    <w:qFormat/>
    <w:uiPriority w:val="0"/>
    <w:pPr>
      <w:spacing w:after="0" w:line="240" w:lineRule="auto"/>
    </w:pPr>
    <w:tblPr>
      <w:tblCellMar>
        <w:top w:w="100" w:type="dxa"/>
        <w:left w:w="115" w:type="dxa"/>
        <w:bottom w:w="100" w:type="dxa"/>
        <w:right w:w="115" w:type="dxa"/>
      </w:tblCellMar>
    </w:tblPr>
  </w:style>
  <w:style w:type="table" w:customStyle="1" w:styleId="142">
    <w:name w:val="108"/>
    <w:basedOn w:val="22"/>
    <w:qFormat/>
    <w:uiPriority w:val="0"/>
    <w:pPr>
      <w:spacing w:after="0" w:line="240" w:lineRule="auto"/>
    </w:pPr>
    <w:tblPr>
      <w:tblCellMar>
        <w:top w:w="100" w:type="dxa"/>
        <w:left w:w="115" w:type="dxa"/>
        <w:bottom w:w="100" w:type="dxa"/>
        <w:right w:w="115" w:type="dxa"/>
      </w:tblCellMar>
    </w:tblPr>
  </w:style>
  <w:style w:type="table" w:customStyle="1" w:styleId="143">
    <w:name w:val="107"/>
    <w:basedOn w:val="22"/>
    <w:qFormat/>
    <w:uiPriority w:val="0"/>
    <w:pPr>
      <w:spacing w:after="0" w:line="240" w:lineRule="auto"/>
    </w:pPr>
    <w:tblPr>
      <w:tblCellMar>
        <w:top w:w="100" w:type="dxa"/>
        <w:left w:w="115" w:type="dxa"/>
        <w:bottom w:w="100" w:type="dxa"/>
        <w:right w:w="115" w:type="dxa"/>
      </w:tblCellMar>
    </w:tblPr>
  </w:style>
  <w:style w:type="table" w:customStyle="1" w:styleId="144">
    <w:name w:val="106"/>
    <w:basedOn w:val="22"/>
    <w:qFormat/>
    <w:uiPriority w:val="0"/>
    <w:pPr>
      <w:spacing w:after="0" w:line="240" w:lineRule="auto"/>
    </w:pPr>
    <w:tblPr>
      <w:tblCellMar>
        <w:top w:w="100" w:type="dxa"/>
        <w:left w:w="115" w:type="dxa"/>
        <w:bottom w:w="100" w:type="dxa"/>
        <w:right w:w="115" w:type="dxa"/>
      </w:tblCellMar>
    </w:tblPr>
  </w:style>
  <w:style w:type="table" w:customStyle="1" w:styleId="145">
    <w:name w:val="105"/>
    <w:basedOn w:val="22"/>
    <w:qFormat/>
    <w:uiPriority w:val="0"/>
    <w:pPr>
      <w:spacing w:after="0" w:line="240" w:lineRule="auto"/>
    </w:pPr>
    <w:tblPr>
      <w:tblCellMar>
        <w:top w:w="100" w:type="dxa"/>
        <w:left w:w="115" w:type="dxa"/>
        <w:bottom w:w="100" w:type="dxa"/>
        <w:right w:w="115" w:type="dxa"/>
      </w:tblCellMar>
    </w:tblPr>
  </w:style>
  <w:style w:type="table" w:customStyle="1" w:styleId="146">
    <w:name w:val="104"/>
    <w:basedOn w:val="22"/>
    <w:qFormat/>
    <w:uiPriority w:val="0"/>
    <w:pPr>
      <w:spacing w:after="0" w:line="240" w:lineRule="auto"/>
    </w:pPr>
    <w:tblPr>
      <w:tblCellMar>
        <w:top w:w="100" w:type="dxa"/>
        <w:left w:w="115" w:type="dxa"/>
        <w:bottom w:w="100" w:type="dxa"/>
        <w:right w:w="115" w:type="dxa"/>
      </w:tblCellMar>
    </w:tblPr>
  </w:style>
  <w:style w:type="table" w:customStyle="1" w:styleId="147">
    <w:name w:val="103"/>
    <w:basedOn w:val="22"/>
    <w:qFormat/>
    <w:uiPriority w:val="0"/>
    <w:pPr>
      <w:spacing w:after="0" w:line="240" w:lineRule="auto"/>
    </w:pPr>
    <w:tblPr>
      <w:tblCellMar>
        <w:top w:w="100" w:type="dxa"/>
        <w:left w:w="115" w:type="dxa"/>
        <w:bottom w:w="100" w:type="dxa"/>
        <w:right w:w="115" w:type="dxa"/>
      </w:tblCellMar>
    </w:tblPr>
  </w:style>
  <w:style w:type="table" w:customStyle="1" w:styleId="148">
    <w:name w:val="102"/>
    <w:basedOn w:val="22"/>
    <w:qFormat/>
    <w:uiPriority w:val="0"/>
    <w:pPr>
      <w:spacing w:after="0" w:line="240" w:lineRule="auto"/>
    </w:pPr>
    <w:tblPr>
      <w:tblCellMar>
        <w:top w:w="100" w:type="dxa"/>
        <w:left w:w="115" w:type="dxa"/>
        <w:bottom w:w="100" w:type="dxa"/>
        <w:right w:w="115" w:type="dxa"/>
      </w:tblCellMar>
    </w:tblPr>
  </w:style>
  <w:style w:type="table" w:customStyle="1" w:styleId="149">
    <w:name w:val="101"/>
    <w:basedOn w:val="22"/>
    <w:qFormat/>
    <w:uiPriority w:val="0"/>
    <w:pPr>
      <w:spacing w:after="0" w:line="240" w:lineRule="auto"/>
    </w:pPr>
    <w:tblPr>
      <w:tblCellMar>
        <w:top w:w="100" w:type="dxa"/>
        <w:left w:w="115" w:type="dxa"/>
        <w:bottom w:w="100" w:type="dxa"/>
        <w:right w:w="115" w:type="dxa"/>
      </w:tblCellMar>
    </w:tblPr>
  </w:style>
  <w:style w:type="table" w:customStyle="1" w:styleId="150">
    <w:name w:val="100"/>
    <w:basedOn w:val="22"/>
    <w:qFormat/>
    <w:uiPriority w:val="0"/>
    <w:pPr>
      <w:spacing w:after="0" w:line="240" w:lineRule="auto"/>
    </w:pPr>
    <w:tblPr>
      <w:tblCellMar>
        <w:top w:w="100" w:type="dxa"/>
        <w:left w:w="115" w:type="dxa"/>
        <w:bottom w:w="100" w:type="dxa"/>
        <w:right w:w="115" w:type="dxa"/>
      </w:tblCellMar>
    </w:tblPr>
  </w:style>
  <w:style w:type="table" w:customStyle="1" w:styleId="151">
    <w:name w:val="99"/>
    <w:basedOn w:val="22"/>
    <w:qFormat/>
    <w:uiPriority w:val="0"/>
    <w:pPr>
      <w:spacing w:after="0" w:line="240" w:lineRule="auto"/>
    </w:pPr>
    <w:tblPr>
      <w:tblCellMar>
        <w:top w:w="100" w:type="dxa"/>
        <w:left w:w="115" w:type="dxa"/>
        <w:bottom w:w="100" w:type="dxa"/>
        <w:right w:w="115" w:type="dxa"/>
      </w:tblCellMar>
    </w:tblPr>
  </w:style>
  <w:style w:type="table" w:customStyle="1" w:styleId="152">
    <w:name w:val="98"/>
    <w:basedOn w:val="22"/>
    <w:qFormat/>
    <w:uiPriority w:val="0"/>
    <w:pPr>
      <w:spacing w:after="0" w:line="240" w:lineRule="auto"/>
    </w:pPr>
    <w:tblPr>
      <w:tblCellMar>
        <w:top w:w="100" w:type="dxa"/>
        <w:left w:w="115" w:type="dxa"/>
        <w:bottom w:w="100" w:type="dxa"/>
        <w:right w:w="115" w:type="dxa"/>
      </w:tblCellMar>
    </w:tblPr>
  </w:style>
  <w:style w:type="table" w:customStyle="1" w:styleId="153">
    <w:name w:val="97"/>
    <w:basedOn w:val="22"/>
    <w:qFormat/>
    <w:uiPriority w:val="0"/>
    <w:pPr>
      <w:spacing w:after="0" w:line="240" w:lineRule="auto"/>
    </w:pPr>
    <w:tblPr>
      <w:tblCellMar>
        <w:top w:w="100" w:type="dxa"/>
        <w:left w:w="115" w:type="dxa"/>
        <w:bottom w:w="100" w:type="dxa"/>
        <w:right w:w="115" w:type="dxa"/>
      </w:tblCellMar>
    </w:tblPr>
  </w:style>
  <w:style w:type="table" w:customStyle="1" w:styleId="154">
    <w:name w:val="96"/>
    <w:basedOn w:val="22"/>
    <w:qFormat/>
    <w:uiPriority w:val="0"/>
    <w:pPr>
      <w:spacing w:after="0" w:line="240" w:lineRule="auto"/>
    </w:pPr>
    <w:tblPr>
      <w:tblCellMar>
        <w:top w:w="100" w:type="dxa"/>
        <w:left w:w="115" w:type="dxa"/>
        <w:bottom w:w="100" w:type="dxa"/>
        <w:right w:w="115" w:type="dxa"/>
      </w:tblCellMar>
    </w:tblPr>
  </w:style>
  <w:style w:type="table" w:customStyle="1" w:styleId="155">
    <w:name w:val="95"/>
    <w:basedOn w:val="22"/>
    <w:qFormat/>
    <w:uiPriority w:val="0"/>
    <w:tblPr>
      <w:tblCellMar>
        <w:left w:w="0" w:type="dxa"/>
        <w:right w:w="0" w:type="dxa"/>
      </w:tblCellMar>
    </w:tblPr>
  </w:style>
  <w:style w:type="table" w:customStyle="1" w:styleId="156">
    <w:name w:val="94"/>
    <w:basedOn w:val="22"/>
    <w:qFormat/>
    <w:uiPriority w:val="0"/>
    <w:pPr>
      <w:spacing w:after="0" w:line="240" w:lineRule="auto"/>
    </w:pPr>
    <w:tblPr>
      <w:tblCellMar>
        <w:top w:w="100" w:type="dxa"/>
        <w:left w:w="115" w:type="dxa"/>
        <w:bottom w:w="100" w:type="dxa"/>
        <w:right w:w="115" w:type="dxa"/>
      </w:tblCellMar>
    </w:tblPr>
  </w:style>
  <w:style w:type="table" w:customStyle="1" w:styleId="157">
    <w:name w:val="93"/>
    <w:basedOn w:val="22"/>
    <w:qFormat/>
    <w:uiPriority w:val="0"/>
    <w:pPr>
      <w:spacing w:after="0" w:line="240" w:lineRule="auto"/>
    </w:pPr>
    <w:tblPr>
      <w:tblCellMar>
        <w:top w:w="100" w:type="dxa"/>
        <w:left w:w="115" w:type="dxa"/>
        <w:bottom w:w="100" w:type="dxa"/>
        <w:right w:w="115" w:type="dxa"/>
      </w:tblCellMar>
    </w:tblPr>
  </w:style>
  <w:style w:type="table" w:customStyle="1" w:styleId="158">
    <w:name w:val="92"/>
    <w:basedOn w:val="22"/>
    <w:qFormat/>
    <w:uiPriority w:val="0"/>
    <w:pPr>
      <w:spacing w:after="0" w:line="240" w:lineRule="auto"/>
    </w:pPr>
    <w:tblPr>
      <w:tblCellMar>
        <w:top w:w="100" w:type="dxa"/>
        <w:left w:w="115" w:type="dxa"/>
        <w:bottom w:w="100" w:type="dxa"/>
        <w:right w:w="115" w:type="dxa"/>
      </w:tblCellMar>
    </w:tblPr>
  </w:style>
  <w:style w:type="table" w:customStyle="1" w:styleId="159">
    <w:name w:val="91"/>
    <w:basedOn w:val="22"/>
    <w:qFormat/>
    <w:uiPriority w:val="0"/>
    <w:pPr>
      <w:spacing w:after="0" w:line="240" w:lineRule="auto"/>
    </w:pPr>
    <w:tblPr>
      <w:tblCellMar>
        <w:top w:w="100" w:type="dxa"/>
        <w:left w:w="115" w:type="dxa"/>
        <w:bottom w:w="100" w:type="dxa"/>
        <w:right w:w="115" w:type="dxa"/>
      </w:tblCellMar>
    </w:tblPr>
  </w:style>
  <w:style w:type="table" w:customStyle="1" w:styleId="160">
    <w:name w:val="90"/>
    <w:basedOn w:val="22"/>
    <w:qFormat/>
    <w:uiPriority w:val="0"/>
    <w:pPr>
      <w:spacing w:after="0" w:line="240" w:lineRule="auto"/>
    </w:pPr>
    <w:tblPr>
      <w:tblCellMar>
        <w:top w:w="100" w:type="dxa"/>
        <w:left w:w="115" w:type="dxa"/>
        <w:bottom w:w="100" w:type="dxa"/>
        <w:right w:w="115" w:type="dxa"/>
      </w:tblCellMar>
    </w:tblPr>
  </w:style>
  <w:style w:type="table" w:customStyle="1" w:styleId="161">
    <w:name w:val="89"/>
    <w:basedOn w:val="22"/>
    <w:qFormat/>
    <w:uiPriority w:val="0"/>
    <w:pPr>
      <w:spacing w:after="0" w:line="240" w:lineRule="auto"/>
    </w:pPr>
    <w:tblPr>
      <w:tblCellMar>
        <w:top w:w="100" w:type="dxa"/>
        <w:left w:w="115" w:type="dxa"/>
        <w:bottom w:w="100" w:type="dxa"/>
        <w:right w:w="115" w:type="dxa"/>
      </w:tblCellMar>
    </w:tblPr>
  </w:style>
  <w:style w:type="table" w:customStyle="1" w:styleId="162">
    <w:name w:val="88"/>
    <w:basedOn w:val="22"/>
    <w:uiPriority w:val="0"/>
    <w:pPr>
      <w:spacing w:after="0" w:line="240" w:lineRule="auto"/>
    </w:pPr>
    <w:tblPr>
      <w:tblCellMar>
        <w:top w:w="100" w:type="dxa"/>
        <w:left w:w="115" w:type="dxa"/>
        <w:bottom w:w="100" w:type="dxa"/>
        <w:right w:w="115" w:type="dxa"/>
      </w:tblCellMar>
    </w:tblPr>
  </w:style>
  <w:style w:type="table" w:customStyle="1" w:styleId="163">
    <w:name w:val="87"/>
    <w:basedOn w:val="22"/>
    <w:uiPriority w:val="0"/>
    <w:pPr>
      <w:spacing w:after="0" w:line="240" w:lineRule="auto"/>
    </w:pPr>
    <w:tblPr>
      <w:tblCellMar>
        <w:top w:w="100" w:type="dxa"/>
        <w:left w:w="115" w:type="dxa"/>
        <w:bottom w:w="100" w:type="dxa"/>
        <w:right w:w="115" w:type="dxa"/>
      </w:tblCellMar>
    </w:tblPr>
  </w:style>
  <w:style w:type="table" w:customStyle="1" w:styleId="164">
    <w:name w:val="86"/>
    <w:basedOn w:val="22"/>
    <w:uiPriority w:val="0"/>
    <w:pPr>
      <w:spacing w:after="0" w:line="240" w:lineRule="auto"/>
    </w:pPr>
    <w:tblPr>
      <w:tblCellMar>
        <w:top w:w="100" w:type="dxa"/>
        <w:left w:w="115" w:type="dxa"/>
        <w:bottom w:w="100" w:type="dxa"/>
        <w:right w:w="115" w:type="dxa"/>
      </w:tblCellMar>
    </w:tblPr>
  </w:style>
  <w:style w:type="table" w:customStyle="1" w:styleId="165">
    <w:name w:val="85"/>
    <w:basedOn w:val="22"/>
    <w:qFormat/>
    <w:uiPriority w:val="0"/>
    <w:pPr>
      <w:spacing w:after="0" w:line="240" w:lineRule="auto"/>
    </w:pPr>
    <w:tblPr>
      <w:tblCellMar>
        <w:top w:w="100" w:type="dxa"/>
        <w:left w:w="115" w:type="dxa"/>
        <w:bottom w:w="100" w:type="dxa"/>
        <w:right w:w="115" w:type="dxa"/>
      </w:tblCellMar>
    </w:tblPr>
  </w:style>
  <w:style w:type="table" w:customStyle="1" w:styleId="166">
    <w:name w:val="84"/>
    <w:basedOn w:val="22"/>
    <w:qFormat/>
    <w:uiPriority w:val="0"/>
    <w:pPr>
      <w:spacing w:after="0" w:line="240" w:lineRule="auto"/>
    </w:pPr>
    <w:tblPr>
      <w:tblCellMar>
        <w:top w:w="100" w:type="dxa"/>
        <w:left w:w="115" w:type="dxa"/>
        <w:bottom w:w="100" w:type="dxa"/>
        <w:right w:w="115" w:type="dxa"/>
      </w:tblCellMar>
    </w:tblPr>
  </w:style>
  <w:style w:type="table" w:customStyle="1" w:styleId="167">
    <w:name w:val="83"/>
    <w:basedOn w:val="22"/>
    <w:qFormat/>
    <w:uiPriority w:val="0"/>
    <w:pPr>
      <w:spacing w:after="0" w:line="240" w:lineRule="auto"/>
    </w:pPr>
    <w:tblPr>
      <w:tblCellMar>
        <w:top w:w="100" w:type="dxa"/>
        <w:left w:w="115" w:type="dxa"/>
        <w:bottom w:w="100" w:type="dxa"/>
        <w:right w:w="115" w:type="dxa"/>
      </w:tblCellMar>
    </w:tblPr>
  </w:style>
  <w:style w:type="table" w:customStyle="1" w:styleId="168">
    <w:name w:val="82"/>
    <w:basedOn w:val="22"/>
    <w:qFormat/>
    <w:uiPriority w:val="0"/>
    <w:pPr>
      <w:spacing w:after="0" w:line="240" w:lineRule="auto"/>
    </w:pPr>
    <w:tblPr>
      <w:tblCellMar>
        <w:top w:w="100" w:type="dxa"/>
        <w:left w:w="115" w:type="dxa"/>
        <w:bottom w:w="100" w:type="dxa"/>
        <w:right w:w="115" w:type="dxa"/>
      </w:tblCellMar>
    </w:tblPr>
  </w:style>
  <w:style w:type="table" w:customStyle="1" w:styleId="169">
    <w:name w:val="81"/>
    <w:basedOn w:val="22"/>
    <w:qFormat/>
    <w:uiPriority w:val="0"/>
    <w:pPr>
      <w:spacing w:after="0" w:line="240" w:lineRule="auto"/>
    </w:pPr>
    <w:tblPr>
      <w:tblCellMar>
        <w:top w:w="100" w:type="dxa"/>
        <w:left w:w="115" w:type="dxa"/>
        <w:bottom w:w="100" w:type="dxa"/>
        <w:right w:w="115" w:type="dxa"/>
      </w:tblCellMar>
    </w:tblPr>
  </w:style>
  <w:style w:type="table" w:customStyle="1" w:styleId="170">
    <w:name w:val="80"/>
    <w:basedOn w:val="22"/>
    <w:qFormat/>
    <w:uiPriority w:val="0"/>
    <w:pPr>
      <w:spacing w:after="0" w:line="240" w:lineRule="auto"/>
    </w:pPr>
    <w:tblPr>
      <w:tblCellMar>
        <w:top w:w="100" w:type="dxa"/>
        <w:left w:w="115" w:type="dxa"/>
        <w:bottom w:w="100" w:type="dxa"/>
        <w:right w:w="115" w:type="dxa"/>
      </w:tblCellMar>
    </w:tblPr>
  </w:style>
  <w:style w:type="table" w:customStyle="1" w:styleId="171">
    <w:name w:val="79"/>
    <w:basedOn w:val="22"/>
    <w:qFormat/>
    <w:uiPriority w:val="0"/>
    <w:pPr>
      <w:spacing w:after="0" w:line="240" w:lineRule="auto"/>
    </w:pPr>
    <w:tblPr>
      <w:tblCellMar>
        <w:top w:w="100" w:type="dxa"/>
        <w:left w:w="115" w:type="dxa"/>
        <w:bottom w:w="100" w:type="dxa"/>
        <w:right w:w="115" w:type="dxa"/>
      </w:tblCellMar>
    </w:tblPr>
  </w:style>
  <w:style w:type="table" w:customStyle="1" w:styleId="172">
    <w:name w:val="78"/>
    <w:basedOn w:val="22"/>
    <w:qFormat/>
    <w:uiPriority w:val="0"/>
    <w:pPr>
      <w:spacing w:after="0" w:line="240" w:lineRule="auto"/>
    </w:pPr>
    <w:tblPr>
      <w:tblCellMar>
        <w:top w:w="100" w:type="dxa"/>
        <w:left w:w="115" w:type="dxa"/>
        <w:bottom w:w="100" w:type="dxa"/>
        <w:right w:w="115" w:type="dxa"/>
      </w:tblCellMar>
    </w:tblPr>
  </w:style>
  <w:style w:type="table" w:customStyle="1" w:styleId="173">
    <w:name w:val="77"/>
    <w:basedOn w:val="22"/>
    <w:qFormat/>
    <w:uiPriority w:val="0"/>
    <w:pPr>
      <w:spacing w:after="0" w:line="240" w:lineRule="auto"/>
    </w:pPr>
    <w:tblPr>
      <w:tblCellMar>
        <w:top w:w="100" w:type="dxa"/>
        <w:left w:w="115" w:type="dxa"/>
        <w:bottom w:w="100" w:type="dxa"/>
        <w:right w:w="115" w:type="dxa"/>
      </w:tblCellMar>
    </w:tblPr>
  </w:style>
  <w:style w:type="table" w:customStyle="1" w:styleId="174">
    <w:name w:val="76"/>
    <w:basedOn w:val="22"/>
    <w:qFormat/>
    <w:uiPriority w:val="0"/>
    <w:pPr>
      <w:spacing w:after="0" w:line="240" w:lineRule="auto"/>
    </w:pPr>
    <w:tblPr>
      <w:tblCellMar>
        <w:top w:w="100" w:type="dxa"/>
        <w:left w:w="115" w:type="dxa"/>
        <w:bottom w:w="100" w:type="dxa"/>
        <w:right w:w="115" w:type="dxa"/>
      </w:tblCellMar>
    </w:tblPr>
  </w:style>
  <w:style w:type="table" w:customStyle="1" w:styleId="175">
    <w:name w:val="75"/>
    <w:basedOn w:val="22"/>
    <w:qFormat/>
    <w:uiPriority w:val="0"/>
    <w:pPr>
      <w:spacing w:after="0" w:line="240" w:lineRule="auto"/>
    </w:pPr>
    <w:tblPr>
      <w:tblCellMar>
        <w:top w:w="100" w:type="dxa"/>
        <w:left w:w="115" w:type="dxa"/>
        <w:bottom w:w="100" w:type="dxa"/>
        <w:right w:w="115" w:type="dxa"/>
      </w:tblCellMar>
    </w:tblPr>
  </w:style>
  <w:style w:type="table" w:customStyle="1" w:styleId="176">
    <w:name w:val="74"/>
    <w:basedOn w:val="22"/>
    <w:qFormat/>
    <w:uiPriority w:val="0"/>
    <w:pPr>
      <w:spacing w:after="0" w:line="240" w:lineRule="auto"/>
    </w:pPr>
    <w:tblPr>
      <w:tblCellMar>
        <w:top w:w="100" w:type="dxa"/>
        <w:left w:w="115" w:type="dxa"/>
        <w:bottom w:w="100" w:type="dxa"/>
        <w:right w:w="115" w:type="dxa"/>
      </w:tblCellMar>
    </w:tblPr>
  </w:style>
  <w:style w:type="table" w:customStyle="1" w:styleId="177">
    <w:name w:val="73"/>
    <w:basedOn w:val="22"/>
    <w:qFormat/>
    <w:uiPriority w:val="0"/>
    <w:pPr>
      <w:spacing w:after="0" w:line="240" w:lineRule="auto"/>
    </w:pPr>
    <w:tblPr>
      <w:tblCellMar>
        <w:top w:w="100" w:type="dxa"/>
        <w:left w:w="115" w:type="dxa"/>
        <w:bottom w:w="100" w:type="dxa"/>
        <w:right w:w="115" w:type="dxa"/>
      </w:tblCellMar>
    </w:tblPr>
  </w:style>
  <w:style w:type="table" w:customStyle="1" w:styleId="178">
    <w:name w:val="72"/>
    <w:basedOn w:val="22"/>
    <w:qFormat/>
    <w:uiPriority w:val="0"/>
    <w:pPr>
      <w:spacing w:after="0" w:line="240" w:lineRule="auto"/>
    </w:pPr>
    <w:tblPr>
      <w:tblCellMar>
        <w:top w:w="100" w:type="dxa"/>
        <w:left w:w="115" w:type="dxa"/>
        <w:bottom w:w="100" w:type="dxa"/>
        <w:right w:w="115" w:type="dxa"/>
      </w:tblCellMar>
    </w:tblPr>
  </w:style>
  <w:style w:type="table" w:customStyle="1" w:styleId="179">
    <w:name w:val="71"/>
    <w:basedOn w:val="22"/>
    <w:qFormat/>
    <w:uiPriority w:val="0"/>
    <w:pPr>
      <w:spacing w:after="0" w:line="240" w:lineRule="auto"/>
    </w:pPr>
    <w:tblPr>
      <w:tblCellMar>
        <w:top w:w="100" w:type="dxa"/>
        <w:left w:w="115" w:type="dxa"/>
        <w:bottom w:w="100" w:type="dxa"/>
        <w:right w:w="115" w:type="dxa"/>
      </w:tblCellMar>
    </w:tblPr>
  </w:style>
  <w:style w:type="table" w:customStyle="1" w:styleId="180">
    <w:name w:val="70"/>
    <w:basedOn w:val="22"/>
    <w:qFormat/>
    <w:uiPriority w:val="0"/>
    <w:pPr>
      <w:spacing w:after="0" w:line="240" w:lineRule="auto"/>
    </w:pPr>
    <w:tblPr>
      <w:tblCellMar>
        <w:top w:w="100" w:type="dxa"/>
        <w:left w:w="115" w:type="dxa"/>
        <w:bottom w:w="100" w:type="dxa"/>
        <w:right w:w="115" w:type="dxa"/>
      </w:tblCellMar>
    </w:tblPr>
  </w:style>
  <w:style w:type="paragraph" w:customStyle="1" w:styleId="181">
    <w:name w:val="font5"/>
    <w:basedOn w:val="1"/>
    <w:qFormat/>
    <w:uiPriority w:val="0"/>
    <w:pPr>
      <w:widowControl/>
      <w:spacing w:before="100" w:beforeAutospacing="1" w:after="100" w:afterAutospacing="1" w:line="240" w:lineRule="auto"/>
    </w:pPr>
    <w:rPr>
      <w:rFonts w:ascii="Arial Narrow" w:hAnsi="Arial Narrow" w:eastAsia="Times New Roman" w:cs="Times New Roman"/>
      <w:b/>
      <w:bCs/>
      <w:sz w:val="20"/>
      <w:szCs w:val="20"/>
    </w:rPr>
  </w:style>
  <w:style w:type="paragraph" w:customStyle="1" w:styleId="182">
    <w:name w:val="xl63"/>
    <w:basedOn w:val="1"/>
    <w:qFormat/>
    <w:uiPriority w:val="0"/>
    <w:pPr>
      <w:widowControl/>
      <w:pBdr>
        <w:top w:val="single" w:color="000000" w:sz="4" w:space="0"/>
        <w:left w:val="single" w:color="000000" w:sz="4" w:space="0"/>
        <w:bottom w:val="single" w:color="000000" w:sz="4" w:space="0"/>
        <w:right w:val="single" w:color="000000" w:sz="4" w:space="0"/>
      </w:pBdr>
      <w:shd w:val="clear" w:color="BFBFBF" w:fill="BFBFBF"/>
      <w:spacing w:before="100" w:beforeAutospacing="1" w:after="100" w:afterAutospacing="1" w:line="240" w:lineRule="auto"/>
      <w:jc w:val="right"/>
      <w:textAlignment w:val="center"/>
    </w:pPr>
    <w:rPr>
      <w:rFonts w:ascii="Arial Narrow" w:hAnsi="Arial Narrow" w:eastAsia="Times New Roman" w:cs="Times New Roman"/>
      <w:b/>
      <w:bCs/>
      <w:sz w:val="20"/>
      <w:szCs w:val="20"/>
    </w:rPr>
  </w:style>
  <w:style w:type="paragraph" w:customStyle="1" w:styleId="183">
    <w:name w:val="xl64"/>
    <w:basedOn w:val="1"/>
    <w:qFormat/>
    <w:uiPriority w:val="0"/>
    <w:pPr>
      <w:widowControl/>
      <w:pBdr>
        <w:top w:val="single" w:color="000000" w:sz="4" w:space="0"/>
        <w:left w:val="single" w:color="000000" w:sz="4" w:space="0"/>
        <w:bottom w:val="single" w:color="000000" w:sz="4" w:space="0"/>
        <w:right w:val="single" w:color="000000" w:sz="4" w:space="0"/>
      </w:pBdr>
      <w:shd w:val="clear" w:color="A5A5A5" w:fill="A5A5A5"/>
      <w:spacing w:before="100" w:beforeAutospacing="1" w:after="100" w:afterAutospacing="1" w:line="240" w:lineRule="auto"/>
      <w:jc w:val="right"/>
      <w:textAlignment w:val="center"/>
    </w:pPr>
    <w:rPr>
      <w:rFonts w:ascii="Arial Narrow" w:hAnsi="Arial Narrow" w:eastAsia="Times New Roman" w:cs="Times New Roman"/>
      <w:b/>
      <w:bCs/>
      <w:sz w:val="20"/>
      <w:szCs w:val="20"/>
    </w:rPr>
  </w:style>
  <w:style w:type="paragraph" w:customStyle="1" w:styleId="184">
    <w:name w:val="xl65"/>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0"/>
      <w:szCs w:val="20"/>
    </w:rPr>
  </w:style>
  <w:style w:type="paragraph" w:customStyle="1" w:styleId="185">
    <w:name w:val="xl66"/>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textAlignment w:val="center"/>
    </w:pPr>
    <w:rPr>
      <w:rFonts w:ascii="Arial Narrow" w:hAnsi="Arial Narrow" w:eastAsia="Times New Roman" w:cs="Times New Roman"/>
      <w:b/>
      <w:bCs/>
      <w:sz w:val="20"/>
      <w:szCs w:val="20"/>
    </w:rPr>
  </w:style>
  <w:style w:type="paragraph" w:customStyle="1" w:styleId="186">
    <w:name w:val="xl67"/>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jc w:val="right"/>
      <w:textAlignment w:val="center"/>
    </w:pPr>
    <w:rPr>
      <w:rFonts w:ascii="Arial Narrow" w:hAnsi="Arial Narrow" w:eastAsia="Times New Roman" w:cs="Times New Roman"/>
      <w:sz w:val="20"/>
      <w:szCs w:val="20"/>
    </w:rPr>
  </w:style>
  <w:style w:type="paragraph" w:customStyle="1" w:styleId="187">
    <w:name w:val="xl68"/>
    <w:basedOn w:val="1"/>
    <w:qFormat/>
    <w:uiPriority w:val="0"/>
    <w:pPr>
      <w:widowControl/>
      <w:pBdr>
        <w:top w:val="single" w:color="000000" w:sz="4" w:space="0"/>
        <w:bottom w:val="single" w:color="000000" w:sz="4" w:space="0"/>
        <w:right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188">
    <w:name w:val="xl69"/>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color w:val="000000"/>
      <w:sz w:val="20"/>
      <w:szCs w:val="20"/>
    </w:rPr>
  </w:style>
  <w:style w:type="paragraph" w:customStyle="1" w:styleId="189">
    <w:name w:val="xl70"/>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sz w:val="20"/>
      <w:szCs w:val="20"/>
    </w:rPr>
  </w:style>
  <w:style w:type="paragraph" w:customStyle="1" w:styleId="190">
    <w:name w:val="xl71"/>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0"/>
      <w:szCs w:val="20"/>
    </w:rPr>
  </w:style>
  <w:style w:type="paragraph" w:customStyle="1" w:styleId="191">
    <w:name w:val="xl72"/>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0"/>
      <w:szCs w:val="20"/>
    </w:rPr>
  </w:style>
  <w:style w:type="paragraph" w:customStyle="1" w:styleId="192">
    <w:name w:val="xl73"/>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sz w:val="20"/>
      <w:szCs w:val="20"/>
    </w:rPr>
  </w:style>
  <w:style w:type="paragraph" w:customStyle="1" w:styleId="193">
    <w:name w:val="xl74"/>
    <w:basedOn w:val="1"/>
    <w:qFormat/>
    <w:uiPriority w:val="0"/>
    <w:pPr>
      <w:widowControl/>
      <w:pBdr>
        <w:top w:val="single" w:color="000000" w:sz="4" w:space="0"/>
        <w:bottom w:val="single" w:color="000000" w:sz="4" w:space="0"/>
        <w:right w:val="single" w:color="000000" w:sz="4" w:space="0"/>
      </w:pBdr>
      <w:spacing w:before="100" w:beforeAutospacing="1" w:after="100" w:afterAutospacing="1" w:line="240" w:lineRule="auto"/>
      <w:textAlignment w:val="center"/>
    </w:pPr>
    <w:rPr>
      <w:rFonts w:ascii="Arial Narrow" w:hAnsi="Arial Narrow" w:eastAsia="Times New Roman" w:cs="Times New Roman"/>
      <w:color w:val="000000"/>
      <w:sz w:val="20"/>
      <w:szCs w:val="20"/>
    </w:rPr>
  </w:style>
  <w:style w:type="paragraph" w:customStyle="1" w:styleId="194">
    <w:name w:val="xl75"/>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b/>
      <w:bCs/>
      <w:sz w:val="20"/>
      <w:szCs w:val="20"/>
    </w:rPr>
  </w:style>
  <w:style w:type="paragraph" w:customStyle="1" w:styleId="195">
    <w:name w:val="xl76"/>
    <w:basedOn w:val="1"/>
    <w:qFormat/>
    <w:uiPriority w:val="0"/>
    <w:pPr>
      <w:widowControl/>
      <w:pBdr>
        <w:top w:val="single" w:color="000000" w:sz="4" w:space="0"/>
        <w:bottom w:val="single" w:color="000000" w:sz="4" w:space="0"/>
        <w:right w:val="single" w:color="000000" w:sz="4" w:space="0"/>
      </w:pBdr>
      <w:spacing w:before="100" w:beforeAutospacing="1" w:after="100" w:afterAutospacing="1" w:line="240" w:lineRule="auto"/>
      <w:textAlignment w:val="center"/>
    </w:pPr>
    <w:rPr>
      <w:rFonts w:ascii="Arial Narrow" w:hAnsi="Arial Narrow" w:eastAsia="Times New Roman" w:cs="Times New Roman"/>
      <w:i/>
      <w:iCs/>
      <w:color w:val="000000"/>
      <w:sz w:val="20"/>
      <w:szCs w:val="20"/>
    </w:rPr>
  </w:style>
  <w:style w:type="paragraph" w:customStyle="1" w:styleId="196">
    <w:name w:val="xl77"/>
    <w:basedOn w:val="1"/>
    <w:qFormat/>
    <w:uiPriority w:val="0"/>
    <w:pPr>
      <w:widowControl/>
      <w:pBdr>
        <w:top w:val="single" w:color="000000" w:sz="4" w:space="0"/>
        <w:left w:val="single" w:color="000000" w:sz="4" w:space="0"/>
        <w:bottom w:val="single" w:color="000000" w:sz="4" w:space="0"/>
        <w:right w:val="single" w:color="000000" w:sz="4" w:space="0"/>
      </w:pBdr>
      <w:shd w:val="clear" w:color="FFFFFF" w:fill="FFFFFF"/>
      <w:spacing w:before="100" w:beforeAutospacing="1" w:after="100" w:afterAutospacing="1" w:line="240" w:lineRule="auto"/>
      <w:jc w:val="right"/>
      <w:textAlignment w:val="center"/>
    </w:pPr>
    <w:rPr>
      <w:rFonts w:ascii="Arial Narrow" w:hAnsi="Arial Narrow" w:eastAsia="Times New Roman" w:cs="Times New Roman"/>
      <w:i/>
      <w:iCs/>
      <w:color w:val="000000"/>
      <w:sz w:val="20"/>
      <w:szCs w:val="20"/>
    </w:rPr>
  </w:style>
  <w:style w:type="paragraph" w:customStyle="1" w:styleId="197">
    <w:name w:val="xl78"/>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b/>
      <w:bCs/>
      <w:sz w:val="20"/>
      <w:szCs w:val="20"/>
    </w:rPr>
  </w:style>
  <w:style w:type="paragraph" w:customStyle="1" w:styleId="198">
    <w:name w:val="xl79"/>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199">
    <w:name w:val="xl80"/>
    <w:basedOn w:val="1"/>
    <w:qFormat/>
    <w:uiPriority w:val="0"/>
    <w:pPr>
      <w:widowControl/>
      <w:pBdr>
        <w:top w:val="single" w:color="000000" w:sz="4" w:space="0"/>
        <w:left w:val="single" w:color="000000" w:sz="4" w:space="0"/>
        <w:bottom w:val="single" w:color="000000" w:sz="4" w:space="0"/>
      </w:pBdr>
      <w:shd w:val="clear" w:color="FFFFFF" w:fill="FFFFFF"/>
      <w:spacing w:before="100" w:beforeAutospacing="1" w:after="100" w:afterAutospacing="1" w:line="240" w:lineRule="auto"/>
      <w:textAlignment w:val="center"/>
    </w:pPr>
    <w:rPr>
      <w:rFonts w:ascii="Arial Narrow" w:hAnsi="Arial Narrow" w:eastAsia="Times New Roman" w:cs="Times New Roman"/>
      <w:sz w:val="20"/>
      <w:szCs w:val="20"/>
    </w:rPr>
  </w:style>
  <w:style w:type="paragraph" w:customStyle="1" w:styleId="200">
    <w:name w:val="xl81"/>
    <w:basedOn w:val="1"/>
    <w:qFormat/>
    <w:uiPriority w:val="0"/>
    <w:pPr>
      <w:widowControl/>
      <w:pBdr>
        <w:top w:val="single" w:color="000000" w:sz="4" w:space="0"/>
        <w:left w:val="single" w:color="000000" w:sz="4" w:space="0"/>
        <w:bottom w:val="single" w:color="000000" w:sz="4" w:space="0"/>
        <w:right w:val="single" w:color="000000" w:sz="4" w:space="0"/>
      </w:pBdr>
      <w:shd w:val="clear" w:color="FFFFFF" w:fill="FFFFFF"/>
      <w:spacing w:before="100" w:beforeAutospacing="1" w:after="100" w:afterAutospacing="1" w:line="240" w:lineRule="auto"/>
      <w:jc w:val="right"/>
      <w:textAlignment w:val="center"/>
    </w:pPr>
    <w:rPr>
      <w:rFonts w:ascii="Arial Narrow" w:hAnsi="Arial Narrow" w:eastAsia="Times New Roman" w:cs="Times New Roman"/>
      <w:sz w:val="20"/>
      <w:szCs w:val="20"/>
    </w:rPr>
  </w:style>
  <w:style w:type="paragraph" w:customStyle="1" w:styleId="201">
    <w:name w:val="xl82"/>
    <w:basedOn w:val="1"/>
    <w:qFormat/>
    <w:uiPriority w:val="0"/>
    <w:pPr>
      <w:widowControl/>
      <w:pBdr>
        <w:top w:val="single" w:color="000000" w:sz="4" w:space="0"/>
        <w:bottom w:val="single" w:color="000000" w:sz="4" w:space="0"/>
        <w:right w:val="single" w:color="000000" w:sz="4" w:space="0"/>
      </w:pBdr>
      <w:shd w:val="clear" w:color="FFFFFF" w:fill="FFFFFF"/>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02">
    <w:name w:val="xl83"/>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textAlignment w:val="center"/>
    </w:pPr>
    <w:rPr>
      <w:rFonts w:ascii="Arial Narrow" w:hAnsi="Arial Narrow" w:eastAsia="Times New Roman" w:cs="Times New Roman"/>
      <w:i/>
      <w:iCs/>
      <w:color w:val="000000"/>
      <w:sz w:val="20"/>
      <w:szCs w:val="20"/>
    </w:rPr>
  </w:style>
  <w:style w:type="paragraph" w:customStyle="1" w:styleId="203">
    <w:name w:val="xl84"/>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textAlignment w:val="center"/>
    </w:pPr>
    <w:rPr>
      <w:rFonts w:ascii="Arial Narrow" w:hAnsi="Arial Narrow" w:eastAsia="Times New Roman" w:cs="Times New Roman"/>
      <w:b/>
      <w:bCs/>
      <w:sz w:val="20"/>
      <w:szCs w:val="20"/>
    </w:rPr>
  </w:style>
  <w:style w:type="paragraph" w:customStyle="1" w:styleId="204">
    <w:name w:val="xl85"/>
    <w:basedOn w:val="1"/>
    <w:qFormat/>
    <w:uiPriority w:val="0"/>
    <w:pPr>
      <w:widowControl/>
      <w:pBdr>
        <w:top w:val="single" w:color="000000" w:sz="4" w:space="0"/>
        <w:left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05">
    <w:name w:val="xl86"/>
    <w:basedOn w:val="1"/>
    <w:qFormat/>
    <w:uiPriority w:val="0"/>
    <w:pPr>
      <w:widowControl/>
      <w:pBdr>
        <w:top w:val="single" w:color="000000" w:sz="4" w:space="0"/>
        <w:right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06">
    <w:name w:val="xl87"/>
    <w:basedOn w:val="1"/>
    <w:qFormat/>
    <w:uiPriority w:val="0"/>
    <w:pPr>
      <w:widowControl/>
      <w:pBdr>
        <w:top w:val="single" w:color="000000" w:sz="4" w:space="0"/>
        <w:left w:val="single" w:color="000000" w:sz="4" w:space="0"/>
        <w:bottom w:val="single" w:color="000000" w:sz="4" w:space="0"/>
        <w:right w:val="single" w:color="000000" w:sz="4" w:space="0"/>
      </w:pBdr>
      <w:shd w:val="clear" w:color="595959" w:fill="595959"/>
      <w:spacing w:before="100" w:beforeAutospacing="1" w:after="100" w:afterAutospacing="1" w:line="240" w:lineRule="auto"/>
      <w:jc w:val="right"/>
      <w:textAlignment w:val="center"/>
    </w:pPr>
    <w:rPr>
      <w:rFonts w:ascii="Arial Narrow" w:hAnsi="Arial Narrow" w:eastAsia="Times New Roman" w:cs="Times New Roman"/>
      <w:i/>
      <w:iCs/>
      <w:color w:val="000000"/>
      <w:sz w:val="20"/>
      <w:szCs w:val="20"/>
    </w:rPr>
  </w:style>
  <w:style w:type="paragraph" w:customStyle="1" w:styleId="207">
    <w:name w:val="xl88"/>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sz w:val="20"/>
      <w:szCs w:val="20"/>
    </w:rPr>
  </w:style>
  <w:style w:type="paragraph" w:customStyle="1" w:styleId="208">
    <w:name w:val="xl89"/>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sz w:val="20"/>
      <w:szCs w:val="20"/>
    </w:rPr>
  </w:style>
  <w:style w:type="paragraph" w:customStyle="1" w:styleId="209">
    <w:name w:val="xl90"/>
    <w:basedOn w:val="1"/>
    <w:qFormat/>
    <w:uiPriority w:val="0"/>
    <w:pPr>
      <w:widowControl/>
      <w:pBdr>
        <w:top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0">
    <w:name w:val="xl91"/>
    <w:basedOn w:val="1"/>
    <w:qFormat/>
    <w:uiPriority w:val="0"/>
    <w:pPr>
      <w:widowControl/>
      <w:pBdr>
        <w:top w:val="single" w:color="000000" w:sz="4" w:space="0"/>
        <w:left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1">
    <w:name w:val="xl92"/>
    <w:basedOn w:val="1"/>
    <w:qFormat/>
    <w:uiPriority w:val="0"/>
    <w:pPr>
      <w:widowControl/>
      <w:pBdr>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2">
    <w:name w:val="xl93"/>
    <w:basedOn w:val="1"/>
    <w:qFormat/>
    <w:uiPriority w:val="0"/>
    <w:pPr>
      <w:widowControl/>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3">
    <w:name w:val="xl94"/>
    <w:basedOn w:val="1"/>
    <w:qFormat/>
    <w:uiPriority w:val="0"/>
    <w:pPr>
      <w:widowControl/>
      <w:pBdr>
        <w:left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4">
    <w:name w:val="xl95"/>
    <w:basedOn w:val="1"/>
    <w:qFormat/>
    <w:uiPriority w:val="0"/>
    <w:pPr>
      <w:widowControl/>
      <w:pBdr>
        <w:left w:val="single" w:color="000000" w:sz="4" w:space="0"/>
        <w:bottom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5">
    <w:name w:val="xl96"/>
    <w:basedOn w:val="1"/>
    <w:qFormat/>
    <w:uiPriority w:val="0"/>
    <w:pPr>
      <w:widowControl/>
      <w:pBdr>
        <w:top w:val="single" w:color="000000" w:sz="4" w:space="0"/>
        <w:left w:val="single" w:color="000000" w:sz="4" w:space="0"/>
        <w:bottom w:val="single" w:color="000000" w:sz="4" w:space="0"/>
        <w:righ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6">
    <w:name w:val="xl97"/>
    <w:basedOn w:val="1"/>
    <w:qFormat/>
    <w:uiPriority w:val="0"/>
    <w:pPr>
      <w:widowControl/>
      <w:pBdr>
        <w:top w:val="single" w:color="000000" w:sz="4" w:space="0"/>
        <w:left w:val="single" w:color="000000" w:sz="4" w:space="0"/>
        <w:bottom w:val="single" w:color="000000" w:sz="4" w:space="0"/>
        <w:righ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7">
    <w:name w:val="xl98"/>
    <w:basedOn w:val="1"/>
    <w:qFormat/>
    <w:uiPriority w:val="0"/>
    <w:pPr>
      <w:widowControl/>
      <w:pBdr>
        <w:top w:val="single" w:color="000000" w:sz="4" w:space="0"/>
        <w:left w:val="single" w:color="000000" w:sz="4" w:space="0"/>
        <w:bottom w:val="single" w:color="000000" w:sz="4" w:space="0"/>
        <w:righ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18">
    <w:name w:val="xl99"/>
    <w:basedOn w:val="1"/>
    <w:qFormat/>
    <w:uiPriority w:val="0"/>
    <w:pPr>
      <w:widowControl/>
      <w:pBdr>
        <w:top w:val="single" w:color="000000" w:sz="4" w:space="0"/>
        <w:left w:val="single" w:color="000000" w:sz="4" w:space="0"/>
        <w:bottom w:val="single" w:color="000000" w:sz="4" w:space="0"/>
        <w:right w:val="single" w:color="000000" w:sz="4" w:space="0"/>
      </w:pBdr>
      <w:shd w:val="clear" w:color="A5A5A5" w:fill="A5A5A5"/>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219">
    <w:name w:val="xl100"/>
    <w:basedOn w:val="1"/>
    <w:qFormat/>
    <w:uiPriority w:val="0"/>
    <w:pPr>
      <w:widowControl/>
      <w:pBdr>
        <w:top w:val="single" w:color="000000" w:sz="4" w:space="0"/>
        <w:left w:val="single" w:color="000000" w:sz="4" w:space="0"/>
        <w:bottom w:val="single" w:color="000000" w:sz="4" w:space="0"/>
        <w:right w:val="single" w:color="000000" w:sz="4" w:space="0"/>
      </w:pBdr>
      <w:shd w:val="clear" w:color="A5A5A5" w:fill="A5A5A5"/>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220">
    <w:name w:val="xl101"/>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sz w:val="20"/>
      <w:szCs w:val="20"/>
    </w:rPr>
  </w:style>
  <w:style w:type="paragraph" w:customStyle="1" w:styleId="221">
    <w:name w:val="xl102"/>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sz w:val="20"/>
      <w:szCs w:val="20"/>
    </w:rPr>
  </w:style>
  <w:style w:type="paragraph" w:customStyle="1" w:styleId="222">
    <w:name w:val="xl103"/>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i/>
      <w:iCs/>
      <w:sz w:val="20"/>
      <w:szCs w:val="20"/>
    </w:rPr>
  </w:style>
  <w:style w:type="paragraph" w:customStyle="1" w:styleId="223">
    <w:name w:val="xl104"/>
    <w:basedOn w:val="1"/>
    <w:qFormat/>
    <w:uiPriority w:val="0"/>
    <w:pPr>
      <w:widowControl/>
      <w:pBdr>
        <w:top w:val="single" w:color="000000" w:sz="4" w:space="0"/>
        <w:left w:val="single" w:color="000000" w:sz="4" w:space="0"/>
        <w:bottom w:val="single" w:color="000000" w:sz="4" w:space="0"/>
        <w:right w:val="single" w:color="000000" w:sz="4" w:space="0"/>
      </w:pBdr>
      <w:shd w:val="clear" w:color="B2B2B2" w:fill="B2B2B2"/>
      <w:spacing w:before="100" w:beforeAutospacing="1" w:after="100" w:afterAutospacing="1" w:line="240" w:lineRule="auto"/>
    </w:pPr>
    <w:rPr>
      <w:rFonts w:ascii="Arial Narrow" w:hAnsi="Arial Narrow" w:eastAsia="Times New Roman" w:cs="Times New Roman"/>
      <w:sz w:val="20"/>
      <w:szCs w:val="20"/>
    </w:rPr>
  </w:style>
  <w:style w:type="paragraph" w:customStyle="1" w:styleId="224">
    <w:name w:val="xl105"/>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225">
    <w:name w:val="xl106"/>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226">
    <w:name w:val="xl107"/>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227">
    <w:name w:val="xl108"/>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228">
    <w:name w:val="xl109"/>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229">
    <w:name w:val="xl110"/>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230">
    <w:name w:val="xl111"/>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color w:val="000000"/>
      <w:sz w:val="24"/>
      <w:szCs w:val="24"/>
    </w:rPr>
  </w:style>
  <w:style w:type="paragraph" w:customStyle="1" w:styleId="231">
    <w:name w:val="xl112"/>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color w:val="000000"/>
      <w:sz w:val="24"/>
      <w:szCs w:val="24"/>
    </w:rPr>
  </w:style>
  <w:style w:type="paragraph" w:customStyle="1" w:styleId="232">
    <w:name w:val="xl113"/>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pPr>
    <w:rPr>
      <w:rFonts w:ascii="Arial Narrow" w:hAnsi="Arial Narrow" w:eastAsia="Times New Roman" w:cs="Times New Roman"/>
      <w:i/>
      <w:iCs/>
      <w:sz w:val="20"/>
      <w:szCs w:val="20"/>
    </w:rPr>
  </w:style>
  <w:style w:type="paragraph" w:customStyle="1" w:styleId="233">
    <w:name w:val="xl114"/>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234">
    <w:name w:val="xl115"/>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i/>
      <w:iCs/>
      <w:sz w:val="20"/>
      <w:szCs w:val="20"/>
    </w:rPr>
  </w:style>
  <w:style w:type="paragraph" w:customStyle="1" w:styleId="235">
    <w:name w:val="xl116"/>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pPr>
    <w:rPr>
      <w:rFonts w:ascii="Arial Narrow" w:hAnsi="Arial Narrow" w:eastAsia="Times New Roman" w:cs="Times New Roman"/>
      <w:i/>
      <w:iCs/>
      <w:sz w:val="24"/>
      <w:szCs w:val="24"/>
    </w:rPr>
  </w:style>
  <w:style w:type="paragraph" w:customStyle="1" w:styleId="236">
    <w:name w:val="xl117"/>
    <w:basedOn w:val="1"/>
    <w:qFormat/>
    <w:uiPriority w:val="0"/>
    <w:pPr>
      <w:widowControl/>
      <w:pBdr>
        <w:top w:val="single" w:color="000000" w:sz="4" w:space="0"/>
        <w:left w:val="single" w:color="000000" w:sz="4" w:space="0"/>
        <w:bottom w:val="single" w:color="000000" w:sz="4" w:space="0"/>
      </w:pBdr>
      <w:shd w:val="clear" w:color="595959" w:fill="595959"/>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37">
    <w:name w:val="xl118"/>
    <w:basedOn w:val="1"/>
    <w:qFormat/>
    <w:uiPriority w:val="0"/>
    <w:pPr>
      <w:widowControl/>
      <w:pBdr>
        <w:top w:val="single" w:color="000000" w:sz="4" w:space="0"/>
        <w:bottom w:val="single" w:color="000000" w:sz="4" w:space="0"/>
        <w:right w:val="single" w:color="000000" w:sz="4" w:space="0"/>
      </w:pBdr>
      <w:shd w:val="clear" w:color="595959" w:fill="595959"/>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38">
    <w:name w:val="xl119"/>
    <w:basedOn w:val="1"/>
    <w:qFormat/>
    <w:uiPriority w:val="0"/>
    <w:pPr>
      <w:widowControl/>
      <w:pBdr>
        <w:top w:val="single" w:color="000000" w:sz="4" w:space="0"/>
        <w:left w:val="single" w:color="000000" w:sz="4" w:space="0"/>
        <w:bottom w:val="single" w:color="000000" w:sz="4" w:space="0"/>
        <w:right w:val="single" w:color="000000" w:sz="4" w:space="0"/>
      </w:pBdr>
      <w:shd w:val="clear" w:color="595959" w:fill="595959"/>
      <w:spacing w:before="100" w:beforeAutospacing="1" w:after="100" w:afterAutospacing="1" w:line="240" w:lineRule="auto"/>
    </w:pPr>
    <w:rPr>
      <w:rFonts w:ascii="Arial Narrow" w:hAnsi="Arial Narrow" w:eastAsia="Times New Roman" w:cs="Times New Roman"/>
      <w:sz w:val="20"/>
      <w:szCs w:val="20"/>
    </w:rPr>
  </w:style>
  <w:style w:type="paragraph" w:customStyle="1" w:styleId="239">
    <w:name w:val="xl120"/>
    <w:basedOn w:val="1"/>
    <w:qFormat/>
    <w:uiPriority w:val="0"/>
    <w:pPr>
      <w:widowControl/>
      <w:pBdr>
        <w:top w:val="single" w:color="000000" w:sz="4" w:space="0"/>
        <w:left w:val="single" w:color="000000" w:sz="4" w:space="0"/>
        <w:bottom w:val="single" w:color="000000" w:sz="4" w:space="0"/>
        <w:right w:val="single" w:color="000000" w:sz="4" w:space="0"/>
      </w:pBdr>
      <w:shd w:val="clear" w:color="595959" w:fill="595959"/>
      <w:spacing w:before="100" w:beforeAutospacing="1" w:after="100" w:afterAutospacing="1" w:line="240" w:lineRule="auto"/>
      <w:jc w:val="right"/>
    </w:pPr>
    <w:rPr>
      <w:rFonts w:ascii="Arial Narrow" w:hAnsi="Arial Narrow" w:eastAsia="Times New Roman" w:cs="Times New Roman"/>
      <w:i/>
      <w:iCs/>
      <w:sz w:val="20"/>
      <w:szCs w:val="20"/>
    </w:rPr>
  </w:style>
  <w:style w:type="paragraph" w:customStyle="1" w:styleId="240">
    <w:name w:val="xl121"/>
    <w:basedOn w:val="1"/>
    <w:qFormat/>
    <w:uiPriority w:val="0"/>
    <w:pPr>
      <w:widowControl/>
      <w:pBdr>
        <w:top w:val="single" w:color="000000" w:sz="4" w:space="0"/>
        <w:left w:val="single" w:color="000000" w:sz="4" w:space="0"/>
        <w:bottom w:val="single" w:color="000000" w:sz="4" w:space="0"/>
        <w:right w:val="single" w:color="000000" w:sz="4" w:space="0"/>
      </w:pBdr>
      <w:shd w:val="clear" w:color="595959" w:fill="595959"/>
      <w:spacing w:before="100" w:beforeAutospacing="1" w:after="100" w:afterAutospacing="1" w:line="240" w:lineRule="auto"/>
    </w:pPr>
    <w:rPr>
      <w:rFonts w:ascii="Arial Narrow" w:hAnsi="Arial Narrow" w:eastAsia="Times New Roman" w:cs="Times New Roman"/>
      <w:i/>
      <w:iCs/>
      <w:sz w:val="20"/>
      <w:szCs w:val="20"/>
    </w:rPr>
  </w:style>
  <w:style w:type="paragraph" w:customStyle="1" w:styleId="241">
    <w:name w:val="xl122"/>
    <w:basedOn w:val="1"/>
    <w:qFormat/>
    <w:uiPriority w:val="0"/>
    <w:pPr>
      <w:widowControl/>
      <w:pBdr>
        <w:top w:val="single" w:color="000000" w:sz="4" w:space="0"/>
        <w:bottom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2">
    <w:name w:val="xl123"/>
    <w:basedOn w:val="1"/>
    <w:qFormat/>
    <w:uiPriority w:val="0"/>
    <w:pPr>
      <w:widowControl/>
      <w:pBdr>
        <w:left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3">
    <w:name w:val="xl124"/>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4">
    <w:name w:val="xl125"/>
    <w:basedOn w:val="1"/>
    <w:qFormat/>
    <w:uiPriority w:val="0"/>
    <w:pPr>
      <w:widowControl/>
      <w:pBdr>
        <w:top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5">
    <w:name w:val="xl126"/>
    <w:basedOn w:val="1"/>
    <w:qFormat/>
    <w:uiPriority w:val="0"/>
    <w:pPr>
      <w:widowControl/>
      <w:pBdr>
        <w:top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6">
    <w:name w:val="xl127"/>
    <w:basedOn w:val="1"/>
    <w:qFormat/>
    <w:uiPriority w:val="0"/>
    <w:pPr>
      <w:widowControl/>
      <w:pBdr>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7">
    <w:name w:val="xl128"/>
    <w:basedOn w:val="1"/>
    <w:qFormat/>
    <w:uiPriority w:val="0"/>
    <w:pPr>
      <w:widowControl/>
      <w:pBdr>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8">
    <w:name w:val="xl129"/>
    <w:basedOn w:val="1"/>
    <w:qFormat/>
    <w:uiPriority w:val="0"/>
    <w:pPr>
      <w:widowControl/>
      <w:pBdr>
        <w:bottom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9">
    <w:name w:val="xl130"/>
    <w:basedOn w:val="1"/>
    <w:qFormat/>
    <w:uiPriority w:val="0"/>
    <w:pPr>
      <w:widowControl/>
      <w:pBdr>
        <w:left w:val="single" w:color="000000" w:sz="4" w:space="0"/>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0">
    <w:name w:val="xl131"/>
    <w:basedOn w:val="1"/>
    <w:qFormat/>
    <w:uiPriority w:val="0"/>
    <w:pPr>
      <w:widowControl/>
      <w:pBdr>
        <w:lef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1">
    <w:name w:val="xl132"/>
    <w:basedOn w:val="1"/>
    <w:qFormat/>
    <w:uiPriority w:val="0"/>
    <w:pPr>
      <w:widowControl/>
      <w:pBdr>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2">
    <w:name w:val="xl133"/>
    <w:basedOn w:val="1"/>
    <w:qFormat/>
    <w:uiPriority w:val="0"/>
    <w:pPr>
      <w:widowControl/>
      <w:pBdr>
        <w:bottom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3">
    <w:name w:val="xl134"/>
    <w:basedOn w:val="1"/>
    <w:qFormat/>
    <w:uiPriority w:val="0"/>
    <w:pPr>
      <w:widowControl/>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4">
    <w:name w:val="xl135"/>
    <w:basedOn w:val="1"/>
    <w:qFormat/>
    <w:uiPriority w:val="0"/>
    <w:pPr>
      <w:widowControl/>
      <w:pBdr>
        <w:top w:val="single" w:color="000000" w:sz="4" w:space="0"/>
        <w:lef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55">
    <w:name w:val="xl136"/>
    <w:basedOn w:val="1"/>
    <w:qFormat/>
    <w:uiPriority w:val="0"/>
    <w:pPr>
      <w:widowControl/>
      <w:pBdr>
        <w:top w:val="single" w:color="000000" w:sz="4" w:space="0"/>
        <w:left w:val="single" w:color="000000" w:sz="4" w:space="0"/>
        <w:bottom w:val="single" w:color="000000" w:sz="4" w:space="0"/>
      </w:pBdr>
      <w:shd w:val="clear" w:color="A5A5A5" w:fill="A5A5A5"/>
      <w:spacing w:before="100" w:beforeAutospacing="1" w:after="100" w:afterAutospacing="1" w:line="240" w:lineRule="auto"/>
      <w:jc w:val="center"/>
      <w:textAlignment w:val="center"/>
    </w:pPr>
    <w:rPr>
      <w:rFonts w:ascii="Arial Narrow" w:hAnsi="Arial Narrow" w:eastAsia="Times New Roman" w:cs="Times New Roman"/>
      <w:b/>
      <w:bCs/>
      <w:sz w:val="20"/>
      <w:szCs w:val="20"/>
    </w:rPr>
  </w:style>
  <w:style w:type="paragraph" w:customStyle="1" w:styleId="256">
    <w:name w:val="xl137"/>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57">
    <w:name w:val="xl138"/>
    <w:basedOn w:val="1"/>
    <w:qFormat/>
    <w:uiPriority w:val="0"/>
    <w:pPr>
      <w:widowControl/>
      <w:pBdr>
        <w:top w:val="single" w:color="000000" w:sz="4" w:space="0"/>
        <w:left w:val="single" w:color="000000" w:sz="4" w:space="0"/>
        <w:bottom w:val="single" w:color="000000" w:sz="4" w:space="0"/>
      </w:pBdr>
      <w:shd w:val="clear" w:color="D8D8D8" w:fill="D8D8D8"/>
      <w:spacing w:before="100" w:beforeAutospacing="1" w:after="100" w:afterAutospacing="1" w:line="240" w:lineRule="auto"/>
      <w:textAlignment w:val="center"/>
    </w:pPr>
    <w:rPr>
      <w:rFonts w:ascii="Arial Narrow" w:hAnsi="Arial Narrow" w:eastAsia="Times New Roman" w:cs="Times New Roman"/>
      <w:b/>
      <w:bCs/>
      <w:sz w:val="20"/>
      <w:szCs w:val="20"/>
    </w:rPr>
  </w:style>
  <w:style w:type="paragraph" w:customStyle="1" w:styleId="258">
    <w:name w:val="xl139"/>
    <w:basedOn w:val="1"/>
    <w:qFormat/>
    <w:uiPriority w:val="0"/>
    <w:pPr>
      <w:widowControl/>
      <w:pBdr>
        <w:top w:val="single" w:color="000000" w:sz="4" w:space="0"/>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9">
    <w:name w:val="xl140"/>
    <w:basedOn w:val="1"/>
    <w:qFormat/>
    <w:uiPriority w:val="0"/>
    <w:pPr>
      <w:widowControl/>
      <w:pBdr>
        <w:top w:val="single" w:color="000000" w:sz="4" w:space="0"/>
        <w:left w:val="single" w:color="000000" w:sz="4" w:space="0"/>
        <w:bottom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60">
    <w:name w:val="xl141"/>
    <w:basedOn w:val="1"/>
    <w:qFormat/>
    <w:uiPriority w:val="0"/>
    <w:pPr>
      <w:widowControl/>
      <w:pBdr>
        <w:top w:val="single" w:color="000000" w:sz="4" w:space="0"/>
        <w:left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61">
    <w:name w:val="xl142"/>
    <w:basedOn w:val="1"/>
    <w:qFormat/>
    <w:uiPriority w:val="0"/>
    <w:pPr>
      <w:widowControl/>
      <w:pBdr>
        <w:top w:val="single" w:color="000000" w:sz="4" w:space="0"/>
        <w:bottom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62">
    <w:name w:val="xl143"/>
    <w:basedOn w:val="1"/>
    <w:qFormat/>
    <w:uiPriority w:val="0"/>
    <w:pPr>
      <w:widowControl/>
      <w:pBdr>
        <w:left w:val="single" w:color="000000" w:sz="4" w:space="0"/>
        <w:bottom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sz w:val="20"/>
      <w:szCs w:val="20"/>
    </w:rPr>
  </w:style>
  <w:style w:type="paragraph" w:customStyle="1" w:styleId="263">
    <w:name w:val="xl144"/>
    <w:basedOn w:val="1"/>
    <w:qFormat/>
    <w:uiPriority w:val="0"/>
    <w:pPr>
      <w:widowControl/>
      <w:pBdr>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4">
    <w:name w:val="xl145"/>
    <w:basedOn w:val="1"/>
    <w:qFormat/>
    <w:uiPriority w:val="0"/>
    <w:pPr>
      <w:widowControl/>
      <w:pBdr>
        <w:top w:val="single" w:color="000000" w:sz="4" w:space="0"/>
        <w:left w:val="single" w:color="000000" w:sz="4" w:space="0"/>
        <w:bottom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sz w:val="20"/>
      <w:szCs w:val="20"/>
    </w:rPr>
  </w:style>
  <w:style w:type="paragraph" w:customStyle="1" w:styleId="265">
    <w:name w:val="xl146"/>
    <w:basedOn w:val="1"/>
    <w:qFormat/>
    <w:uiPriority w:val="0"/>
    <w:pPr>
      <w:widowControl/>
      <w:pBdr>
        <w:top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6">
    <w:name w:val="xl147"/>
    <w:basedOn w:val="1"/>
    <w:qFormat/>
    <w:uiPriority w:val="0"/>
    <w:pPr>
      <w:widowControl/>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7">
    <w:name w:val="xl148"/>
    <w:basedOn w:val="1"/>
    <w:qFormat/>
    <w:uiPriority w:val="0"/>
    <w:pPr>
      <w:widowControl/>
      <w:pBdr>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8">
    <w:name w:val="xl149"/>
    <w:basedOn w:val="1"/>
    <w:qFormat/>
    <w:uiPriority w:val="0"/>
    <w:pPr>
      <w:widowControl/>
      <w:pBdr>
        <w:top w:val="single" w:color="000000" w:sz="4" w:space="0"/>
        <w:lef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69">
    <w:name w:val="xl150"/>
    <w:basedOn w:val="1"/>
    <w:qFormat/>
    <w:uiPriority w:val="0"/>
    <w:pPr>
      <w:widowControl/>
      <w:pBdr>
        <w:top w:val="single" w:color="000000" w:sz="4" w:space="0"/>
        <w:lef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70">
    <w:name w:val="xl151"/>
    <w:basedOn w:val="1"/>
    <w:qFormat/>
    <w:uiPriority w:val="0"/>
    <w:pPr>
      <w:widowControl/>
      <w:pBdr>
        <w:lef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71">
    <w:name w:val="xl152"/>
    <w:basedOn w:val="1"/>
    <w:qFormat/>
    <w:uiPriority w:val="0"/>
    <w:pPr>
      <w:widowControl/>
      <w:pBdr>
        <w:left w:val="single" w:color="000000" w:sz="4" w:space="0"/>
        <w:bottom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72">
    <w:name w:val="xl153"/>
    <w:basedOn w:val="1"/>
    <w:qFormat/>
    <w:uiPriority w:val="0"/>
    <w:pPr>
      <w:widowControl/>
      <w:pBdr>
        <w:top w:val="single" w:color="000000" w:sz="4" w:space="0"/>
        <w:left w:val="single" w:color="000000" w:sz="4" w:space="0"/>
        <w:right w:val="single" w:color="000000" w:sz="4" w:space="0"/>
      </w:pBdr>
      <w:shd w:val="clear" w:color="C5E0B3" w:fill="C5E0B3"/>
      <w:spacing w:before="100" w:beforeAutospacing="1" w:after="100" w:afterAutospacing="1" w:line="240" w:lineRule="auto"/>
      <w:textAlignment w:val="center"/>
    </w:pPr>
    <w:rPr>
      <w:rFonts w:ascii="Arial Narrow" w:hAnsi="Arial Narrow" w:eastAsia="Times New Roman" w:cs="Times New Roman"/>
      <w:b/>
      <w:bCs/>
      <w:color w:val="000000"/>
      <w:sz w:val="20"/>
      <w:szCs w:val="20"/>
    </w:rPr>
  </w:style>
  <w:style w:type="paragraph" w:customStyle="1" w:styleId="273">
    <w:name w:val="xl154"/>
    <w:basedOn w:val="1"/>
    <w:qFormat/>
    <w:uiPriority w:val="0"/>
    <w:pPr>
      <w:widowControl/>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74">
    <w:name w:val="xl155"/>
    <w:basedOn w:val="1"/>
    <w:qFormat/>
    <w:uiPriority w:val="0"/>
    <w:pPr>
      <w:widowControl/>
      <w:pBdr>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75">
    <w:name w:val="xl156"/>
    <w:basedOn w:val="1"/>
    <w:qFormat/>
    <w:uiPriority w:val="0"/>
    <w:pPr>
      <w:widowControl/>
      <w:pBdr>
        <w:top w:val="single" w:color="000000" w:sz="4" w:space="0"/>
        <w:left w:val="single" w:color="000000" w:sz="4" w:space="0"/>
        <w:bottom w:val="single" w:color="000000" w:sz="4" w:space="0"/>
      </w:pBdr>
      <w:shd w:val="clear" w:color="A5A5A5" w:fill="A5A5A5"/>
      <w:spacing w:before="100" w:beforeAutospacing="1" w:after="100" w:afterAutospacing="1" w:line="240" w:lineRule="auto"/>
      <w:textAlignment w:val="center"/>
    </w:pPr>
    <w:rPr>
      <w:rFonts w:ascii="Arial Narrow" w:hAnsi="Arial Narrow" w:eastAsia="Times New Roman" w:cs="Times New Roman"/>
      <w:b/>
      <w:bCs/>
      <w:sz w:val="20"/>
      <w:szCs w:val="20"/>
    </w:rPr>
  </w:style>
  <w:style w:type="paragraph" w:customStyle="1" w:styleId="276">
    <w:name w:val="xl157"/>
    <w:basedOn w:val="1"/>
    <w:qFormat/>
    <w:uiPriority w:val="0"/>
    <w:pPr>
      <w:widowControl/>
      <w:pBdr>
        <w:top w:val="single" w:color="000000" w:sz="4" w:space="0"/>
        <w:left w:val="single" w:color="000000" w:sz="4" w:space="0"/>
        <w:bottom w:val="single" w:color="000000" w:sz="4" w:space="0"/>
      </w:pBdr>
      <w:shd w:val="clear" w:color="FFFFFF" w:fill="FFFFFF"/>
      <w:spacing w:before="100" w:beforeAutospacing="1" w:after="100" w:afterAutospacing="1" w:line="240" w:lineRule="auto"/>
      <w:textAlignment w:val="center"/>
    </w:pPr>
    <w:rPr>
      <w:rFonts w:ascii="Arial Narrow" w:hAnsi="Arial Narrow" w:eastAsia="Times New Roman" w:cs="Times New Roman"/>
      <w:sz w:val="20"/>
      <w:szCs w:val="20"/>
    </w:rPr>
  </w:style>
  <w:style w:type="paragraph" w:customStyle="1" w:styleId="277">
    <w:name w:val="xl158"/>
    <w:basedOn w:val="1"/>
    <w:qFormat/>
    <w:uiPriority w:val="0"/>
    <w:pPr>
      <w:widowControl/>
      <w:pBdr>
        <w:top w:val="single" w:color="000000" w:sz="4" w:space="0"/>
        <w:left w:val="single" w:color="000000" w:sz="4" w:space="0"/>
        <w:bottom w:val="single" w:color="000000" w:sz="4" w:space="0"/>
      </w:pBdr>
      <w:spacing w:before="100" w:beforeAutospacing="1" w:after="100" w:afterAutospacing="1" w:line="240" w:lineRule="auto"/>
      <w:textAlignment w:val="center"/>
    </w:pPr>
    <w:rPr>
      <w:rFonts w:ascii="Arial Narrow" w:hAnsi="Arial Narrow" w:eastAsia="Times New Roman" w:cs="Times New Roman"/>
      <w:i/>
      <w:iCs/>
      <w:sz w:val="20"/>
      <w:szCs w:val="20"/>
    </w:rPr>
  </w:style>
  <w:style w:type="paragraph" w:customStyle="1" w:styleId="278">
    <w:name w:val="xl159"/>
    <w:basedOn w:val="1"/>
    <w:qFormat/>
    <w:uiPriority w:val="0"/>
    <w:pPr>
      <w:widowControl/>
      <w:pBdr>
        <w:top w:val="single" w:color="000000" w:sz="4" w:space="0"/>
        <w:lef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279">
    <w:name w:val="xl160"/>
    <w:basedOn w:val="1"/>
    <w:qFormat/>
    <w:uiPriority w:val="0"/>
    <w:pPr>
      <w:widowControl/>
      <w:pBdr>
        <w:lef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80">
    <w:name w:val="xl161"/>
    <w:basedOn w:val="1"/>
    <w:qFormat/>
    <w:uiPriority w:val="0"/>
    <w:pPr>
      <w:widowControl/>
      <w:pBdr>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81">
    <w:name w:val="xl162"/>
    <w:basedOn w:val="1"/>
    <w:qFormat/>
    <w:uiPriority w:val="0"/>
    <w:pPr>
      <w:widowControl/>
      <w:pBdr>
        <w:top w:val="single" w:color="000000" w:sz="4" w:space="0"/>
        <w:left w:val="single" w:color="000000" w:sz="4" w:space="0"/>
        <w:bottom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table" w:customStyle="1" w:styleId="282">
    <w:name w:val="69"/>
    <w:basedOn w:val="22"/>
    <w:qFormat/>
    <w:uiPriority w:val="0"/>
    <w:tblPr>
      <w:tblCellMar>
        <w:left w:w="115" w:type="dxa"/>
        <w:right w:w="115" w:type="dxa"/>
      </w:tblCellMar>
    </w:tblPr>
  </w:style>
  <w:style w:type="table" w:customStyle="1" w:styleId="283">
    <w:name w:val="68"/>
    <w:basedOn w:val="22"/>
    <w:qFormat/>
    <w:uiPriority w:val="0"/>
    <w:tblPr>
      <w:tblCellMar>
        <w:top w:w="100" w:type="dxa"/>
        <w:left w:w="100" w:type="dxa"/>
        <w:bottom w:w="100" w:type="dxa"/>
        <w:right w:w="100" w:type="dxa"/>
      </w:tblCellMar>
    </w:tblPr>
  </w:style>
  <w:style w:type="table" w:customStyle="1" w:styleId="284">
    <w:name w:val="67"/>
    <w:basedOn w:val="22"/>
    <w:qFormat/>
    <w:uiPriority w:val="0"/>
    <w:pPr>
      <w:spacing w:after="0" w:line="240" w:lineRule="auto"/>
    </w:pPr>
    <w:tblPr>
      <w:tblCellMar>
        <w:top w:w="100" w:type="dxa"/>
        <w:left w:w="115" w:type="dxa"/>
        <w:bottom w:w="100" w:type="dxa"/>
        <w:right w:w="115" w:type="dxa"/>
      </w:tblCellMar>
    </w:tblPr>
  </w:style>
  <w:style w:type="table" w:customStyle="1" w:styleId="285">
    <w:name w:val="66"/>
    <w:basedOn w:val="22"/>
    <w:qFormat/>
    <w:uiPriority w:val="0"/>
    <w:pPr>
      <w:spacing w:after="0" w:line="240" w:lineRule="auto"/>
    </w:pPr>
    <w:tblPr>
      <w:tblCellMar>
        <w:top w:w="100" w:type="dxa"/>
        <w:left w:w="115" w:type="dxa"/>
        <w:bottom w:w="100" w:type="dxa"/>
        <w:right w:w="115" w:type="dxa"/>
      </w:tblCellMar>
    </w:tblPr>
  </w:style>
  <w:style w:type="table" w:customStyle="1" w:styleId="286">
    <w:name w:val="65"/>
    <w:basedOn w:val="22"/>
    <w:qFormat/>
    <w:uiPriority w:val="0"/>
    <w:pPr>
      <w:spacing w:after="0" w:line="240" w:lineRule="auto"/>
    </w:pPr>
    <w:tblPr>
      <w:tblCellMar>
        <w:top w:w="100" w:type="dxa"/>
        <w:left w:w="115" w:type="dxa"/>
        <w:bottom w:w="100" w:type="dxa"/>
        <w:right w:w="115" w:type="dxa"/>
      </w:tblCellMar>
    </w:tblPr>
  </w:style>
  <w:style w:type="table" w:customStyle="1" w:styleId="287">
    <w:name w:val="64"/>
    <w:basedOn w:val="22"/>
    <w:qFormat/>
    <w:uiPriority w:val="0"/>
    <w:pPr>
      <w:spacing w:after="0" w:line="240" w:lineRule="auto"/>
    </w:pPr>
    <w:tblPr>
      <w:tblCellMar>
        <w:top w:w="100" w:type="dxa"/>
        <w:left w:w="115" w:type="dxa"/>
        <w:bottom w:w="100" w:type="dxa"/>
        <w:right w:w="115" w:type="dxa"/>
      </w:tblCellMar>
    </w:tblPr>
  </w:style>
  <w:style w:type="table" w:customStyle="1" w:styleId="288">
    <w:name w:val="63"/>
    <w:basedOn w:val="22"/>
    <w:qFormat/>
    <w:uiPriority w:val="0"/>
    <w:pPr>
      <w:spacing w:after="0" w:line="240" w:lineRule="auto"/>
    </w:pPr>
    <w:tblPr>
      <w:tblCellMar>
        <w:top w:w="100" w:type="dxa"/>
        <w:left w:w="115" w:type="dxa"/>
        <w:bottom w:w="100" w:type="dxa"/>
        <w:right w:w="115" w:type="dxa"/>
      </w:tblCellMar>
    </w:tblPr>
  </w:style>
  <w:style w:type="table" w:customStyle="1" w:styleId="289">
    <w:name w:val="62"/>
    <w:basedOn w:val="22"/>
    <w:qFormat/>
    <w:uiPriority w:val="0"/>
    <w:pPr>
      <w:spacing w:after="0" w:line="240" w:lineRule="auto"/>
    </w:pPr>
    <w:tblPr>
      <w:tblCellMar>
        <w:top w:w="100" w:type="dxa"/>
        <w:left w:w="115" w:type="dxa"/>
        <w:bottom w:w="100" w:type="dxa"/>
        <w:right w:w="115" w:type="dxa"/>
      </w:tblCellMar>
    </w:tblPr>
  </w:style>
  <w:style w:type="table" w:customStyle="1" w:styleId="290">
    <w:name w:val="61"/>
    <w:basedOn w:val="22"/>
    <w:qFormat/>
    <w:uiPriority w:val="0"/>
    <w:pPr>
      <w:spacing w:after="0" w:line="240" w:lineRule="auto"/>
    </w:pPr>
    <w:tblPr>
      <w:tblCellMar>
        <w:top w:w="100" w:type="dxa"/>
        <w:left w:w="115" w:type="dxa"/>
        <w:bottom w:w="100" w:type="dxa"/>
        <w:right w:w="115" w:type="dxa"/>
      </w:tblCellMar>
    </w:tblPr>
  </w:style>
  <w:style w:type="table" w:customStyle="1" w:styleId="291">
    <w:name w:val="60"/>
    <w:basedOn w:val="22"/>
    <w:qFormat/>
    <w:uiPriority w:val="0"/>
    <w:pPr>
      <w:spacing w:after="0" w:line="240" w:lineRule="auto"/>
    </w:pPr>
    <w:tblPr>
      <w:tblCellMar>
        <w:top w:w="100" w:type="dxa"/>
        <w:left w:w="115" w:type="dxa"/>
        <w:bottom w:w="100" w:type="dxa"/>
        <w:right w:w="115" w:type="dxa"/>
      </w:tblCellMar>
    </w:tblPr>
  </w:style>
  <w:style w:type="table" w:customStyle="1" w:styleId="292">
    <w:name w:val="59"/>
    <w:basedOn w:val="22"/>
    <w:qFormat/>
    <w:uiPriority w:val="0"/>
    <w:pPr>
      <w:spacing w:after="0" w:line="240" w:lineRule="auto"/>
    </w:pPr>
    <w:tblPr>
      <w:tblCellMar>
        <w:top w:w="100" w:type="dxa"/>
        <w:left w:w="115" w:type="dxa"/>
        <w:bottom w:w="100" w:type="dxa"/>
        <w:right w:w="115" w:type="dxa"/>
      </w:tblCellMar>
    </w:tblPr>
  </w:style>
  <w:style w:type="table" w:customStyle="1" w:styleId="293">
    <w:name w:val="58"/>
    <w:basedOn w:val="22"/>
    <w:qFormat/>
    <w:uiPriority w:val="0"/>
    <w:pPr>
      <w:spacing w:after="0" w:line="240" w:lineRule="auto"/>
    </w:pPr>
    <w:tblPr>
      <w:tblCellMar>
        <w:top w:w="100" w:type="dxa"/>
        <w:left w:w="115" w:type="dxa"/>
        <w:bottom w:w="100" w:type="dxa"/>
        <w:right w:w="115" w:type="dxa"/>
      </w:tblCellMar>
    </w:tblPr>
  </w:style>
  <w:style w:type="table" w:customStyle="1" w:styleId="294">
    <w:name w:val="57"/>
    <w:basedOn w:val="22"/>
    <w:qFormat/>
    <w:uiPriority w:val="0"/>
    <w:pPr>
      <w:spacing w:after="0" w:line="240" w:lineRule="auto"/>
    </w:pPr>
    <w:tblPr>
      <w:tblCellMar>
        <w:top w:w="100" w:type="dxa"/>
        <w:left w:w="115" w:type="dxa"/>
        <w:bottom w:w="100" w:type="dxa"/>
        <w:right w:w="115" w:type="dxa"/>
      </w:tblCellMar>
    </w:tblPr>
  </w:style>
  <w:style w:type="table" w:customStyle="1" w:styleId="295">
    <w:name w:val="56"/>
    <w:basedOn w:val="22"/>
    <w:qFormat/>
    <w:uiPriority w:val="0"/>
    <w:pPr>
      <w:spacing w:after="0" w:line="240" w:lineRule="auto"/>
    </w:pPr>
    <w:tblPr>
      <w:tblCellMar>
        <w:top w:w="100" w:type="dxa"/>
        <w:left w:w="115" w:type="dxa"/>
        <w:bottom w:w="100" w:type="dxa"/>
        <w:right w:w="115" w:type="dxa"/>
      </w:tblCellMar>
    </w:tblPr>
  </w:style>
  <w:style w:type="table" w:customStyle="1" w:styleId="296">
    <w:name w:val="55"/>
    <w:basedOn w:val="22"/>
    <w:qFormat/>
    <w:uiPriority w:val="0"/>
    <w:pPr>
      <w:spacing w:after="0" w:line="240" w:lineRule="auto"/>
    </w:pPr>
    <w:tblPr>
      <w:tblCellMar>
        <w:top w:w="100" w:type="dxa"/>
        <w:left w:w="115" w:type="dxa"/>
        <w:bottom w:w="100" w:type="dxa"/>
        <w:right w:w="115" w:type="dxa"/>
      </w:tblCellMar>
    </w:tblPr>
  </w:style>
  <w:style w:type="table" w:customStyle="1" w:styleId="297">
    <w:name w:val="54"/>
    <w:basedOn w:val="22"/>
    <w:qFormat/>
    <w:uiPriority w:val="0"/>
    <w:pPr>
      <w:spacing w:after="0" w:line="240" w:lineRule="auto"/>
    </w:pPr>
    <w:tblPr>
      <w:tblCellMar>
        <w:top w:w="100" w:type="dxa"/>
        <w:left w:w="115" w:type="dxa"/>
        <w:bottom w:w="100" w:type="dxa"/>
        <w:right w:w="115" w:type="dxa"/>
      </w:tblCellMar>
    </w:tblPr>
  </w:style>
  <w:style w:type="table" w:customStyle="1" w:styleId="298">
    <w:name w:val="53"/>
    <w:basedOn w:val="22"/>
    <w:qFormat/>
    <w:uiPriority w:val="0"/>
    <w:pPr>
      <w:spacing w:after="0" w:line="240" w:lineRule="auto"/>
    </w:pPr>
    <w:tblPr>
      <w:tblCellMar>
        <w:top w:w="100" w:type="dxa"/>
        <w:left w:w="115" w:type="dxa"/>
        <w:bottom w:w="100" w:type="dxa"/>
        <w:right w:w="115" w:type="dxa"/>
      </w:tblCellMar>
    </w:tblPr>
  </w:style>
  <w:style w:type="table" w:customStyle="1" w:styleId="299">
    <w:name w:val="52"/>
    <w:basedOn w:val="22"/>
    <w:qFormat/>
    <w:uiPriority w:val="0"/>
    <w:pPr>
      <w:spacing w:after="0" w:line="240" w:lineRule="auto"/>
    </w:pPr>
    <w:tblPr>
      <w:tblCellMar>
        <w:top w:w="100" w:type="dxa"/>
        <w:left w:w="115" w:type="dxa"/>
        <w:bottom w:w="100" w:type="dxa"/>
        <w:right w:w="115" w:type="dxa"/>
      </w:tblCellMar>
    </w:tblPr>
  </w:style>
  <w:style w:type="table" w:customStyle="1" w:styleId="300">
    <w:name w:val="51"/>
    <w:basedOn w:val="22"/>
    <w:qFormat/>
    <w:uiPriority w:val="0"/>
    <w:pPr>
      <w:spacing w:after="0" w:line="240" w:lineRule="auto"/>
    </w:pPr>
    <w:tblPr>
      <w:tblCellMar>
        <w:top w:w="100" w:type="dxa"/>
        <w:left w:w="115" w:type="dxa"/>
        <w:bottom w:w="100" w:type="dxa"/>
        <w:right w:w="115" w:type="dxa"/>
      </w:tblCellMar>
    </w:tblPr>
  </w:style>
  <w:style w:type="table" w:customStyle="1" w:styleId="301">
    <w:name w:val="50"/>
    <w:basedOn w:val="22"/>
    <w:qFormat/>
    <w:uiPriority w:val="0"/>
    <w:pPr>
      <w:spacing w:after="0" w:line="240" w:lineRule="auto"/>
    </w:pPr>
    <w:tblPr>
      <w:tblCellMar>
        <w:top w:w="100" w:type="dxa"/>
        <w:left w:w="115" w:type="dxa"/>
        <w:bottom w:w="100" w:type="dxa"/>
        <w:right w:w="115" w:type="dxa"/>
      </w:tblCellMar>
    </w:tblPr>
  </w:style>
  <w:style w:type="table" w:customStyle="1" w:styleId="302">
    <w:name w:val="49"/>
    <w:basedOn w:val="22"/>
    <w:qFormat/>
    <w:uiPriority w:val="0"/>
    <w:pPr>
      <w:spacing w:after="0" w:line="240" w:lineRule="auto"/>
    </w:pPr>
    <w:tblPr>
      <w:tblCellMar>
        <w:top w:w="100" w:type="dxa"/>
        <w:left w:w="115" w:type="dxa"/>
        <w:bottom w:w="100" w:type="dxa"/>
        <w:right w:w="115" w:type="dxa"/>
      </w:tblCellMar>
    </w:tblPr>
  </w:style>
  <w:style w:type="table" w:customStyle="1" w:styleId="303">
    <w:name w:val="48"/>
    <w:basedOn w:val="22"/>
    <w:qFormat/>
    <w:uiPriority w:val="0"/>
    <w:pPr>
      <w:spacing w:after="0" w:line="240" w:lineRule="auto"/>
    </w:pPr>
    <w:tblPr>
      <w:tblCellMar>
        <w:top w:w="100" w:type="dxa"/>
        <w:left w:w="115" w:type="dxa"/>
        <w:bottom w:w="100" w:type="dxa"/>
        <w:right w:w="115" w:type="dxa"/>
      </w:tblCellMar>
    </w:tblPr>
  </w:style>
  <w:style w:type="table" w:customStyle="1" w:styleId="304">
    <w:name w:val="47"/>
    <w:basedOn w:val="22"/>
    <w:qFormat/>
    <w:uiPriority w:val="0"/>
    <w:pPr>
      <w:spacing w:after="0" w:line="240" w:lineRule="auto"/>
    </w:pPr>
    <w:tblPr>
      <w:tblCellMar>
        <w:top w:w="100" w:type="dxa"/>
        <w:left w:w="115" w:type="dxa"/>
        <w:bottom w:w="100" w:type="dxa"/>
        <w:right w:w="115" w:type="dxa"/>
      </w:tblCellMar>
    </w:tblPr>
  </w:style>
  <w:style w:type="table" w:customStyle="1" w:styleId="305">
    <w:name w:val="46"/>
    <w:basedOn w:val="22"/>
    <w:qFormat/>
    <w:uiPriority w:val="0"/>
    <w:pPr>
      <w:spacing w:after="0" w:line="240" w:lineRule="auto"/>
    </w:pPr>
    <w:tblPr>
      <w:tblCellMar>
        <w:top w:w="100" w:type="dxa"/>
        <w:left w:w="115" w:type="dxa"/>
        <w:bottom w:w="100" w:type="dxa"/>
        <w:right w:w="115" w:type="dxa"/>
      </w:tblCellMar>
    </w:tblPr>
  </w:style>
  <w:style w:type="paragraph" w:customStyle="1" w:styleId="306">
    <w:name w:val="msonormal"/>
    <w:basedOn w:val="1"/>
    <w:qFormat/>
    <w:uiPriority w:val="0"/>
    <w:pPr>
      <w:widowControl/>
      <w:spacing w:before="100" w:beforeAutospacing="1" w:after="100" w:afterAutospacing="1" w:line="240" w:lineRule="auto"/>
    </w:pPr>
    <w:rPr>
      <w:rFonts w:ascii="Times New Roman" w:hAnsi="Times New Roman" w:eastAsia="Times New Roman" w:cs="Times New Roman"/>
      <w:sz w:val="24"/>
      <w:szCs w:val="24"/>
    </w:rPr>
  </w:style>
  <w:style w:type="table" w:customStyle="1" w:styleId="307">
    <w:name w:val="45"/>
    <w:basedOn w:val="22"/>
    <w:qFormat/>
    <w:uiPriority w:val="0"/>
    <w:tblPr>
      <w:tblCellMar>
        <w:left w:w="0" w:type="dxa"/>
        <w:right w:w="0" w:type="dxa"/>
      </w:tblCellMar>
    </w:tblPr>
  </w:style>
  <w:style w:type="table" w:customStyle="1" w:styleId="308">
    <w:name w:val="44"/>
    <w:basedOn w:val="22"/>
    <w:qFormat/>
    <w:uiPriority w:val="0"/>
    <w:pPr>
      <w:spacing w:after="0" w:line="240" w:lineRule="auto"/>
    </w:pPr>
    <w:tblPr>
      <w:tblCellMar>
        <w:top w:w="100" w:type="dxa"/>
        <w:left w:w="115" w:type="dxa"/>
        <w:bottom w:w="100" w:type="dxa"/>
        <w:right w:w="115" w:type="dxa"/>
      </w:tblCellMar>
    </w:tblPr>
  </w:style>
  <w:style w:type="table" w:customStyle="1" w:styleId="309">
    <w:name w:val="43"/>
    <w:basedOn w:val="22"/>
    <w:qFormat/>
    <w:uiPriority w:val="0"/>
    <w:pPr>
      <w:spacing w:after="0" w:line="240" w:lineRule="auto"/>
    </w:pPr>
    <w:tblPr>
      <w:tblCellMar>
        <w:top w:w="100" w:type="dxa"/>
        <w:left w:w="115" w:type="dxa"/>
        <w:bottom w:w="100" w:type="dxa"/>
        <w:right w:w="115" w:type="dxa"/>
      </w:tblCellMar>
    </w:tblPr>
  </w:style>
  <w:style w:type="table" w:customStyle="1" w:styleId="310">
    <w:name w:val="42"/>
    <w:basedOn w:val="22"/>
    <w:qFormat/>
    <w:uiPriority w:val="0"/>
    <w:pPr>
      <w:spacing w:after="0" w:line="240" w:lineRule="auto"/>
    </w:pPr>
    <w:tblPr>
      <w:tblCellMar>
        <w:top w:w="100" w:type="dxa"/>
        <w:left w:w="115" w:type="dxa"/>
        <w:bottom w:w="100" w:type="dxa"/>
        <w:right w:w="115" w:type="dxa"/>
      </w:tblCellMar>
    </w:tblPr>
  </w:style>
  <w:style w:type="table" w:customStyle="1" w:styleId="311">
    <w:name w:val="41"/>
    <w:basedOn w:val="22"/>
    <w:qFormat/>
    <w:uiPriority w:val="0"/>
    <w:pPr>
      <w:spacing w:after="0" w:line="240" w:lineRule="auto"/>
    </w:pPr>
    <w:tblPr>
      <w:tblCellMar>
        <w:top w:w="100" w:type="dxa"/>
        <w:left w:w="115" w:type="dxa"/>
        <w:bottom w:w="100" w:type="dxa"/>
        <w:right w:w="115" w:type="dxa"/>
      </w:tblCellMar>
    </w:tblPr>
  </w:style>
  <w:style w:type="table" w:customStyle="1" w:styleId="312">
    <w:name w:val="40"/>
    <w:basedOn w:val="22"/>
    <w:qFormat/>
    <w:uiPriority w:val="0"/>
    <w:pPr>
      <w:spacing w:after="0" w:line="240" w:lineRule="auto"/>
    </w:pPr>
    <w:tblPr>
      <w:tblCellMar>
        <w:top w:w="100" w:type="dxa"/>
        <w:left w:w="115" w:type="dxa"/>
        <w:bottom w:w="100" w:type="dxa"/>
        <w:right w:w="115" w:type="dxa"/>
      </w:tblCellMar>
    </w:tblPr>
  </w:style>
  <w:style w:type="table" w:customStyle="1" w:styleId="313">
    <w:name w:val="39"/>
    <w:basedOn w:val="22"/>
    <w:qFormat/>
    <w:uiPriority w:val="0"/>
    <w:pPr>
      <w:spacing w:after="0" w:line="240" w:lineRule="auto"/>
    </w:pPr>
    <w:tblPr>
      <w:tblCellMar>
        <w:top w:w="100" w:type="dxa"/>
        <w:left w:w="115" w:type="dxa"/>
        <w:bottom w:w="100" w:type="dxa"/>
        <w:right w:w="115" w:type="dxa"/>
      </w:tblCellMar>
    </w:tblPr>
  </w:style>
  <w:style w:type="table" w:customStyle="1" w:styleId="314">
    <w:name w:val="38"/>
    <w:basedOn w:val="22"/>
    <w:qFormat/>
    <w:uiPriority w:val="0"/>
    <w:pPr>
      <w:spacing w:after="0" w:line="240" w:lineRule="auto"/>
    </w:pPr>
    <w:tblPr>
      <w:tblCellMar>
        <w:top w:w="100" w:type="dxa"/>
        <w:left w:w="115" w:type="dxa"/>
        <w:bottom w:w="100" w:type="dxa"/>
        <w:right w:w="115" w:type="dxa"/>
      </w:tblCellMar>
    </w:tblPr>
  </w:style>
  <w:style w:type="table" w:customStyle="1" w:styleId="315">
    <w:name w:val="37"/>
    <w:basedOn w:val="22"/>
    <w:qFormat/>
    <w:uiPriority w:val="0"/>
    <w:pPr>
      <w:spacing w:after="0" w:line="240" w:lineRule="auto"/>
    </w:pPr>
    <w:tblPr>
      <w:tblCellMar>
        <w:top w:w="100" w:type="dxa"/>
        <w:left w:w="115" w:type="dxa"/>
        <w:bottom w:w="100" w:type="dxa"/>
        <w:right w:w="115" w:type="dxa"/>
      </w:tblCellMar>
    </w:tblPr>
  </w:style>
  <w:style w:type="table" w:customStyle="1" w:styleId="316">
    <w:name w:val="36"/>
    <w:basedOn w:val="22"/>
    <w:qFormat/>
    <w:uiPriority w:val="0"/>
    <w:pPr>
      <w:spacing w:after="0" w:line="240" w:lineRule="auto"/>
    </w:pPr>
    <w:tblPr>
      <w:tblCellMar>
        <w:top w:w="100" w:type="dxa"/>
        <w:left w:w="115" w:type="dxa"/>
        <w:bottom w:w="100" w:type="dxa"/>
        <w:right w:w="115" w:type="dxa"/>
      </w:tblCellMar>
    </w:tblPr>
  </w:style>
  <w:style w:type="table" w:customStyle="1" w:styleId="317">
    <w:name w:val="35"/>
    <w:basedOn w:val="22"/>
    <w:qFormat/>
    <w:uiPriority w:val="0"/>
    <w:pPr>
      <w:spacing w:after="0" w:line="240" w:lineRule="auto"/>
    </w:pPr>
    <w:tblPr>
      <w:tblCellMar>
        <w:top w:w="100" w:type="dxa"/>
        <w:left w:w="115" w:type="dxa"/>
        <w:bottom w:w="100" w:type="dxa"/>
        <w:right w:w="115" w:type="dxa"/>
      </w:tblCellMar>
    </w:tblPr>
  </w:style>
  <w:style w:type="table" w:customStyle="1" w:styleId="318">
    <w:name w:val="34"/>
    <w:basedOn w:val="22"/>
    <w:qFormat/>
    <w:uiPriority w:val="0"/>
    <w:pPr>
      <w:spacing w:after="0" w:line="240" w:lineRule="auto"/>
    </w:pPr>
    <w:tblPr>
      <w:tblCellMar>
        <w:top w:w="100" w:type="dxa"/>
        <w:left w:w="115" w:type="dxa"/>
        <w:bottom w:w="100" w:type="dxa"/>
        <w:right w:w="115" w:type="dxa"/>
      </w:tblCellMar>
    </w:tblPr>
  </w:style>
  <w:style w:type="table" w:customStyle="1" w:styleId="319">
    <w:name w:val="33"/>
    <w:basedOn w:val="22"/>
    <w:qFormat/>
    <w:uiPriority w:val="0"/>
    <w:pPr>
      <w:spacing w:after="0" w:line="240" w:lineRule="auto"/>
    </w:pPr>
    <w:tblPr>
      <w:tblCellMar>
        <w:top w:w="100" w:type="dxa"/>
        <w:left w:w="115" w:type="dxa"/>
        <w:bottom w:w="100" w:type="dxa"/>
        <w:right w:w="115" w:type="dxa"/>
      </w:tblCellMar>
    </w:tblPr>
  </w:style>
  <w:style w:type="table" w:customStyle="1" w:styleId="320">
    <w:name w:val="32"/>
    <w:basedOn w:val="22"/>
    <w:qFormat/>
    <w:uiPriority w:val="0"/>
    <w:pPr>
      <w:spacing w:after="0" w:line="240" w:lineRule="auto"/>
    </w:pPr>
    <w:tblPr>
      <w:tblCellMar>
        <w:top w:w="100" w:type="dxa"/>
        <w:left w:w="115" w:type="dxa"/>
        <w:bottom w:w="100" w:type="dxa"/>
        <w:right w:w="115" w:type="dxa"/>
      </w:tblCellMar>
    </w:tblPr>
  </w:style>
  <w:style w:type="table" w:customStyle="1" w:styleId="321">
    <w:name w:val="31"/>
    <w:basedOn w:val="22"/>
    <w:qFormat/>
    <w:uiPriority w:val="0"/>
    <w:pPr>
      <w:spacing w:after="0" w:line="240" w:lineRule="auto"/>
    </w:pPr>
    <w:tblPr>
      <w:tblCellMar>
        <w:top w:w="100" w:type="dxa"/>
        <w:left w:w="115" w:type="dxa"/>
        <w:bottom w:w="100" w:type="dxa"/>
        <w:right w:w="115" w:type="dxa"/>
      </w:tblCellMar>
    </w:tblPr>
  </w:style>
  <w:style w:type="table" w:customStyle="1" w:styleId="322">
    <w:name w:val="30"/>
    <w:basedOn w:val="22"/>
    <w:qFormat/>
    <w:uiPriority w:val="0"/>
    <w:pPr>
      <w:spacing w:after="0" w:line="240" w:lineRule="auto"/>
    </w:pPr>
    <w:tblPr>
      <w:tblCellMar>
        <w:top w:w="100" w:type="dxa"/>
        <w:left w:w="115" w:type="dxa"/>
        <w:bottom w:w="100" w:type="dxa"/>
        <w:right w:w="115" w:type="dxa"/>
      </w:tblCellMar>
    </w:tblPr>
  </w:style>
  <w:style w:type="table" w:customStyle="1" w:styleId="323">
    <w:name w:val="29"/>
    <w:basedOn w:val="22"/>
    <w:qFormat/>
    <w:uiPriority w:val="0"/>
    <w:pPr>
      <w:spacing w:after="0" w:line="240" w:lineRule="auto"/>
    </w:pPr>
    <w:tblPr>
      <w:tblCellMar>
        <w:top w:w="100" w:type="dxa"/>
        <w:left w:w="115" w:type="dxa"/>
        <w:bottom w:w="100" w:type="dxa"/>
        <w:right w:w="115" w:type="dxa"/>
      </w:tblCellMar>
    </w:tblPr>
  </w:style>
  <w:style w:type="table" w:customStyle="1" w:styleId="324">
    <w:name w:val="28"/>
    <w:basedOn w:val="22"/>
    <w:qFormat/>
    <w:uiPriority w:val="0"/>
    <w:pPr>
      <w:spacing w:after="0" w:line="240" w:lineRule="auto"/>
    </w:pPr>
    <w:tblPr>
      <w:tblCellMar>
        <w:top w:w="100" w:type="dxa"/>
        <w:left w:w="115" w:type="dxa"/>
        <w:bottom w:w="100" w:type="dxa"/>
        <w:right w:w="115" w:type="dxa"/>
      </w:tblCellMar>
    </w:tblPr>
  </w:style>
  <w:style w:type="table" w:customStyle="1" w:styleId="325">
    <w:name w:val="27"/>
    <w:basedOn w:val="22"/>
    <w:qFormat/>
    <w:uiPriority w:val="0"/>
    <w:pPr>
      <w:spacing w:after="0" w:line="240" w:lineRule="auto"/>
    </w:pPr>
    <w:tblPr>
      <w:tblCellMar>
        <w:top w:w="100" w:type="dxa"/>
        <w:left w:w="115" w:type="dxa"/>
        <w:bottom w:w="100" w:type="dxa"/>
        <w:right w:w="115" w:type="dxa"/>
      </w:tblCellMar>
    </w:tblPr>
  </w:style>
  <w:style w:type="table" w:customStyle="1" w:styleId="326">
    <w:name w:val="26"/>
    <w:basedOn w:val="22"/>
    <w:qFormat/>
    <w:uiPriority w:val="0"/>
    <w:pPr>
      <w:spacing w:after="0" w:line="240" w:lineRule="auto"/>
    </w:pPr>
    <w:tblPr>
      <w:tblCellMar>
        <w:top w:w="100" w:type="dxa"/>
        <w:left w:w="115" w:type="dxa"/>
        <w:bottom w:w="100" w:type="dxa"/>
        <w:right w:w="115" w:type="dxa"/>
      </w:tblCellMar>
    </w:tblPr>
  </w:style>
  <w:style w:type="table" w:customStyle="1" w:styleId="327">
    <w:name w:val="25"/>
    <w:basedOn w:val="22"/>
    <w:qFormat/>
    <w:uiPriority w:val="0"/>
    <w:pPr>
      <w:spacing w:after="0" w:line="240" w:lineRule="auto"/>
    </w:pPr>
    <w:tblPr>
      <w:tblCellMar>
        <w:top w:w="100" w:type="dxa"/>
        <w:left w:w="115" w:type="dxa"/>
        <w:bottom w:w="100" w:type="dxa"/>
        <w:right w:w="115" w:type="dxa"/>
      </w:tblCellMar>
    </w:tblPr>
  </w:style>
  <w:style w:type="table" w:customStyle="1" w:styleId="328">
    <w:name w:val="24"/>
    <w:basedOn w:val="22"/>
    <w:qFormat/>
    <w:uiPriority w:val="0"/>
    <w:pPr>
      <w:spacing w:after="0" w:line="240" w:lineRule="auto"/>
    </w:pPr>
    <w:tblPr>
      <w:tblCellMar>
        <w:top w:w="100" w:type="dxa"/>
        <w:left w:w="115" w:type="dxa"/>
        <w:bottom w:w="100" w:type="dxa"/>
        <w:right w:w="115" w:type="dxa"/>
      </w:tblCellMar>
    </w:tblPr>
  </w:style>
  <w:style w:type="table" w:customStyle="1" w:styleId="329">
    <w:name w:val="23"/>
    <w:basedOn w:val="22"/>
    <w:qFormat/>
    <w:uiPriority w:val="0"/>
    <w:pPr>
      <w:spacing w:after="0" w:line="240" w:lineRule="auto"/>
    </w:pPr>
    <w:tblPr>
      <w:tblCellMar>
        <w:top w:w="100" w:type="dxa"/>
        <w:left w:w="115" w:type="dxa"/>
        <w:bottom w:w="100" w:type="dxa"/>
        <w:right w:w="115" w:type="dxa"/>
      </w:tblCellMar>
    </w:tblPr>
  </w:style>
  <w:style w:type="table" w:customStyle="1" w:styleId="330">
    <w:name w:val="22"/>
    <w:basedOn w:val="22"/>
    <w:qFormat/>
    <w:uiPriority w:val="0"/>
    <w:pPr>
      <w:spacing w:after="0" w:line="240" w:lineRule="auto"/>
    </w:pPr>
    <w:tblPr>
      <w:tblCellMar>
        <w:top w:w="100" w:type="dxa"/>
        <w:left w:w="115" w:type="dxa"/>
        <w:bottom w:w="100" w:type="dxa"/>
        <w:right w:w="115" w:type="dxa"/>
      </w:tblCellMar>
    </w:tblPr>
  </w:style>
  <w:style w:type="table" w:customStyle="1" w:styleId="331">
    <w:name w:val="21"/>
    <w:basedOn w:val="22"/>
    <w:qFormat/>
    <w:uiPriority w:val="0"/>
    <w:tblPr>
      <w:tblCellMar>
        <w:left w:w="57" w:type="dxa"/>
        <w:right w:w="57" w:type="dxa"/>
      </w:tblCellMar>
    </w:tblPr>
  </w:style>
  <w:style w:type="table" w:customStyle="1" w:styleId="332">
    <w:name w:val="20"/>
    <w:basedOn w:val="22"/>
    <w:qFormat/>
    <w:uiPriority w:val="0"/>
    <w:tblPr>
      <w:tblCellMar>
        <w:left w:w="115" w:type="dxa"/>
        <w:right w:w="115" w:type="dxa"/>
      </w:tblCellMar>
    </w:tblPr>
  </w:style>
  <w:style w:type="table" w:customStyle="1" w:styleId="333">
    <w:name w:val="19"/>
    <w:basedOn w:val="22"/>
    <w:qFormat/>
    <w:uiPriority w:val="0"/>
    <w:pPr>
      <w:spacing w:after="0" w:line="240" w:lineRule="auto"/>
    </w:pPr>
    <w:tblPr>
      <w:tblCellMar>
        <w:top w:w="100" w:type="dxa"/>
        <w:left w:w="115" w:type="dxa"/>
        <w:bottom w:w="100" w:type="dxa"/>
        <w:right w:w="115" w:type="dxa"/>
      </w:tblCellMar>
    </w:tblPr>
  </w:style>
  <w:style w:type="table" w:customStyle="1" w:styleId="334">
    <w:name w:val="18"/>
    <w:basedOn w:val="22"/>
    <w:qFormat/>
    <w:uiPriority w:val="0"/>
    <w:pPr>
      <w:spacing w:after="0" w:line="240" w:lineRule="auto"/>
    </w:pPr>
    <w:tblPr>
      <w:tblCellMar>
        <w:top w:w="100" w:type="dxa"/>
        <w:left w:w="115" w:type="dxa"/>
        <w:bottom w:w="100" w:type="dxa"/>
        <w:right w:w="115" w:type="dxa"/>
      </w:tblCellMar>
    </w:tblPr>
  </w:style>
  <w:style w:type="table" w:customStyle="1" w:styleId="335">
    <w:name w:val="17"/>
    <w:basedOn w:val="22"/>
    <w:qFormat/>
    <w:uiPriority w:val="0"/>
    <w:pPr>
      <w:spacing w:after="0" w:line="240" w:lineRule="auto"/>
    </w:pPr>
    <w:tblPr>
      <w:tblCellMar>
        <w:top w:w="100" w:type="dxa"/>
        <w:left w:w="115" w:type="dxa"/>
        <w:bottom w:w="100" w:type="dxa"/>
        <w:right w:w="115" w:type="dxa"/>
      </w:tblCellMar>
    </w:tblPr>
  </w:style>
  <w:style w:type="table" w:customStyle="1" w:styleId="336">
    <w:name w:val="16"/>
    <w:basedOn w:val="22"/>
    <w:qFormat/>
    <w:uiPriority w:val="0"/>
    <w:pPr>
      <w:spacing w:after="0" w:line="240" w:lineRule="auto"/>
    </w:pPr>
    <w:tblPr>
      <w:tblCellMar>
        <w:top w:w="100" w:type="dxa"/>
        <w:left w:w="115" w:type="dxa"/>
        <w:bottom w:w="100" w:type="dxa"/>
        <w:right w:w="115" w:type="dxa"/>
      </w:tblCellMar>
    </w:tblPr>
  </w:style>
  <w:style w:type="table" w:customStyle="1" w:styleId="337">
    <w:name w:val="15"/>
    <w:basedOn w:val="22"/>
    <w:qFormat/>
    <w:uiPriority w:val="0"/>
    <w:pPr>
      <w:spacing w:after="0" w:line="240" w:lineRule="auto"/>
    </w:pPr>
    <w:tblPr>
      <w:tblCellMar>
        <w:top w:w="100" w:type="dxa"/>
        <w:left w:w="115" w:type="dxa"/>
        <w:bottom w:w="100" w:type="dxa"/>
        <w:right w:w="115" w:type="dxa"/>
      </w:tblCellMar>
    </w:tblPr>
  </w:style>
  <w:style w:type="table" w:customStyle="1" w:styleId="338">
    <w:name w:val="14"/>
    <w:basedOn w:val="22"/>
    <w:qFormat/>
    <w:uiPriority w:val="0"/>
    <w:pPr>
      <w:spacing w:after="0" w:line="240" w:lineRule="auto"/>
    </w:pPr>
    <w:tblPr>
      <w:tblCellMar>
        <w:top w:w="100" w:type="dxa"/>
        <w:left w:w="115" w:type="dxa"/>
        <w:bottom w:w="100" w:type="dxa"/>
        <w:right w:w="115" w:type="dxa"/>
      </w:tblCellMar>
    </w:tblPr>
  </w:style>
  <w:style w:type="table" w:customStyle="1" w:styleId="339">
    <w:name w:val="13"/>
    <w:basedOn w:val="22"/>
    <w:qFormat/>
    <w:uiPriority w:val="0"/>
    <w:pPr>
      <w:spacing w:after="0" w:line="240" w:lineRule="auto"/>
    </w:pPr>
    <w:tblPr>
      <w:tblCellMar>
        <w:top w:w="100" w:type="dxa"/>
        <w:left w:w="115" w:type="dxa"/>
        <w:bottom w:w="100" w:type="dxa"/>
        <w:right w:w="115" w:type="dxa"/>
      </w:tblCellMar>
    </w:tblPr>
  </w:style>
  <w:style w:type="table" w:customStyle="1" w:styleId="340">
    <w:name w:val="12"/>
    <w:basedOn w:val="22"/>
    <w:qFormat/>
    <w:uiPriority w:val="0"/>
    <w:pPr>
      <w:spacing w:after="0" w:line="240" w:lineRule="auto"/>
    </w:pPr>
    <w:tblPr>
      <w:tblCellMar>
        <w:top w:w="100" w:type="dxa"/>
        <w:left w:w="115" w:type="dxa"/>
        <w:bottom w:w="100" w:type="dxa"/>
        <w:right w:w="115" w:type="dxa"/>
      </w:tblCellMar>
    </w:tblPr>
  </w:style>
  <w:style w:type="table" w:customStyle="1" w:styleId="341">
    <w:name w:val="11"/>
    <w:basedOn w:val="22"/>
    <w:qFormat/>
    <w:uiPriority w:val="0"/>
    <w:pPr>
      <w:spacing w:after="0" w:line="240" w:lineRule="auto"/>
    </w:pPr>
    <w:tblPr>
      <w:tblCellMar>
        <w:top w:w="100" w:type="dxa"/>
        <w:left w:w="115" w:type="dxa"/>
        <w:bottom w:w="100" w:type="dxa"/>
        <w:right w:w="115" w:type="dxa"/>
      </w:tblCellMar>
    </w:tblPr>
  </w:style>
  <w:style w:type="table" w:customStyle="1" w:styleId="342">
    <w:name w:val="10"/>
    <w:basedOn w:val="22"/>
    <w:qFormat/>
    <w:uiPriority w:val="0"/>
    <w:pPr>
      <w:spacing w:after="0" w:line="240" w:lineRule="auto"/>
    </w:pPr>
    <w:tblPr>
      <w:tblCellMar>
        <w:top w:w="100" w:type="dxa"/>
        <w:left w:w="115" w:type="dxa"/>
        <w:bottom w:w="100" w:type="dxa"/>
        <w:right w:w="115" w:type="dxa"/>
      </w:tblCellMar>
    </w:tblPr>
  </w:style>
  <w:style w:type="table" w:customStyle="1" w:styleId="343">
    <w:name w:val="9"/>
    <w:basedOn w:val="22"/>
    <w:qFormat/>
    <w:uiPriority w:val="0"/>
    <w:pPr>
      <w:spacing w:after="0" w:line="240" w:lineRule="auto"/>
    </w:pPr>
    <w:tblPr>
      <w:tblCellMar>
        <w:top w:w="100" w:type="dxa"/>
        <w:left w:w="115" w:type="dxa"/>
        <w:bottom w:w="100" w:type="dxa"/>
        <w:right w:w="115" w:type="dxa"/>
      </w:tblCellMar>
    </w:tblPr>
  </w:style>
  <w:style w:type="table" w:customStyle="1" w:styleId="344">
    <w:name w:val="8"/>
    <w:basedOn w:val="22"/>
    <w:qFormat/>
    <w:uiPriority w:val="0"/>
    <w:pPr>
      <w:spacing w:after="0" w:line="240" w:lineRule="auto"/>
    </w:pPr>
    <w:tblPr>
      <w:tblCellMar>
        <w:top w:w="100" w:type="dxa"/>
        <w:left w:w="115" w:type="dxa"/>
        <w:bottom w:w="100" w:type="dxa"/>
        <w:right w:w="115" w:type="dxa"/>
      </w:tblCellMar>
    </w:tblPr>
  </w:style>
  <w:style w:type="table" w:customStyle="1" w:styleId="345">
    <w:name w:val="7"/>
    <w:basedOn w:val="22"/>
    <w:qFormat/>
    <w:uiPriority w:val="0"/>
    <w:pPr>
      <w:spacing w:after="0" w:line="240" w:lineRule="auto"/>
    </w:pPr>
    <w:tblPr>
      <w:tblCellMar>
        <w:top w:w="29" w:type="dxa"/>
        <w:left w:w="29" w:type="dxa"/>
        <w:bottom w:w="29" w:type="dxa"/>
        <w:right w:w="29" w:type="dxa"/>
      </w:tblCellMar>
    </w:tblPr>
  </w:style>
  <w:style w:type="table" w:customStyle="1" w:styleId="346">
    <w:name w:val="6"/>
    <w:basedOn w:val="22"/>
    <w:qFormat/>
    <w:uiPriority w:val="0"/>
    <w:pPr>
      <w:spacing w:after="0" w:line="240" w:lineRule="auto"/>
    </w:pPr>
    <w:tblPr>
      <w:tblCellMar>
        <w:top w:w="100" w:type="dxa"/>
        <w:left w:w="115" w:type="dxa"/>
        <w:bottom w:w="100" w:type="dxa"/>
        <w:right w:w="115" w:type="dxa"/>
      </w:tblCellMar>
    </w:tblPr>
  </w:style>
  <w:style w:type="table" w:customStyle="1" w:styleId="347">
    <w:name w:val="5"/>
    <w:basedOn w:val="22"/>
    <w:qFormat/>
    <w:uiPriority w:val="0"/>
    <w:pPr>
      <w:spacing w:after="0" w:line="240" w:lineRule="auto"/>
    </w:pPr>
    <w:tblPr>
      <w:tblCellMar>
        <w:top w:w="100" w:type="dxa"/>
        <w:left w:w="115" w:type="dxa"/>
        <w:bottom w:w="100" w:type="dxa"/>
        <w:right w:w="115" w:type="dxa"/>
      </w:tblCellMar>
    </w:tblPr>
  </w:style>
  <w:style w:type="table" w:customStyle="1" w:styleId="348">
    <w:name w:val="4"/>
    <w:basedOn w:val="22"/>
    <w:qFormat/>
    <w:uiPriority w:val="0"/>
    <w:pPr>
      <w:spacing w:after="0" w:line="240" w:lineRule="auto"/>
    </w:pPr>
    <w:tblPr>
      <w:tblCellMar>
        <w:top w:w="100" w:type="dxa"/>
        <w:left w:w="115" w:type="dxa"/>
        <w:bottom w:w="100" w:type="dxa"/>
        <w:right w:w="115" w:type="dxa"/>
      </w:tblCellMar>
    </w:tblPr>
  </w:style>
  <w:style w:type="table" w:customStyle="1" w:styleId="349">
    <w:name w:val="3"/>
    <w:basedOn w:val="22"/>
    <w:qFormat/>
    <w:uiPriority w:val="0"/>
    <w:pPr>
      <w:spacing w:after="0" w:line="240" w:lineRule="auto"/>
    </w:pPr>
    <w:tblPr>
      <w:tblCellMar>
        <w:top w:w="100" w:type="dxa"/>
        <w:left w:w="115" w:type="dxa"/>
        <w:bottom w:w="100" w:type="dxa"/>
        <w:right w:w="115" w:type="dxa"/>
      </w:tblCellMar>
    </w:tblPr>
  </w:style>
  <w:style w:type="table" w:customStyle="1" w:styleId="350">
    <w:name w:val="2"/>
    <w:basedOn w:val="22"/>
    <w:qFormat/>
    <w:uiPriority w:val="0"/>
    <w:pPr>
      <w:spacing w:after="0" w:line="240" w:lineRule="auto"/>
    </w:pPr>
    <w:tblPr>
      <w:tblCellMar>
        <w:top w:w="100" w:type="dxa"/>
        <w:left w:w="115" w:type="dxa"/>
        <w:bottom w:w="100" w:type="dxa"/>
        <w:right w:w="115" w:type="dxa"/>
      </w:tblCellMar>
    </w:tblPr>
  </w:style>
  <w:style w:type="table" w:customStyle="1" w:styleId="351">
    <w:name w:val="1"/>
    <w:basedOn w:val="22"/>
    <w:qFormat/>
    <w:uiPriority w:val="0"/>
    <w:pPr>
      <w:spacing w:after="0" w:line="240" w:lineRule="auto"/>
    </w:pPr>
    <w:tblPr>
      <w:tblCellMar>
        <w:top w:w="100" w:type="dxa"/>
        <w:left w:w="115" w:type="dxa"/>
        <w:bottom w:w="100" w:type="dxa"/>
        <w:right w:w="115" w:type="dxa"/>
      </w:tblCellMar>
    </w:tblPr>
  </w:style>
  <w:style w:type="paragraph" w:customStyle="1" w:styleId="352">
    <w:name w:val="xl163"/>
    <w:basedOn w:val="1"/>
    <w:qFormat/>
    <w:uiPriority w:val="0"/>
    <w:pPr>
      <w:widowControl/>
      <w:pBdr>
        <w:lef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53">
    <w:name w:val="xl164"/>
    <w:basedOn w:val="1"/>
    <w:qFormat/>
    <w:uiPriority w:val="0"/>
    <w:pPr>
      <w:widowControl/>
      <w:pBdr>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54">
    <w:name w:val="xl165"/>
    <w:basedOn w:val="1"/>
    <w:qFormat/>
    <w:uiPriority w:val="0"/>
    <w:pPr>
      <w:widowControl/>
      <w:pBdr>
        <w:top w:val="single" w:color="000000" w:sz="4" w:space="0"/>
        <w:left w:val="single" w:color="000000" w:sz="4" w:space="0"/>
        <w:bottom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355">
    <w:name w:val="xl166"/>
    <w:basedOn w:val="1"/>
    <w:qFormat/>
    <w:uiPriority w:val="0"/>
    <w:pPr>
      <w:widowControl/>
      <w:pBdr>
        <w:top w:val="single" w:color="000000" w:sz="4" w:space="0"/>
        <w:left w:val="single" w:color="000000" w:sz="4" w:space="0"/>
        <w:bottom w:val="single" w:color="000000" w:sz="4" w:space="0"/>
      </w:pBdr>
      <w:shd w:val="clear" w:color="FFFFFF" w:fill="FFFFFF"/>
      <w:spacing w:before="100" w:beforeAutospacing="1" w:after="100" w:afterAutospacing="1" w:line="240" w:lineRule="auto"/>
      <w:textAlignment w:val="center"/>
    </w:pPr>
    <w:rPr>
      <w:rFonts w:ascii="Arial Narrow" w:hAnsi="Arial Narrow" w:eastAsia="Times New Roman" w:cs="Times New Roman"/>
      <w:sz w:val="20"/>
      <w:szCs w:val="20"/>
    </w:rPr>
  </w:style>
  <w:style w:type="paragraph" w:customStyle="1" w:styleId="356">
    <w:name w:val="Normal1"/>
    <w:qFormat/>
    <w:uiPriority w:val="0"/>
    <w:pPr>
      <w:widowControl w:val="0"/>
      <w:spacing w:after="200" w:line="276" w:lineRule="auto"/>
    </w:pPr>
    <w:rPr>
      <w:rFonts w:ascii="Calibri" w:hAnsi="Calibri" w:eastAsia="Calibri" w:cs="Calibri"/>
      <w:sz w:val="22"/>
      <w:szCs w:val="22"/>
      <w:lang w:val="en-US" w:eastAsia="en-US" w:bidi="ar-SA"/>
    </w:rPr>
  </w:style>
  <w:style w:type="paragraph" w:customStyle="1" w:styleId="357">
    <w:name w:val="xl167"/>
    <w:basedOn w:val="1"/>
    <w:qFormat/>
    <w:uiPriority w:val="0"/>
    <w:pPr>
      <w:widowControl/>
      <w:pBdr>
        <w:bottom w:val="single" w:color="000000" w:sz="4" w:space="0"/>
        <w:right w:val="single" w:color="000000"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58">
    <w:name w:val="xl168"/>
    <w:basedOn w:val="1"/>
    <w:qFormat/>
    <w:uiPriority w:val="0"/>
    <w:pPr>
      <w:widowControl/>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359">
    <w:name w:val="xl169"/>
    <w:basedOn w:val="1"/>
    <w:qFormat/>
    <w:uiPriority w:val="0"/>
    <w:pPr>
      <w:widowControl/>
      <w:pBdr>
        <w:left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360">
    <w:name w:val="xl170"/>
    <w:basedOn w:val="1"/>
    <w:qFormat/>
    <w:uiPriority w:val="0"/>
    <w:pPr>
      <w:widowControl/>
      <w:pBdr>
        <w:left w:val="single" w:color="000000" w:sz="4" w:space="0"/>
        <w:bottom w:val="single" w:color="000000" w:sz="4" w:space="0"/>
        <w:right w:val="single" w:color="000000" w:sz="4" w:space="0"/>
      </w:pBdr>
      <w:shd w:val="clear" w:color="808080" w:fill="808080"/>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361">
    <w:name w:val="xl171"/>
    <w:basedOn w:val="1"/>
    <w:qFormat/>
    <w:uiPriority w:val="0"/>
    <w:pPr>
      <w:widowControl/>
      <w:pBdr>
        <w:top w:val="single" w:color="000000" w:sz="4" w:space="0"/>
        <w:left w:val="single" w:color="000000" w:sz="4" w:space="0"/>
        <w:bottom w:val="single" w:color="000000" w:sz="4" w:space="0"/>
        <w:right w:val="single" w:color="000000" w:sz="4" w:space="0"/>
      </w:pBdr>
      <w:shd w:val="clear" w:color="7F7F7F" w:fill="7F7F7F"/>
      <w:spacing w:before="100" w:beforeAutospacing="1" w:after="100" w:afterAutospacing="1" w:line="240" w:lineRule="auto"/>
      <w:jc w:val="center"/>
      <w:textAlignment w:val="center"/>
    </w:pPr>
    <w:rPr>
      <w:rFonts w:ascii="Arial Narrow" w:hAnsi="Arial Narrow" w:eastAsia="Times New Roman" w:cs="Times New Roman"/>
      <w:b/>
      <w:bCs/>
      <w:color w:val="000000"/>
      <w:sz w:val="20"/>
      <w:szCs w:val="20"/>
    </w:rPr>
  </w:style>
  <w:style w:type="paragraph" w:customStyle="1" w:styleId="362">
    <w:name w:val="xl172"/>
    <w:basedOn w:val="1"/>
    <w:qFormat/>
    <w:uiPriority w:val="0"/>
    <w:pPr>
      <w:widowControl/>
      <w:pBdr>
        <w:top w:val="single" w:color="000000" w:sz="4" w:space="0"/>
        <w:left w:val="single" w:color="000000" w:sz="4" w:space="0"/>
        <w:bottom w:val="single" w:color="000000" w:sz="4" w:space="0"/>
        <w:right w:val="single" w:color="000000" w:sz="4" w:space="0"/>
      </w:pBdr>
      <w:shd w:val="clear" w:color="A5A5A5" w:fill="A5A5A5"/>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363">
    <w:name w:val="xl173"/>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sz w:val="20"/>
      <w:szCs w:val="20"/>
    </w:rPr>
  </w:style>
  <w:style w:type="paragraph" w:customStyle="1" w:styleId="364">
    <w:name w:val="xl174"/>
    <w:basedOn w:val="1"/>
    <w:qFormat/>
    <w:uiPriority w:val="0"/>
    <w:pPr>
      <w:widowControl/>
      <w:pBdr>
        <w:top w:val="single" w:color="000000" w:sz="4" w:space="0"/>
        <w:left w:val="single" w:color="000000" w:sz="4" w:space="0"/>
        <w:bottom w:val="single" w:color="000000" w:sz="4" w:space="0"/>
        <w:right w:val="single" w:color="000000" w:sz="4" w:space="0"/>
      </w:pBdr>
      <w:shd w:val="clear" w:color="D8D8D8" w:fill="D8D8D8"/>
      <w:spacing w:before="100" w:beforeAutospacing="1" w:after="100" w:afterAutospacing="1" w:line="240" w:lineRule="auto"/>
      <w:jc w:val="right"/>
    </w:pPr>
    <w:rPr>
      <w:rFonts w:ascii="Arial Narrow" w:hAnsi="Arial Narrow" w:eastAsia="Times New Roman" w:cs="Times New Roman"/>
      <w:b/>
      <w:bCs/>
      <w:sz w:val="20"/>
      <w:szCs w:val="20"/>
    </w:rPr>
  </w:style>
  <w:style w:type="paragraph" w:customStyle="1" w:styleId="365">
    <w:name w:val="xl175"/>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366">
    <w:name w:val="xl176"/>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sz w:val="24"/>
      <w:szCs w:val="24"/>
    </w:rPr>
  </w:style>
  <w:style w:type="paragraph" w:customStyle="1" w:styleId="367">
    <w:name w:val="xl177"/>
    <w:basedOn w:val="1"/>
    <w:qFormat/>
    <w:uiPriority w:val="0"/>
    <w:pPr>
      <w:widowControl/>
      <w:pBdr>
        <w:left w:val="single" w:color="000000" w:sz="4" w:space="0"/>
        <w:bottom w:val="single" w:color="000000" w:sz="4" w:space="0"/>
        <w:right w:val="single" w:color="000000" w:sz="4" w:space="0"/>
      </w:pBdr>
      <w:spacing w:before="100" w:beforeAutospacing="1" w:after="100" w:afterAutospacing="1" w:line="240" w:lineRule="auto"/>
      <w:jc w:val="right"/>
      <w:textAlignment w:val="center"/>
    </w:pPr>
    <w:rPr>
      <w:rFonts w:ascii="Arial Narrow" w:hAnsi="Arial Narrow" w:eastAsia="Times New Roman" w:cs="Times New Roman"/>
      <w:i/>
      <w:iCs/>
      <w:color w:val="000000"/>
      <w:sz w:val="24"/>
      <w:szCs w:val="24"/>
    </w:rPr>
  </w:style>
  <w:style w:type="paragraph" w:customStyle="1" w:styleId="368">
    <w:name w:val="xl178"/>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pPr>
    <w:rPr>
      <w:rFonts w:ascii="Arial Narrow" w:hAnsi="Arial Narrow" w:eastAsia="Times New Roman" w:cs="Times New Roman"/>
      <w:i/>
      <w:iCs/>
      <w:sz w:val="20"/>
      <w:szCs w:val="20"/>
    </w:rPr>
  </w:style>
  <w:style w:type="paragraph" w:customStyle="1" w:styleId="369">
    <w:name w:val="xl179"/>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pPr>
    <w:rPr>
      <w:rFonts w:ascii="Arial Narrow" w:hAnsi="Arial Narrow" w:eastAsia="Times New Roman" w:cs="Times New Roman"/>
      <w:i/>
      <w:iCs/>
      <w:sz w:val="20"/>
      <w:szCs w:val="20"/>
    </w:rPr>
  </w:style>
  <w:style w:type="paragraph" w:customStyle="1" w:styleId="370">
    <w:name w:val="xl180"/>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right"/>
    </w:pPr>
    <w:rPr>
      <w:rFonts w:ascii="Arial Narrow" w:hAnsi="Arial Narrow" w:eastAsia="Times New Roman" w:cs="Times New Roman"/>
      <w:i/>
      <w:iCs/>
      <w:sz w:val="24"/>
      <w:szCs w:val="24"/>
    </w:rPr>
  </w:style>
  <w:style w:type="character" w:customStyle="1" w:styleId="371">
    <w:name w:val="Comment Text Char"/>
    <w:basedOn w:val="17"/>
    <w:link w:val="10"/>
    <w:semiHidden/>
    <w:qFormat/>
    <w:uiPriority w:val="99"/>
    <w:rPr>
      <w:sz w:val="20"/>
      <w:szCs w:val="20"/>
    </w:rPr>
  </w:style>
  <w:style w:type="character" w:customStyle="1" w:styleId="372">
    <w:name w:val="Comment Subject Char"/>
    <w:basedOn w:val="371"/>
    <w:link w:val="11"/>
    <w:semiHidden/>
    <w:qFormat/>
    <w:uiPriority w:val="99"/>
    <w:rPr>
      <w:b/>
      <w:bCs/>
      <w:sz w:val="20"/>
      <w:szCs w:val="20"/>
    </w:rPr>
  </w:style>
  <w:style w:type="character" w:customStyle="1" w:styleId="373">
    <w:name w:val="il"/>
    <w:basedOn w:val="17"/>
    <w:qFormat/>
    <w:uiPriority w:val="0"/>
  </w:style>
  <w:style w:type="table" w:customStyle="1" w:styleId="374">
    <w:name w:val="Grid Table 4"/>
    <w:basedOn w:val="22"/>
    <w:qFormat/>
    <w:uiPriority w:val="49"/>
    <w:pPr>
      <w:widowControl/>
      <w:spacing w:after="0" w:line="240" w:lineRule="auto"/>
    </w:pPr>
    <w:rPr>
      <w:rFonts w:asciiTheme="minorHAnsi" w:hAnsiTheme="minorHAnsi" w:eastAsiaTheme="minorHAnsi" w:cstheme="minorBidi"/>
      <w:lang w:val="en-US" w:eastAsia="en-US"/>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5">
    <w:name w:val="Grid Table 41"/>
    <w:basedOn w:val="22"/>
    <w:qFormat/>
    <w:uiPriority w:val="49"/>
    <w:pPr>
      <w:widowControl/>
      <w:spacing w:after="0" w:line="240" w:lineRule="auto"/>
    </w:pPr>
    <w:rPr>
      <w:rFonts w:asciiTheme="minorHAnsi" w:hAnsiTheme="minorHAnsi" w:eastAsiaTheme="minorHAnsi" w:cstheme="minorBidi"/>
      <w:lang w:val="en-US" w:eastAsia="en-US"/>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D683D2E4-BD77-4E5A-8599-A97650378DFC}">
  <ds:schemaRefs/>
</ds:datastoreItem>
</file>

<file path=docProps/app.xml><?xml version="1.0" encoding="utf-8"?>
<Properties xmlns="http://schemas.openxmlformats.org/officeDocument/2006/extended-properties" xmlns:vt="http://schemas.openxmlformats.org/officeDocument/2006/docPropsVTypes">
  <Template>Normal</Template>
  <Company>DSWD</Company>
  <Pages>32</Pages>
  <Words>14911</Words>
  <Characters>84998</Characters>
  <Lines>708</Lines>
  <Paragraphs>199</Paragraphs>
  <TotalTime>2</TotalTime>
  <ScaleCrop>false</ScaleCrop>
  <LinksUpToDate>false</LinksUpToDate>
  <CharactersWithSpaces>99710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2020-06-14T07:33:00Z</dcterms:created>
  <dc:creator>Camille Jacinto;Mariel Ferrariz</dc:creator>
  <cp:lastModifiedBy>google1592197769</cp:lastModifiedBy>
  <dcterms:modified xsi:type="dcterms:W3CDTF">2020-06-15T09:00:32Z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