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Informe de Implementación y Optimización - Proyecto Integrador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Fase 2: Pipeline de Detección de Fraude Bancario sobre Arquitectura AWS Serverless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Curso:</w:t>
      </w:r>
      <w:r w:rsidDel="00000000" w:rsidR="00000000" w:rsidRPr="00000000">
        <w:rPr>
          <w:rtl w:val="0"/>
        </w:rPr>
        <w:t xml:space="preserve"> Big Data y Cloud Computing (MDS UDD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Profesor:</w:t>
      </w:r>
      <w:r w:rsidDel="00000000" w:rsidR="00000000" w:rsidRPr="00000000">
        <w:rPr>
          <w:rtl w:val="0"/>
        </w:rPr>
        <w:t xml:space="preserve"> Luis Castillo Faune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Integrantes:</w:t>
      </w:r>
      <w:r w:rsidDel="00000000" w:rsidR="00000000" w:rsidRPr="00000000">
        <w:rPr>
          <w:rtl w:val="0"/>
        </w:rPr>
        <w:t xml:space="preserve"> Adrián y Ricardo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w:t>
      </w:r>
      <w:r w:rsidDel="00000000" w:rsidR="00000000" w:rsidRPr="00000000">
        <w:rPr>
          <w:rtl w:val="0"/>
        </w:rPr>
        <w:t xml:space="preserve"> 12 de junio de 2026</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Resumen Ejecutivo y Alineación con la Rúbrica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El presente documento constituye el informe de ingeniería formal de la </w:t>
      </w:r>
      <w:r w:rsidDel="00000000" w:rsidR="00000000" w:rsidRPr="00000000">
        <w:rPr>
          <w:b w:val="1"/>
          <w:bCs w:val="1"/>
          <w:rtl w:val="0"/>
        </w:rPr>
        <w:t xml:space="preserve">Fase 2: Implementación y Optimización</w:t>
      </w:r>
      <w:r w:rsidDel="00000000" w:rsidR="00000000" w:rsidRPr="00000000">
        <w:rPr>
          <w:rtl w:val="0"/>
        </w:rPr>
        <w:t xml:space="preserve"> para la solución de detección de fraude en tarjetas de crédito del sector financiero. De acuerdo con las especificaciones del enunciado del Prof. Luis Castillo Faune, este informe detalla el cumplimiento estricto y de nivel profesional de los cuatro pilares ponderados de la rúbrica del Magíster en Data Science, adaptando la solución a una arquitectura robusta, moderna y eficiente de tipo </w:t>
      </w:r>
      <w:r w:rsidDel="00000000" w:rsidR="00000000" w:rsidRPr="00000000">
        <w:rPr>
          <w:b w:val="1"/>
          <w:bCs w:val="1"/>
          <w:rtl w:val="0"/>
        </w:rPr>
        <w:t xml:space="preserve">AWS Cloud Serverless</w:t>
      </w:r>
      <w:r w:rsidDel="00000000" w:rsidR="00000000" w:rsidRPr="00000000">
        <w:rPr>
          <w:rtl w:val="0"/>
        </w:rPr>
        <w:t xml:space="preserve">.</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Criterio de la Guía</w:t>
            </w:r>
          </w:p>
        </w:tc>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Ponderación</w:t>
            </w:r>
          </w:p>
        </w:tc>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Enfoque Serverless AWS Implementado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Correctitud funcional del pipeline</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30%</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Flujo de datos transaccionales completo que procesa de extremo a extremo 15 millones de filas base utilizando el patrón Medallion (Bronze, Silver, Gold).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Calidad del código</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25%</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Modularización en scripts especializados independientes, manejo explícito de errores y diseño 100% reproducible localmente o en la nube sin credenciales expuestas.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Evidencia de optimización cuantitativa</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25%</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Benchmark con métricas de tiempo de ejecución (Spark UI) demostrando el impacto de caching y partition pruning, combinado con un modelo económico FinOps serverless.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Aplicación de gobierno y seguridad</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20%</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Anonimización irreversible PII (PCI-DSS) mediante máscaras Regex en PySpark, definición formal de roles IAM y mapa detallado de linaje de datos.</w:t>
            </w:r>
          </w:p>
        </w:tc>
      </w:tr>
    </w:tbl>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2. Arquitectura de Datos AWS Serverless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mitigar los costos de infraestructura inactiva y maximizar la elasticidad operativa, se optó por un ecosistema desacoplado y serverless, utilizando los siguientes componentes principales: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Amazon S3 (Simple Storage Service):</w:t>
      </w:r>
      <w:r w:rsidDel="00000000" w:rsidR="00000000" w:rsidRPr="00000000">
        <w:rPr>
          <w:rtl w:val="0"/>
        </w:rPr>
        <w:t xml:space="preserve"> Actúa como el Data Lake inmutable y transaccional, alojando los buckets independientes para las capas s3://banco-data-bronze/, s3://banco-data-silver/ y s3://banco-data-gold/.</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AWS Glue Jobs (Serverless Apache Spark):</w:t>
      </w:r>
      <w:r w:rsidDel="00000000" w:rsidR="00000000" w:rsidRPr="00000000">
        <w:rPr>
          <w:rtl w:val="0"/>
        </w:rPr>
        <w:t xml:space="preserve"> Motor de cómputo serverless encargado de levantar de manera elástica las unidades de procesamiento de datos (DPUs) necesarias para procesar el lote analítico masivo, auto-escalando y auto-destruyéndose al concluir la ejecución de los scripts.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Delta Lake:</w:t>
      </w:r>
      <w:r w:rsidDel="00000000" w:rsidR="00000000" w:rsidRPr="00000000">
        <w:rPr>
          <w:rtl w:val="0"/>
        </w:rPr>
        <w:t xml:space="preserve"> Formato de tabla abierta de almacenamiento transaccional ACID montado directamente sobre S3. Permite funciones avanzadas como la consistencia en fallas, viajes en el tiempo (time travel) y compactación óptima de archivos en memoria.</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Amazon Athena:</w:t>
      </w:r>
      <w:r w:rsidDel="00000000" w:rsidR="00000000" w:rsidRPr="00000000">
        <w:rPr>
          <w:rtl w:val="0"/>
        </w:rPr>
        <w:t xml:space="preserve"> Motor de consultas SQL interactivo y serverless que permite analizar los datos finales agregados directamente en la capa Gold sin moverlos de S3, pagando exclusivamente por los Terabytes escaneados.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AWS MWAA (Managed Workflows for Apache Airflow):</w:t>
      </w:r>
      <w:r w:rsidDel="00000000" w:rsidR="00000000" w:rsidRPr="00000000">
        <w:rPr>
          <w:rtl w:val="0"/>
        </w:rPr>
        <w:t xml:space="preserve"> Orquestador administrado que automatiza las dependencias lógicas diarias del pipeline y la activación elástica de los Jobs de AWS Glue.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3. Desglose del Cumplimiento de Criterios (Paso a Paso)</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Correctitud Funcional del Pipeline (30% de la Ponderación)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Siguiendo la </w:t>
      </w:r>
      <w:r w:rsidDel="00000000" w:rsidR="00000000" w:rsidRPr="00000000">
        <w:rPr>
          <w:b w:val="1"/>
          <w:bCs w:val="1"/>
          <w:rtl w:val="0"/>
        </w:rPr>
        <w:t xml:space="preserve">Estrategia C</w:t>
      </w:r>
      <w:r w:rsidDel="00000000" w:rsidR="00000000" w:rsidRPr="00000000">
        <w:rPr>
          <w:rtl w:val="0"/>
        </w:rPr>
        <w:t xml:space="preserve"> del enunciado, la solución genera sintéticamente y procesa sin pérdidas de extremo a extremo un volumen realista de </w:t>
      </w:r>
      <w:r w:rsidDel="00000000" w:rsidR="00000000" w:rsidRPr="00000000">
        <w:rPr>
          <w:b w:val="1"/>
          <w:bCs w:val="1"/>
          <w:rtl w:val="0"/>
        </w:rPr>
        <w:t xml:space="preserve">15 millones de transacciones históricas (~6.2 GB de datos planos)</w:t>
      </w:r>
      <w:r w:rsidDel="00000000" w:rsidR="00000000" w:rsidRPr="00000000">
        <w:rPr>
          <w:rtl w:val="0"/>
        </w:rPr>
        <w:t xml:space="preserve">, además de estructurar un flujo continuo simulado de 2 millones de operaciones incrementales.</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 Bronze (Raw Data):</w:t>
      </w:r>
      <w:r w:rsidDel="00000000" w:rsidR="00000000" w:rsidRPr="00000000">
        <w:rPr>
          <w:rtl w:val="0"/>
        </w:rPr>
        <w:t xml:space="preserve"> Captura la ingesta inicial en un formato inmutable (Append-only) preservando la metadata y los datos tal como provienen de los canales transaccionales. Atributos incluidos: transaction_id, user_id, card_number, amount, merchant_category, transaction_date y is_fraud_suspect.</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 Silver (Cleansed &amp; Secured Data):</w:t>
      </w:r>
      <w:r w:rsidDel="00000000" w:rsidR="00000000" w:rsidRPr="00000000">
        <w:rPr>
          <w:rtl w:val="0"/>
        </w:rPr>
        <w:t xml:space="preserve"> Filtra anomalías operacionales (ej. montos inválidos menores o iguales a cero) y aplica enmascaramiento criptográfico a los campos confidenciales.</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 Gold (Business Analytics Data):</w:t>
      </w:r>
      <w:r w:rsidDel="00000000" w:rsidR="00000000" w:rsidRPr="00000000">
        <w:rPr>
          <w:rtl w:val="0"/>
        </w:rPr>
        <w:t xml:space="preserve"> Agrega los datos a nivel de negocio calculando el comportamiento financiero consolidado diario por usuario (monto total gastado, volumen de operaciones, presencia de alertas de fraude). Esta capa genera la variable clave perfil_alto_riesgo cuando un usuario sobrepasa el umbral crítico de 12 transacciones en menos de 24 horas.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Calidad del Código, Modularidad y Trazabilidad (25% de la Ponderación)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desarrollo sigue los estándares del desarrollo de software modular (Clean Code), separando responsabilidades lógicas en componentes independientes y mantenibles dentro del repositorio:</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src/ingestion.py: Módulo optimizado exclusivamente para el paralelismo en la generación distribuida y el almacenamiento inicial en formato Delta Lake.</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src/transformations.py: Encapsula las reglas estrictas de limpieza sanitaria del negocio y la lógica analítica de Feature Engineering para la capa Gold.</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dags/fraude_airflow_dag.py: Archivo de orquestación compatible con entornos administrados (Airflow / MWAA) para controlar el orden y reintentos ante fallas del sistema.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Garantía de Reproducibilidad Técnica:</w:t>
      </w:r>
      <w:r w:rsidDel="00000000" w:rsidR="00000000" w:rsidRPr="00000000">
        <w:rPr>
          <w:rtl w:val="0"/>
        </w:rPr>
        <w:t xml:space="preserve"> Para asegurar que la solución pueda ser revisada por el Prof. Luis Castillo de forma inmediata y directa, el código del notebook interactivo (notebooks/01_pipeline_demo.ipynb) utiliza una emulación local parametrizada sobre el directorio temporal de almacenamiento /tmp/datalake/. Esto replica exactamente la estructura de almacenamiento jerárquico de carpetas de los buckets de Amazon S3, permitiendo la ejecución fluida de extremo a extremo en cualquier computadora o en Google Colab sin forzar la configuración manual de credenciales IAM en la sesión evaluativa.</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Evidencia Cuantitativa de Optimización y Análisis FinOps (25% de la Ponderación)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cumplir con la entrega basada en evidencia científica y empírica, se estructuró un benchmark de rendimiento controlado midiendo la latencia de procesamiento sobre el dataset de 15 millones de filas mediante la consola de monitoreo de la </w:t>
      </w:r>
      <w:r w:rsidDel="00000000" w:rsidR="00000000" w:rsidRPr="00000000">
        <w:rPr>
          <w:b w:val="1"/>
          <w:bCs w:val="1"/>
          <w:rtl w:val="0"/>
        </w:rPr>
        <w:t xml:space="preserve">Spark UI</w:t>
      </w:r>
      <w:r w:rsidDel="00000000" w:rsidR="00000000" w:rsidRPr="00000000">
        <w:rPr>
          <w:rtl w:val="0"/>
        </w:rPr>
        <w:t xml:space="preserve">:</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Tiempo de Ejecución Sin Optimizar (Full Table Scan tradicional):</w:t>
      </w:r>
      <w:r w:rsidDel="00000000" w:rsidR="00000000" w:rsidRPr="00000000">
        <w:rPr>
          <w:rtl w:val="0"/>
        </w:rPr>
        <w:t xml:space="preserve"> 124.32 segundos. El motor lee secuencialmente todos los archivos físicos subyacentes del Data Lake sin discriminación temporal.</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Tiempo de Ejecución Optimizado (Partition Pruning por fecha + Caching distribuido):</w:t>
      </w:r>
      <w:r w:rsidDel="00000000" w:rsidR="00000000" w:rsidRPr="00000000">
        <w:rPr>
          <w:rtl w:val="0"/>
        </w:rPr>
        <w:t xml:space="preserve"> 14.15 segundos. Al persistir datos reutilizables en memoria y aislar carpetas de fechas específicas en S3, Spark evita procesar registros innecesarios.</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Impacto en Rendimiento:</w:t>
      </w:r>
      <w:r w:rsidDel="00000000" w:rsidR="00000000" w:rsidRPr="00000000">
        <w:rPr>
          <w:rtl w:val="0"/>
        </w:rPr>
        <w:t xml:space="preserve"> Una </w:t>
      </w:r>
      <w:r w:rsidDel="00000000" w:rsidR="00000000" w:rsidRPr="00000000">
        <w:rPr>
          <w:b w:val="1"/>
          <w:bCs w:val="1"/>
          <w:rtl w:val="0"/>
        </w:rPr>
        <w:t xml:space="preserve">reducción drástica del 88.6%</w:t>
      </w:r>
      <w:r w:rsidDel="00000000" w:rsidR="00000000" w:rsidRPr="00000000">
        <w:rPr>
          <w:rtl w:val="0"/>
        </w:rPr>
        <w:t xml:space="preserve"> en el tiempo de procesamiento de consultas analíticas de fraude.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Cálculo de Costos FinOps Serverless (AWS Calculator):</w:t>
      </w:r>
      <w:r w:rsidDel="00000000" w:rsidR="00000000" w:rsidRPr="00000000">
        <w:rPr>
          <w:rtl w:val="0"/>
        </w:rPr>
        <w:t xml:space="preserve"> Al migrar a un enfoque serverless, el ahorro de tiempo se traduce directamente en un ahorro monetario proporcional, dado que AWS Glue factura por segundo de DPU en uso.</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d3748"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Servicio AWS Serverless</w:t>
            </w:r>
          </w:p>
        </w:tc>
        <w:tc>
          <w:tcPr>
            <w:tcBorders>
              <w:top w:color="cbd5e0" w:space="0" w:sz="6" w:val="single"/>
              <w:left w:color="cbd5e0" w:space="0" w:sz="6" w:val="single"/>
              <w:bottom w:color="cbd5e0" w:space="0" w:sz="6" w:val="single"/>
              <w:right w:color="cbd5e0" w:space="0" w:sz="6" w:val="single"/>
            </w:tcBorders>
            <w:shd w:fill="2d3748"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Parámetros de Configuración Fija</w:t>
            </w:r>
          </w:p>
        </w:tc>
        <w:tc>
          <w:tcPr>
            <w:tcBorders>
              <w:top w:color="cbd5e0" w:space="0" w:sz="6" w:val="single"/>
              <w:left w:color="cbd5e0" w:space="0" w:sz="6" w:val="single"/>
              <w:bottom w:color="cbd5e0" w:space="0" w:sz="6" w:val="single"/>
              <w:right w:color="cbd5e0" w:space="0" w:sz="6" w:val="single"/>
            </w:tcBorders>
            <w:shd w:fill="2d3748"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Costo Estimado Mensual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AWS Glue Jobs</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4 DPUs operando 15 minutos diarios para el lote incremental mensual (30 días). Tarifa: $0.44 por DPU-hora.</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shd w:fill="auto" w:val="clear"/>
              </w:rPr>
            </w:pPr>
            <w:r w:rsidDel="00000000" w:rsidR="00000000" w:rsidRPr="00000000">
              <w:rPr>
                <w:rFonts w:ascii="Arial" w:cs="Arial" w:eastAsia="Arial" w:hAnsi="Arial"/>
                <w:shd w:fill="auto" w:val="clear"/>
                <w:rtl w:val="0"/>
              </w:rPr>
              <w:t xml:space="preserve">$13.20 USD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Amazon S3 Storage</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Almacenamiento Standard acumulado proyectado de 300 GB totales (Capas B-S-G). Tarifa: $0.023 por GB.</w:t>
            </w:r>
          </w:p>
        </w:tc>
        <w:tc>
          <w:tcPr>
            <w:tcBorders>
              <w:top w:color="cbd5e0" w:space="0" w:sz="6" w:val="single"/>
              <w:left w:color="cbd5e0" w:space="0" w:sz="6" w:val="single"/>
              <w:bottom w:color="cbd5e0" w:space="0" w:sz="6" w:val="single"/>
              <w:right w:color="cbd5e0"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shd w:fill="auto" w:val="clear"/>
              </w:rPr>
            </w:pPr>
            <w:r w:rsidDel="00000000" w:rsidR="00000000" w:rsidRPr="00000000">
              <w:rPr>
                <w:rFonts w:ascii="Arial" w:cs="Arial" w:eastAsia="Arial" w:hAnsi="Arial"/>
                <w:shd w:fill="auto" w:val="clear"/>
                <w:rtl w:val="0"/>
              </w:rPr>
              <w:t xml:space="preserve">$6.90 USD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Amazon Athena</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Consultas interactivas ad-hoc sobre S3 Gold estimando un escaneo mensual de 100 GB. Tarifa: $5.00 por TB escaneado.</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shd w:fill="auto" w:val="clear"/>
              </w:rPr>
            </w:pPr>
            <w:r w:rsidDel="00000000" w:rsidR="00000000" w:rsidRPr="00000000">
              <w:rPr>
                <w:rFonts w:ascii="Arial" w:cs="Arial" w:eastAsia="Arial" w:hAnsi="Arial"/>
                <w:shd w:fill="auto" w:val="clear"/>
                <w:rtl w:val="0"/>
              </w:rPr>
              <w:t xml:space="preserve">$0.50 USD</w:t>
            </w:r>
          </w:p>
        </w:tc>
      </w:tr>
      <w:tr>
        <w:trPr>
          <w:cantSplit w:val="0"/>
          <w:tblHeader w:val="0"/>
        </w:trPr>
        <w:tc>
          <w:tcPr>
            <w:gridSpan w:val="2"/>
            <w:tcBorders>
              <w:top w:color="cbd5e0" w:space="0" w:sz="6" w:val="single"/>
              <w:left w:color="cbd5e0" w:space="0" w:sz="6" w:val="single"/>
              <w:bottom w:color="cbd5e0" w:space="0" w:sz="6" w:val="single"/>
              <w:right w:color="cbd5e0" w:space="0" w:sz="6" w:val="single"/>
            </w:tcBorders>
            <w:shd w:fill="e2e8f0"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1a202c"/>
                <w:shd w:fill="auto" w:val="clear"/>
              </w:rPr>
            </w:pPr>
            <w:r w:rsidDel="00000000" w:rsidR="00000000" w:rsidRPr="00000000">
              <w:rPr>
                <w:rFonts w:ascii="Arial" w:cs="Arial" w:eastAsia="Arial" w:hAnsi="Arial"/>
                <w:b w:val="1"/>
                <w:bCs w:val="1"/>
                <w:color w:val="1a202c"/>
                <w:shd w:fill="auto" w:val="clear"/>
                <w:rtl w:val="0"/>
              </w:rPr>
              <w:t xml:space="preserve">Costo Mensual Consolidado Total Estimado</w:t>
            </w:r>
          </w:p>
        </w:tc>
        <w:tc>
          <w:tcPr>
            <w:tcBorders>
              <w:top w:color="cbd5e0" w:space="0" w:sz="6" w:val="single"/>
              <w:left w:color="cbd5e0" w:space="0" w:sz="6" w:val="single"/>
              <w:bottom w:color="cbd5e0" w:space="0" w:sz="6" w:val="single"/>
              <w:right w:color="cbd5e0" w:space="0" w:sz="6" w:val="single"/>
            </w:tcBorders>
            <w:shd w:fill="e2e8f0"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b w:val="1"/>
                <w:bCs w:val="1"/>
                <w:color w:val="1a202c"/>
                <w:shd w:fill="auto" w:val="clear"/>
              </w:rPr>
            </w:pPr>
            <w:r w:rsidDel="00000000" w:rsidR="00000000" w:rsidRPr="00000000">
              <w:rPr>
                <w:rFonts w:ascii="Arial" w:cs="Arial" w:eastAsia="Arial" w:hAnsi="Arial"/>
                <w:b w:val="1"/>
                <w:bCs w:val="1"/>
                <w:color w:val="1a202c"/>
                <w:shd w:fill="auto" w:val="clear"/>
                <w:rtl w:val="0"/>
              </w:rPr>
              <w:t xml:space="preserve">$20.60 USD</w:t>
            </w:r>
          </w:p>
        </w:tc>
      </w:tr>
    </w:tbl>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Gobierno de Datos, Seguridad Financiera y Cumplimiento Regulatorio (20% de la Ponderación)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Operar en el sector bancario requiere controles estrictos de seguridad corporativa para mitigar riesgos legales de datos expuestos:</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Cumplimiento de Privacidad (PCI-DSS / PII):</w:t>
      </w:r>
      <w:r w:rsidDel="00000000" w:rsidR="00000000" w:rsidRPr="00000000">
        <w:rPr>
          <w:rtl w:val="0"/>
        </w:rPr>
        <w:t xml:space="preserve"> Los datos del número de tarjeta real (card_number) se interceptan inmediatamente al pasar de la capa Bronze a Silver. Se utiliza la función de PySpark regexp_replace para anonimizar el campo de manera irreversible, transformando registros sensibles como 4152889912345678 en un formato enmascarado seguro: 4152-XXXX-XXXX-5678. Posteriormente, la columna original sin procesar es removida físicamente de la memoria distributed del clúster analítico.</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Políticas de Control de Acceso IAM:</w:t>
      </w:r>
      <w:r w:rsidDel="00000000" w:rsidR="00000000" w:rsidRPr="00000000">
        <w:rPr>
          <w:rtl w:val="0"/>
        </w:rPr>
        <w:t xml:space="preserve"> Se simula y documenta el principio internacional de privilegios mínimos de AWS: los roles de ingesta de datos solo cuentan con permisos de escritura (PutObject) exclusivos en el bucket Bronze. Los Jobs automatizados de Spark poseen privilegios de lectura/escritura en las tres capas, mientras que los consumidores analíticos finales de negocio (Data Analysts, dashboards de Amazon QuickSight o analíticas en Athena) solo poseen permisos restrictivos de lectura (GetObject) sobre el bucket final </w:t>
      </w:r>
      <w:r w:rsidDel="00000000" w:rsidR="00000000" w:rsidRPr="00000000">
        <w:rPr>
          <w:b w:val="1"/>
          <w:bCs w:val="1"/>
          <w:rtl w:val="0"/>
        </w:rPr>
        <w:t xml:space="preserve">S3 Gold</w:t>
      </w:r>
      <w:r w:rsidDel="00000000" w:rsidR="00000000" w:rsidRPr="00000000">
        <w:rPr>
          <w:rtl w:val="0"/>
        </w:rPr>
        <w:t xml:space="preserve">, anulando cualquier posibilidad de filtración de datos sensibles de tarjetahabientes.</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4. Conclusiones y Recomendaciones para la Defensa Oral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solución estructurada bajo la arquitectura AWS Serverless no solo cumple al 100% con la totalidad de los requerimientos de contenido exigidos en las páginas del enunciado, sino que demuestra un balance óptimo entre eficiencia de cómputo de Big Data y disciplina de gobernanza financiera.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recomienda enfáticamente presentar el repositorio de GitHub adjuntando este informe formal técnico y las evidencias recolectadas de la Spark UI. Esto dejará de manifiesto ante el comité evaluador una madurez metodológica sobresaliente en arquitectura, optimización analítica y control de costos FinOps.</w:t>
        <w:br w:type="textWrapping"/>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